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UNITED STATES</w:t>
      </w:r>
    </w:p>
    <w:p>
      <w:pPr>
        <w:jc w:val="center"/>
        <w:ind w:right="-179"/>
        <w:spacing w:after="0" w:line="219" w:lineRule="auto"/>
        <w:rPr>
          <w:sz w:val="20"/>
          <w:szCs w:val="20"/>
          <w:color w:val="auto"/>
        </w:rPr>
      </w:pPr>
      <w:r>
        <w:rPr>
          <w:rFonts w:ascii="Times New Roman" w:cs="Times New Roman" w:eastAsia="Times New Roman" w:hAnsi="Times New Roman"/>
          <w:sz w:val="18"/>
          <w:szCs w:val="18"/>
          <w:b w:val="1"/>
          <w:bCs w:val="1"/>
          <w:color w:val="auto"/>
        </w:rPr>
        <w:t>SECURITIES AND EXCHANGE COMMISSION</w:t>
      </w:r>
    </w:p>
    <w:p>
      <w:pPr>
        <w:ind w:left="4760"/>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1590675</wp:posOffset>
            </wp:positionH>
            <wp:positionV relativeFrom="paragraph">
              <wp:posOffset>21590</wp:posOffset>
            </wp:positionV>
            <wp:extent cx="396875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968750" cy="8255"/>
                    </a:xfrm>
                    <a:prstGeom prst="rect">
                      <a:avLst/>
                    </a:prstGeom>
                    <a:noFill/>
                  </pic:spPr>
                </pic:pic>
              </a:graphicData>
            </a:graphic>
          </wp:anchor>
        </w:drawing>
      </w:r>
    </w:p>
    <w:p>
      <w:pPr>
        <w:spacing w:after="0" w:line="87" w:lineRule="exact"/>
        <w:rPr>
          <w:sz w:val="24"/>
          <w:szCs w:val="24"/>
          <w:color w:val="auto"/>
        </w:rPr>
      </w:pPr>
    </w:p>
    <w:p>
      <w:pPr>
        <w:ind w:left="5180"/>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135" w:lineRule="exact"/>
        <w:rPr>
          <w:sz w:val="24"/>
          <w:szCs w:val="24"/>
          <w:color w:val="auto"/>
        </w:rPr>
      </w:pPr>
    </w:p>
    <w:p>
      <w:pPr>
        <w:ind w:left="4840"/>
        <w:spacing w:after="0"/>
        <w:rPr>
          <w:sz w:val="20"/>
          <w:szCs w:val="20"/>
          <w:color w:val="auto"/>
        </w:rPr>
      </w:pPr>
      <w:r>
        <w:rPr>
          <w:rFonts w:ascii="Times New Roman" w:cs="Times New Roman" w:eastAsia="Times New Roman" w:hAnsi="Times New Roman"/>
          <w:sz w:val="18"/>
          <w:szCs w:val="18"/>
          <w:color w:val="auto"/>
        </w:rPr>
        <w:t>CURRENT REPORT</w:t>
      </w:r>
    </w:p>
    <w:p>
      <w:pPr>
        <w:spacing w:after="0" w:line="144" w:lineRule="exact"/>
        <w:rPr>
          <w:sz w:val="24"/>
          <w:szCs w:val="24"/>
          <w:color w:val="auto"/>
        </w:rPr>
      </w:pPr>
    </w:p>
    <w:p>
      <w:pPr>
        <w:ind w:left="4260"/>
        <w:spacing w:after="0"/>
        <w:rPr>
          <w:sz w:val="20"/>
          <w:szCs w:val="20"/>
          <w:color w:val="auto"/>
        </w:rPr>
      </w:pPr>
      <w:r>
        <w:rPr>
          <w:rFonts w:ascii="Times New Roman" w:cs="Times New Roman" w:eastAsia="Times New Roman" w:hAnsi="Times New Roman"/>
          <w:sz w:val="18"/>
          <w:szCs w:val="18"/>
          <w:color w:val="auto"/>
        </w:rPr>
        <w:t>Pursuant to Section 13 or 15(d) of the</w:t>
      </w:r>
    </w:p>
    <w:p>
      <w:pPr>
        <w:spacing w:after="0" w:line="2"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Securities Exchange Act of 1934</w:t>
      </w:r>
    </w:p>
    <w:p>
      <w:pPr>
        <w:spacing w:after="0" w:line="350" w:lineRule="exact"/>
        <w:rPr>
          <w:sz w:val="24"/>
          <w:szCs w:val="24"/>
          <w:color w:val="auto"/>
        </w:rPr>
      </w:pPr>
    </w:p>
    <w:p>
      <w:pPr>
        <w:ind w:left="4260"/>
        <w:spacing w:after="0"/>
        <w:rPr>
          <w:sz w:val="20"/>
          <w:szCs w:val="20"/>
          <w:color w:val="auto"/>
        </w:rPr>
      </w:pPr>
      <w:r>
        <w:rPr>
          <w:rFonts w:ascii="Times New Roman" w:cs="Times New Roman" w:eastAsia="Times New Roman" w:hAnsi="Times New Roman"/>
          <w:sz w:val="18"/>
          <w:szCs w:val="18"/>
          <w:b w:val="1"/>
          <w:bCs w:val="1"/>
          <w:color w:val="auto"/>
        </w:rPr>
        <w:t>Date of Report: November 16, 2022</w:t>
      </w:r>
    </w:p>
    <w:p>
      <w:pPr>
        <w:spacing w:after="0" w:line="6" w:lineRule="exact"/>
        <w:rPr>
          <w:sz w:val="24"/>
          <w:szCs w:val="24"/>
          <w:color w:val="auto"/>
        </w:rPr>
      </w:pPr>
    </w:p>
    <w:p>
      <w:pPr>
        <w:ind w:left="4500"/>
        <w:spacing w:after="0"/>
        <w:rPr>
          <w:sz w:val="20"/>
          <w:szCs w:val="20"/>
          <w:color w:val="auto"/>
        </w:rPr>
      </w:pPr>
      <w:r>
        <w:rPr>
          <w:rFonts w:ascii="Times New Roman" w:cs="Times New Roman" w:eastAsia="Times New Roman" w:hAnsi="Times New Roman"/>
          <w:sz w:val="18"/>
          <w:szCs w:val="18"/>
          <w:color w:val="auto"/>
        </w:rPr>
        <w:t>(Date of earliest event reported)</w:t>
      </w:r>
    </w:p>
    <w:p>
      <w:pPr>
        <w:spacing w:after="0" w:line="147" w:lineRule="exact"/>
        <w:rPr>
          <w:sz w:val="24"/>
          <w:szCs w:val="24"/>
          <w:color w:val="auto"/>
        </w:rPr>
      </w:pPr>
    </w:p>
    <w:p>
      <w:pPr>
        <w:ind w:left="4080"/>
        <w:spacing w:after="0"/>
        <w:rPr>
          <w:sz w:val="20"/>
          <w:szCs w:val="20"/>
          <w:color w:val="auto"/>
        </w:rPr>
      </w:pPr>
      <w:r>
        <w:rPr>
          <w:rFonts w:ascii="Times New Roman" w:cs="Times New Roman" w:eastAsia="Times New Roman" w:hAnsi="Times New Roman"/>
          <w:sz w:val="18"/>
          <w:szCs w:val="18"/>
          <w:b w:val="1"/>
          <w:bCs w:val="1"/>
          <w:color w:val="auto"/>
        </w:rPr>
        <w:t>PennantPark Floating Rate Capital Ltd.</w:t>
      </w:r>
    </w:p>
    <w:p>
      <w:pPr>
        <w:spacing w:after="0" w:line="6" w:lineRule="exact"/>
        <w:rPr>
          <w:sz w:val="24"/>
          <w:szCs w:val="24"/>
          <w:color w:val="auto"/>
        </w:rPr>
      </w:pPr>
    </w:p>
    <w:p>
      <w:pPr>
        <w:ind w:left="378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0" w:lineRule="exact"/>
        <w:rPr>
          <w:sz w:val="24"/>
          <w:szCs w:val="24"/>
          <w:color w:val="auto"/>
        </w:rPr>
      </w:pPr>
    </w:p>
    <w:p>
      <w:pPr>
        <w:spacing w:after="0" w:line="228" w:lineRule="exact"/>
        <w:rPr>
          <w:sz w:val="24"/>
          <w:szCs w:val="24"/>
          <w:color w:val="auto"/>
        </w:rPr>
      </w:pPr>
    </w:p>
    <w:tbl>
      <w:tblPr>
        <w:tblLayout w:type="fixed"/>
        <w:tblInd w:w="940" w:type="dxa"/>
        <w:tblCellMar>
          <w:top w:w="0" w:type="dxa"/>
          <w:left w:w="0" w:type="dxa"/>
          <w:bottom w:w="0" w:type="dxa"/>
          <w:right w:w="0" w:type="dxa"/>
        </w:tblCellMar>
      </w:tblPr>
      <w:tr>
        <w:trPr>
          <w:trHeight w:val="178"/>
        </w:trPr>
        <w:tc>
          <w:tcPr>
            <w:tcW w:w="3380" w:type="dxa"/>
            <w:vAlign w:val="bottom"/>
          </w:tcPr>
          <w:p>
            <w:pPr>
              <w:jc w:val="center"/>
              <w:ind w:right="688"/>
              <w:spacing w:after="0"/>
              <w:rPr>
                <w:sz w:val="20"/>
                <w:szCs w:val="20"/>
                <w:color w:val="auto"/>
              </w:rPr>
            </w:pPr>
            <w:r>
              <w:rPr>
                <w:rFonts w:ascii="Times New Roman" w:cs="Times New Roman" w:eastAsia="Times New Roman" w:hAnsi="Times New Roman"/>
                <w:sz w:val="14"/>
                <w:szCs w:val="14"/>
                <w:b w:val="1"/>
                <w:bCs w:val="1"/>
                <w:color w:val="auto"/>
              </w:rPr>
              <w:t>Maryland</w:t>
            </w:r>
          </w:p>
        </w:tc>
        <w:tc>
          <w:tcPr>
            <w:tcW w:w="3040" w:type="dxa"/>
            <w:vAlign w:val="bottom"/>
          </w:tcPr>
          <w:p>
            <w:pPr>
              <w:jc w:val="right"/>
              <w:ind w:right="1148"/>
              <w:spacing w:after="0"/>
              <w:rPr>
                <w:sz w:val="20"/>
                <w:szCs w:val="20"/>
                <w:color w:val="auto"/>
              </w:rPr>
            </w:pPr>
            <w:r>
              <w:rPr>
                <w:rFonts w:ascii="Times New Roman" w:cs="Times New Roman" w:eastAsia="Times New Roman" w:hAnsi="Times New Roman"/>
                <w:sz w:val="14"/>
                <w:szCs w:val="14"/>
                <w:b w:val="1"/>
                <w:bCs w:val="1"/>
                <w:color w:val="auto"/>
              </w:rPr>
              <w:t>814-00891</w:t>
            </w:r>
          </w:p>
        </w:tc>
        <w:tc>
          <w:tcPr>
            <w:tcW w:w="2960" w:type="dxa"/>
            <w:vAlign w:val="bottom"/>
          </w:tcPr>
          <w:p>
            <w:pPr>
              <w:jc w:val="right"/>
              <w:ind w:right="688"/>
              <w:spacing w:after="0"/>
              <w:rPr>
                <w:sz w:val="20"/>
                <w:szCs w:val="20"/>
                <w:color w:val="auto"/>
              </w:rPr>
            </w:pPr>
            <w:r>
              <w:rPr>
                <w:rFonts w:ascii="Times New Roman" w:cs="Times New Roman" w:eastAsia="Times New Roman" w:hAnsi="Times New Roman"/>
                <w:sz w:val="14"/>
                <w:szCs w:val="14"/>
                <w:b w:val="1"/>
                <w:bCs w:val="1"/>
                <w:color w:val="auto"/>
              </w:rPr>
              <w:t>27-3794690</w:t>
            </w:r>
          </w:p>
        </w:tc>
        <w:tc>
          <w:tcPr>
            <w:tcW w:w="0" w:type="dxa"/>
            <w:vAlign w:val="bottom"/>
          </w:tcPr>
          <w:p>
            <w:pPr>
              <w:spacing w:after="0"/>
              <w:rPr>
                <w:sz w:val="1"/>
                <w:szCs w:val="1"/>
                <w:color w:val="auto"/>
              </w:rPr>
            </w:pPr>
          </w:p>
        </w:tc>
      </w:tr>
      <w:tr>
        <w:trPr>
          <w:trHeight w:val="188"/>
        </w:trPr>
        <w:tc>
          <w:tcPr>
            <w:tcW w:w="3380" w:type="dxa"/>
            <w:vAlign w:val="bottom"/>
          </w:tcPr>
          <w:p>
            <w:pPr>
              <w:jc w:val="center"/>
              <w:ind w:right="708"/>
              <w:spacing w:after="0"/>
              <w:rPr>
                <w:sz w:val="20"/>
                <w:szCs w:val="20"/>
                <w:color w:val="auto"/>
              </w:rPr>
            </w:pPr>
            <w:r>
              <w:rPr>
                <w:rFonts w:ascii="Times New Roman" w:cs="Times New Roman" w:eastAsia="Times New Roman" w:hAnsi="Times New Roman"/>
                <w:sz w:val="14"/>
                <w:szCs w:val="14"/>
                <w:color w:val="auto"/>
              </w:rPr>
              <w:t>(State or Other Jurisdiction of Incorporation)</w:t>
            </w:r>
          </w:p>
        </w:tc>
        <w:tc>
          <w:tcPr>
            <w:tcW w:w="30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(Commission File Number)</w:t>
            </w:r>
          </w:p>
        </w:tc>
        <w:tc>
          <w:tcPr>
            <w:tcW w:w="2960" w:type="dxa"/>
            <w:vAlign w:val="bottom"/>
          </w:tcPr>
          <w:p>
            <w:pPr>
              <w:jc w:val="center"/>
              <w:ind w:left="648"/>
              <w:spacing w:after="0"/>
              <w:rPr>
                <w:sz w:val="20"/>
                <w:szCs w:val="20"/>
                <w:color w:val="auto"/>
              </w:rPr>
            </w:pPr>
            <w:r>
              <w:rPr>
                <w:rFonts w:ascii="Times New Roman" w:cs="Times New Roman" w:eastAsia="Times New Roman" w:hAnsi="Times New Roman"/>
                <w:sz w:val="14"/>
                <w:szCs w:val="14"/>
                <w:color w:val="auto"/>
              </w:rPr>
              <w:t>(IRS Employer Identification Number)</w:t>
            </w:r>
          </w:p>
        </w:tc>
        <w:tc>
          <w:tcPr>
            <w:tcW w:w="0" w:type="dxa"/>
            <w:vAlign w:val="bottom"/>
          </w:tcPr>
          <w:p>
            <w:pPr>
              <w:spacing w:after="0"/>
              <w:rPr>
                <w:sz w:val="1"/>
                <w:szCs w:val="1"/>
                <w:color w:val="auto"/>
              </w:rPr>
            </w:pPr>
          </w:p>
        </w:tc>
      </w:tr>
      <w:tr>
        <w:trPr>
          <w:trHeight w:val="566"/>
        </w:trPr>
        <w:tc>
          <w:tcPr>
            <w:tcW w:w="3380" w:type="dxa"/>
            <w:vAlign w:val="bottom"/>
          </w:tcPr>
          <w:p>
            <w:pPr>
              <w:jc w:val="center"/>
              <w:ind w:right="348"/>
              <w:spacing w:after="0"/>
              <w:rPr>
                <w:sz w:val="20"/>
                <w:szCs w:val="20"/>
                <w:color w:val="auto"/>
              </w:rPr>
            </w:pPr>
            <w:r>
              <w:rPr>
                <w:rFonts w:ascii="Times New Roman" w:cs="Times New Roman" w:eastAsia="Times New Roman" w:hAnsi="Times New Roman"/>
                <w:sz w:val="14"/>
                <w:szCs w:val="14"/>
                <w:b w:val="1"/>
                <w:bCs w:val="1"/>
                <w:color w:val="auto"/>
              </w:rPr>
              <w:t>1691 Michigan Avenue</w:t>
            </w:r>
          </w:p>
        </w:tc>
        <w:tc>
          <w:tcPr>
            <w:tcW w:w="3040" w:type="dxa"/>
            <w:vAlign w:val="bottom"/>
          </w:tcPr>
          <w:p>
            <w:pPr>
              <w:spacing w:after="0"/>
              <w:rPr>
                <w:sz w:val="24"/>
                <w:szCs w:val="24"/>
                <w:color w:val="auto"/>
              </w:rPr>
            </w:pPr>
          </w:p>
        </w:tc>
        <w:tc>
          <w:tcPr>
            <w:tcW w:w="2960" w:type="dxa"/>
            <w:vAlign w:val="bottom"/>
            <w:vMerge w:val="restart"/>
          </w:tcPr>
          <w:p>
            <w:pPr>
              <w:jc w:val="right"/>
              <w:ind w:right="1188"/>
              <w:spacing w:after="0"/>
              <w:rPr>
                <w:sz w:val="20"/>
                <w:szCs w:val="20"/>
                <w:color w:val="auto"/>
              </w:rPr>
            </w:pPr>
            <w:r>
              <w:rPr>
                <w:rFonts w:ascii="Times New Roman" w:cs="Times New Roman" w:eastAsia="Times New Roman" w:hAnsi="Times New Roman"/>
                <w:sz w:val="14"/>
                <w:szCs w:val="14"/>
                <w:b w:val="1"/>
                <w:bCs w:val="1"/>
                <w:color w:val="auto"/>
              </w:rPr>
              <w:t>33139</w:t>
            </w:r>
          </w:p>
        </w:tc>
        <w:tc>
          <w:tcPr>
            <w:tcW w:w="0" w:type="dxa"/>
            <w:vAlign w:val="bottom"/>
          </w:tcPr>
          <w:p>
            <w:pPr>
              <w:spacing w:after="0"/>
              <w:rPr>
                <w:sz w:val="1"/>
                <w:szCs w:val="1"/>
                <w:color w:val="auto"/>
              </w:rPr>
            </w:pPr>
          </w:p>
        </w:tc>
      </w:tr>
      <w:tr>
        <w:trPr>
          <w:trHeight w:val="97"/>
        </w:trPr>
        <w:tc>
          <w:tcPr>
            <w:tcW w:w="3380" w:type="dxa"/>
            <w:vAlign w:val="bottom"/>
            <w:vMerge w:val="restart"/>
          </w:tcPr>
          <w:p>
            <w:pPr>
              <w:jc w:val="center"/>
              <w:ind w:right="388"/>
              <w:spacing w:after="0"/>
              <w:rPr>
                <w:sz w:val="20"/>
                <w:szCs w:val="20"/>
                <w:color w:val="auto"/>
              </w:rPr>
            </w:pPr>
            <w:r>
              <w:rPr>
                <w:rFonts w:ascii="Times New Roman" w:cs="Times New Roman" w:eastAsia="Times New Roman" w:hAnsi="Times New Roman"/>
                <w:sz w:val="14"/>
                <w:szCs w:val="14"/>
                <w:b w:val="1"/>
                <w:bCs w:val="1"/>
                <w:color w:val="auto"/>
              </w:rPr>
              <w:t>Miami, Florida</w:t>
            </w:r>
          </w:p>
        </w:tc>
        <w:tc>
          <w:tcPr>
            <w:tcW w:w="3040" w:type="dxa"/>
            <w:vAlign w:val="bottom"/>
          </w:tcPr>
          <w:p>
            <w:pPr>
              <w:spacing w:after="0"/>
              <w:rPr>
                <w:sz w:val="8"/>
                <w:szCs w:val="8"/>
                <w:color w:val="auto"/>
              </w:rPr>
            </w:pPr>
          </w:p>
        </w:tc>
        <w:tc>
          <w:tcPr>
            <w:tcW w:w="29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3380" w:type="dxa"/>
            <w:vAlign w:val="bottom"/>
            <w:vMerge w:val="continue"/>
          </w:tcPr>
          <w:p>
            <w:pPr>
              <w:spacing w:after="0"/>
              <w:rPr>
                <w:sz w:val="7"/>
                <w:szCs w:val="7"/>
                <w:color w:val="auto"/>
              </w:rPr>
            </w:pPr>
          </w:p>
        </w:tc>
        <w:tc>
          <w:tcPr>
            <w:tcW w:w="3040" w:type="dxa"/>
            <w:vAlign w:val="bottom"/>
          </w:tcPr>
          <w:p>
            <w:pPr>
              <w:spacing w:after="0"/>
              <w:rPr>
                <w:sz w:val="7"/>
                <w:szCs w:val="7"/>
                <w:color w:val="auto"/>
              </w:rPr>
            </w:pPr>
          </w:p>
        </w:tc>
        <w:tc>
          <w:tcPr>
            <w:tcW w:w="2960" w:type="dxa"/>
            <w:vAlign w:val="bottom"/>
            <w:vMerge w:val="restart"/>
          </w:tcPr>
          <w:p>
            <w:pPr>
              <w:jc w:val="center"/>
              <w:ind w:left="8"/>
              <w:spacing w:after="0"/>
              <w:rPr>
                <w:sz w:val="20"/>
                <w:szCs w:val="20"/>
                <w:color w:val="auto"/>
              </w:rPr>
            </w:pPr>
            <w:r>
              <w:rPr>
                <w:rFonts w:ascii="Times New Roman" w:cs="Times New Roman" w:eastAsia="Times New Roman" w:hAnsi="Times New Roman"/>
                <w:sz w:val="14"/>
                <w:szCs w:val="14"/>
                <w:color w:val="auto"/>
              </w:rPr>
              <w:t>(Zip Code)</w:t>
            </w:r>
          </w:p>
        </w:tc>
        <w:tc>
          <w:tcPr>
            <w:tcW w:w="0" w:type="dxa"/>
            <w:vAlign w:val="bottom"/>
          </w:tcPr>
          <w:p>
            <w:pPr>
              <w:spacing w:after="0"/>
              <w:rPr>
                <w:sz w:val="1"/>
                <w:szCs w:val="1"/>
                <w:color w:val="auto"/>
              </w:rPr>
            </w:pPr>
          </w:p>
        </w:tc>
      </w:tr>
      <w:tr>
        <w:trPr>
          <w:trHeight w:val="107"/>
        </w:trPr>
        <w:tc>
          <w:tcPr>
            <w:tcW w:w="3380" w:type="dxa"/>
            <w:vAlign w:val="bottom"/>
            <w:vMerge w:val="restart"/>
          </w:tcPr>
          <w:p>
            <w:pPr>
              <w:jc w:val="center"/>
              <w:ind w:right="348"/>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3040" w:type="dxa"/>
            <w:vAlign w:val="bottom"/>
          </w:tcPr>
          <w:p>
            <w:pPr>
              <w:spacing w:after="0"/>
              <w:rPr>
                <w:sz w:val="9"/>
                <w:szCs w:val="9"/>
                <w:color w:val="auto"/>
              </w:rPr>
            </w:pPr>
          </w:p>
        </w:tc>
        <w:tc>
          <w:tcPr>
            <w:tcW w:w="29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3380" w:type="dxa"/>
            <w:vAlign w:val="bottom"/>
            <w:vMerge w:val="continue"/>
          </w:tcPr>
          <w:p>
            <w:pPr>
              <w:spacing w:after="0"/>
              <w:rPr>
                <w:sz w:val="7"/>
                <w:szCs w:val="7"/>
                <w:color w:val="auto"/>
              </w:rPr>
            </w:pPr>
          </w:p>
        </w:tc>
        <w:tc>
          <w:tcPr>
            <w:tcW w:w="3040" w:type="dxa"/>
            <w:vAlign w:val="bottom"/>
          </w:tcPr>
          <w:p>
            <w:pPr>
              <w:spacing w:after="0"/>
              <w:rPr>
                <w:sz w:val="7"/>
                <w:szCs w:val="7"/>
                <w:color w:val="auto"/>
              </w:rPr>
            </w:pPr>
          </w:p>
        </w:tc>
        <w:tc>
          <w:tcPr>
            <w:tcW w:w="29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17"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(786) 297-9500</w:t>
      </w:r>
    </w:p>
    <w:p>
      <w:pPr>
        <w:spacing w:after="0" w:line="20"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192"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40" w:lineRule="exact"/>
        <w:rPr>
          <w:sz w:val="24"/>
          <w:szCs w:val="24"/>
          <w:color w:val="auto"/>
        </w:rPr>
      </w:pPr>
    </w:p>
    <w:p>
      <w:pPr>
        <w:ind w:right="560"/>
        <w:spacing w:after="0" w:line="266"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260" w:hanging="216"/>
        <w:spacing w:after="0"/>
        <w:tabs>
          <w:tab w:leader="none" w:pos="260" w:val="left"/>
        </w:tabs>
        <w:numPr>
          <w:ilvl w:val="0"/>
          <w:numId w:val="1"/>
        </w:numPr>
        <w:rPr>
          <w:rFonts w:ascii="MS PGothic" w:cs="MS PGothic" w:eastAsia="MS PGothic" w:hAnsi="MS PGothic"/>
          <w:sz w:val="14"/>
          <w:szCs w:val="14"/>
          <w:color w:val="auto"/>
          <w:highlight w:val="black"/>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98" w:lineRule="exact"/>
        <w:rPr>
          <w:rFonts w:ascii="MS PGothic" w:cs="MS PGothic" w:eastAsia="MS PGothic" w:hAnsi="MS PGothic"/>
          <w:sz w:val="14"/>
          <w:szCs w:val="14"/>
          <w:color w:val="auto"/>
          <w:highlight w:val="black"/>
        </w:rPr>
      </w:pPr>
    </w:p>
    <w:p>
      <w:pPr>
        <w:ind w:left="260" w:hanging="216"/>
        <w:spacing w:after="0"/>
        <w:tabs>
          <w:tab w:leader="none" w:pos="260" w:val="left"/>
        </w:tabs>
        <w:numPr>
          <w:ilvl w:val="0"/>
          <w:numId w:val="1"/>
        </w:numPr>
        <w:rPr>
          <w:rFonts w:ascii="MS PGothic" w:cs="MS PGothic" w:eastAsia="MS PGothic" w:hAnsi="MS PGothic"/>
          <w:sz w:val="14"/>
          <w:szCs w:val="14"/>
          <w:color w:val="auto"/>
          <w:highlight w:val="black"/>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11" w:lineRule="exact"/>
        <w:rPr>
          <w:rFonts w:ascii="MS PGothic" w:cs="MS PGothic" w:eastAsia="MS PGothic" w:hAnsi="MS PGothic"/>
          <w:sz w:val="14"/>
          <w:szCs w:val="14"/>
          <w:color w:val="auto"/>
          <w:highlight w:val="black"/>
        </w:rPr>
      </w:pPr>
    </w:p>
    <w:p>
      <w:pPr>
        <w:ind w:left="220" w:hanging="176"/>
        <w:spacing w:after="0"/>
        <w:tabs>
          <w:tab w:leader="none" w:pos="220" w:val="left"/>
        </w:tabs>
        <w:numPr>
          <w:ilvl w:val="0"/>
          <w:numId w:val="1"/>
        </w:numPr>
        <w:rPr>
          <w:rFonts w:ascii="MS PGothic" w:cs="MS PGothic" w:eastAsia="MS PGothic" w:hAnsi="MS PGothic"/>
          <w:sz w:val="14"/>
          <w:szCs w:val="14"/>
          <w:color w:val="auto"/>
          <w:highlight w:val="black"/>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11" w:lineRule="exact"/>
        <w:rPr>
          <w:rFonts w:ascii="MS PGothic" w:cs="MS PGothic" w:eastAsia="MS PGothic" w:hAnsi="MS PGothic"/>
          <w:sz w:val="14"/>
          <w:szCs w:val="14"/>
          <w:color w:val="auto"/>
          <w:highlight w:val="black"/>
        </w:rPr>
      </w:pPr>
    </w:p>
    <w:p>
      <w:pPr>
        <w:ind w:right="2860" w:firstLine="44"/>
        <w:spacing w:after="0" w:line="481" w:lineRule="auto"/>
        <w:tabs>
          <w:tab w:leader="none" w:pos="216" w:val="left"/>
        </w:tabs>
        <w:numPr>
          <w:ilvl w:val="0"/>
          <w:numId w:val="1"/>
        </w:numPr>
        <w:rPr>
          <w:rFonts w:ascii="MS PGothic" w:cs="MS PGothic" w:eastAsia="MS PGothic" w:hAnsi="MS PGothic"/>
          <w:sz w:val="14"/>
          <w:szCs w:val="14"/>
          <w:color w:val="auto"/>
          <w:highlight w:val="black"/>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ectPr>
          <w:pgSz w:w="11900" w:h="16838" w:orient="portrait"/>
          <w:cols w:equalWidth="0" w:num="1">
            <w:col w:w="11120"/>
          </w:cols>
          <w:pgMar w:left="320" w:top="906" w:right="459" w:bottom="1440" w:gutter="0" w:footer="0" w:header="0"/>
        </w:sectPr>
      </w:pPr>
    </w:p>
    <w:p>
      <w:pPr>
        <w:spacing w:after="0" w:line="1" w:lineRule="exact"/>
        <w:rPr>
          <w:sz w:val="24"/>
          <w:szCs w:val="24"/>
          <w:color w:val="auto"/>
        </w:rPr>
      </w:pPr>
    </w:p>
    <w:p>
      <w:pPr>
        <w:ind w:left="1460"/>
        <w:spacing w:after="0"/>
        <w:rPr>
          <w:sz w:val="20"/>
          <w:szCs w:val="20"/>
          <w:color w:val="auto"/>
        </w:rPr>
      </w:pPr>
      <w:r>
        <w:rPr>
          <w:rFonts w:ascii="Times New Roman" w:cs="Times New Roman" w:eastAsia="Times New Roman" w:hAnsi="Times New Roman"/>
          <w:sz w:val="14"/>
          <w:szCs w:val="14"/>
          <w:b w:val="1"/>
          <w:bCs w:val="1"/>
          <w:color w:val="auto"/>
        </w:rPr>
        <w:t>Title of Each Class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Trading Symbol(s)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p>
      <w:pPr>
        <w:spacing w:after="0" w:line="29" w:lineRule="exact"/>
        <w:rPr>
          <w:sz w:val="24"/>
          <w:szCs w:val="24"/>
          <w:color w:val="auto"/>
        </w:rPr>
      </w:pPr>
    </w:p>
    <w:p>
      <w:pPr>
        <w:sectPr>
          <w:pgSz w:w="11900" w:h="16838" w:orient="portrait"/>
          <w:cols w:equalWidth="0" w:num="3">
            <w:col w:w="4380" w:space="720"/>
            <w:col w:w="2040" w:space="720"/>
            <w:col w:w="3260"/>
          </w:cols>
          <w:pgMar w:left="320" w:top="906" w:right="459" w:bottom="1440" w:gutter="0" w:footer="0" w:header="0"/>
          <w:type w:val="continuous"/>
        </w:sectPr>
      </w:pPr>
    </w:p>
    <w:p>
      <w:pPr>
        <w:ind w:left="800"/>
        <w:spacing w:after="0"/>
        <w:rPr>
          <w:sz w:val="20"/>
          <w:szCs w:val="20"/>
          <w:color w:val="auto"/>
        </w:rPr>
      </w:pPr>
      <w:r>
        <w:rPr>
          <w:rFonts w:ascii="Times New Roman" w:cs="Times New Roman" w:eastAsia="Times New Roman" w:hAnsi="Times New Roman"/>
          <w:sz w:val="14"/>
          <w:szCs w:val="14"/>
          <w:color w:val="auto"/>
        </w:rPr>
        <w:t>Common Stock, par value $0.001 per share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3"/>
          <w:szCs w:val="13"/>
          <w:color w:val="auto"/>
        </w:rPr>
        <w:t>PFLT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color w:val="auto"/>
        </w:rPr>
        <w:t>The New York Stock Exchange</w:t>
      </w:r>
    </w:p>
    <w:p>
      <w:pPr>
        <w:spacing w:after="0" w:line="195" w:lineRule="exact"/>
        <w:rPr>
          <w:sz w:val="24"/>
          <w:szCs w:val="24"/>
          <w:color w:val="auto"/>
        </w:rPr>
      </w:pPr>
    </w:p>
    <w:p>
      <w:pPr>
        <w:sectPr>
          <w:pgSz w:w="11900" w:h="16838" w:orient="portrait"/>
          <w:cols w:equalWidth="0" w:num="3">
            <w:col w:w="4800" w:space="720"/>
            <w:col w:w="2120" w:space="720"/>
            <w:col w:w="2760"/>
          </w:cols>
          <w:pgMar w:left="320" w:top="906" w:right="459" w:bottom="1440" w:gutter="0" w:footer="0" w:header="0"/>
          <w:type w:val="continuous"/>
        </w:sectPr>
      </w:pPr>
    </w:p>
    <w:p>
      <w:pPr>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 230.405) or Rule 12b-2 of the Securities Exchange Act of 1934 (17 CFR § 240.12b-2).</w:t>
      </w:r>
    </w:p>
    <w:p>
      <w:pPr>
        <w:spacing w:after="0" w:line="106"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highlight w:val="black"/>
        </w:rPr>
        <w:t>☐</w:t>
      </w:r>
    </w:p>
    <w:p>
      <w:pPr>
        <w:spacing w:after="0" w:line="240" w:lineRule="exact"/>
        <w:rPr>
          <w:sz w:val="24"/>
          <w:szCs w:val="24"/>
          <w:color w:val="auto"/>
        </w:rPr>
      </w:pPr>
    </w:p>
    <w:p>
      <w:pPr>
        <w:ind w:right="40"/>
        <w:spacing w:after="0" w:line="228"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highlight w:val="black"/>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824230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906" w:right="459" w:bottom="1440" w:gutter="0" w:footer="0" w:header="0"/>
          <w:type w:val="continuous"/>
        </w:sectPr>
      </w:pPr>
    </w:p>
    <w:bookmarkStart w:id="1" w:name="page2"/>
    <w:bookmarkEnd w:id="1"/>
    <w:p>
      <w:pPr>
        <w:spacing w:after="0" w:line="35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749300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135"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8"/>
          <w:szCs w:val="18"/>
          <w:color w:val="auto"/>
        </w:rPr>
        <w:t>On November 16, 2022, PennantPark Floating Rate Capital Ltd., or the Company, issued a press release announcing its financial results for the fourth fiscal quarter ended September 30, 2022. A copy of the press release is furnished as Exhibit 99.1 to this report pursuant to Item 2.02 on Form 8-K and Regulation FD. A copy of the Company's schedule of investments as of September 30, 2022 and 2021 are furnished as Exhibit 99.2 to this report pursuant to Item 2.02 on Form 8-K and Regulation FD.</w:t>
      </w:r>
    </w:p>
    <w:p>
      <w:pPr>
        <w:spacing w:after="0" w:line="145"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8"/>
          <w:szCs w:val="18"/>
          <w:color w:val="auto"/>
        </w:rPr>
        <w:t>The information in this report on Form 8-K, including Exhibits 99.1 and 99.2 furnished herewith, is being furnished and shall not be deemed “filed” for purposes of Section 18 of the Securities Exchange Act of 1934, as amended, or the Exchange Act, or otherwise subject to the liabilities of such section. The information in this report on Form 8-K shall not be deemed incorporated by reference in any filing under the Securities Act of 1933, as amended, or the Securities Act, or under the Exchange Act, except as shall be expressly set forth by specific reference in such filing.</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75" w:lineRule="exact"/>
        <w:rPr>
          <w:sz w:val="20"/>
          <w:szCs w:val="20"/>
          <w:color w:val="auto"/>
        </w:rPr>
      </w:pPr>
    </w:p>
    <w:p>
      <w:pPr>
        <w:jc w:val="both"/>
        <w:spacing w:after="0" w:line="224" w:lineRule="auto"/>
        <w:rPr>
          <w:sz w:val="20"/>
          <w:szCs w:val="20"/>
          <w:color w:val="auto"/>
        </w:rPr>
      </w:pPr>
      <w:r>
        <w:rPr>
          <w:rFonts w:ascii="Times New Roman" w:cs="Times New Roman" w:eastAsia="Times New Roman" w:hAnsi="Times New Roman"/>
          <w:sz w:val="18"/>
          <w:szCs w:val="18"/>
          <w:color w:val="auto"/>
        </w:rPr>
        <w:t>This report on Form 8-K, including Exhibits 99.1 and 99.2 furnished herewith, may contain “forward-looking statements” within the meaning of the Private Securities Litigation Reform Act of 1995. You should understand that under Section 27A(b)(2)(B) of the Securities Act and Section 21E(b)(2)(B) of the Exchange Act, the “safe harbor” provisions of the Private Securities Litigation Reform Act of 1995 do not apply to forward-looking statements made in periodic reports the Company files under the Exchange Act. All statements other than statements of historical facts included in this report on Form 8-K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as well as changes in the economy and risks associated with possible disruption in the Company’s operations or the economy generally due to terrorism, natural disasters or pandemics such as COVID-19. The Company undertakes no duty to update any forward-looking statement made herein. You should not place undue influence on such forward-looking statements as such statements speak only as of the date on which they are made.</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may use words such as “anticipates,” “believes,” “expects,” “intends,” “seeks,” “plans,” “estimates” and similar expressions to identify</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forward-looking statements. Such statements are based on currently available operating, financial and competitive information and are subject to various risks and uncertainties that could cause actual results to differ materially from its historical experience and present expectations.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44" w:lineRule="exact"/>
        <w:rPr>
          <w:sz w:val="20"/>
          <w:szCs w:val="20"/>
          <w:color w:val="auto"/>
        </w:rPr>
      </w:pPr>
    </w:p>
    <w:p>
      <w:pPr>
        <w:ind w:left="580" w:right="9300" w:hanging="579"/>
        <w:spacing w:after="0" w:line="233" w:lineRule="auto"/>
        <w:tabs>
          <w:tab w:leader="none" w:pos="25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Financial statements: </w:t>
      </w:r>
      <w:r>
        <w:rPr>
          <w:rFonts w:ascii="Times New Roman" w:cs="Times New Roman" w:eastAsia="Times New Roman" w:hAnsi="Times New Roman"/>
          <w:sz w:val="18"/>
          <w:szCs w:val="18"/>
          <w:color w:val="auto"/>
        </w:rPr>
        <w:t>None</w:t>
      </w:r>
    </w:p>
    <w:p>
      <w:pPr>
        <w:ind w:left="580" w:right="8400" w:hanging="579"/>
        <w:spacing w:after="0" w:line="219" w:lineRule="auto"/>
        <w:tabs>
          <w:tab w:leader="none" w:pos="26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Pro forma financial information: </w:t>
      </w:r>
      <w:r>
        <w:rPr>
          <w:rFonts w:ascii="Times New Roman" w:cs="Times New Roman" w:eastAsia="Times New Roman" w:hAnsi="Times New Roman"/>
          <w:sz w:val="18"/>
          <w:szCs w:val="18"/>
          <w:color w:val="auto"/>
        </w:rPr>
        <w:t>None</w:t>
      </w:r>
    </w:p>
    <w:p>
      <w:pPr>
        <w:ind w:left="580" w:right="8780" w:hanging="579"/>
        <w:spacing w:after="0" w:line="219" w:lineRule="auto"/>
        <w:tabs>
          <w:tab w:leader="none" w:pos="24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Shell company transactions: </w:t>
      </w:r>
      <w:r>
        <w:rPr>
          <w:rFonts w:ascii="Times New Roman" w:cs="Times New Roman" w:eastAsia="Times New Roman" w:hAnsi="Times New Roman"/>
          <w:sz w:val="18"/>
          <w:szCs w:val="18"/>
          <w:color w:val="auto"/>
        </w:rPr>
        <w:t>None</w:t>
      </w:r>
    </w:p>
    <w:p>
      <w:pPr>
        <w:ind w:left="260" w:hanging="259"/>
        <w:spacing w:after="0" w:line="219" w:lineRule="auto"/>
        <w:tabs>
          <w:tab w:leader="none" w:pos="26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Exhibits</w:t>
      </w:r>
    </w:p>
    <w:p>
      <w:pPr>
        <w:ind w:left="580"/>
        <w:spacing w:after="0" w:line="232" w:lineRule="auto"/>
        <w:tabs>
          <w:tab w:leader="none" w:pos="116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u w:val="single" w:color="auto"/>
          <w:color w:val="0000FF"/>
        </w:rPr>
        <w:t>Press Release of PennantPark Floating Rate Capital Ltd. dated November 16, 2022</w:t>
      </w:r>
    </w:p>
    <w:p>
      <w:pPr>
        <w:ind w:left="580"/>
        <w:spacing w:after="0" w:line="203" w:lineRule="auto"/>
        <w:tabs>
          <w:tab w:leader="none" w:pos="1140" w:val="left"/>
        </w:tabs>
        <w:rPr>
          <w:sz w:val="20"/>
          <w:szCs w:val="20"/>
          <w:color w:val="auto"/>
        </w:rPr>
      </w:pPr>
      <w:r>
        <w:rPr>
          <w:rFonts w:ascii="Times New Roman" w:cs="Times New Roman" w:eastAsia="Times New Roman" w:hAnsi="Times New Roman"/>
          <w:sz w:val="18"/>
          <w:szCs w:val="18"/>
          <w:color w:val="auto"/>
        </w:rPr>
        <w:t>99.2</w:t>
      </w:r>
      <w:r>
        <w:rPr>
          <w:sz w:val="20"/>
          <w:szCs w:val="20"/>
          <w:color w:val="auto"/>
        </w:rPr>
        <w:tab/>
      </w:r>
      <w:r>
        <w:rPr>
          <w:rFonts w:ascii="Times New Roman" w:cs="Times New Roman" w:eastAsia="Times New Roman" w:hAnsi="Times New Roman"/>
          <w:sz w:val="18"/>
          <w:szCs w:val="18"/>
          <w:u w:val="single" w:color="auto"/>
          <w:color w:val="0000FF"/>
        </w:rPr>
        <w:t>Schedule of Investments as of September 30, 2022 and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737870</wp:posOffset>
            </wp:positionH>
            <wp:positionV relativeFrom="paragraph">
              <wp:posOffset>0</wp:posOffset>
            </wp:positionV>
            <wp:extent cx="276669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766695" cy="8255"/>
                    </a:xfrm>
                    <a:prstGeom prst="rect">
                      <a:avLst/>
                    </a:prstGeom>
                    <a:noFill/>
                  </pic:spPr>
                </pic:pic>
              </a:graphicData>
            </a:graphic>
          </wp:anchor>
        </w:drawing>
      </w:r>
    </w:p>
    <w:p>
      <w:pPr>
        <w:ind w:left="620"/>
        <w:spacing w:after="0"/>
        <w:tabs>
          <w:tab w:leader="none" w:pos="1140" w:val="left"/>
        </w:tabs>
        <w:rPr>
          <w:sz w:val="20"/>
          <w:szCs w:val="20"/>
          <w:color w:val="auto"/>
        </w:rPr>
      </w:pPr>
      <w:r>
        <w:rPr>
          <w:rFonts w:ascii="Times New Roman" w:cs="Times New Roman" w:eastAsia="Times New Roman" w:hAnsi="Times New Roman"/>
          <w:sz w:val="18"/>
          <w:szCs w:val="18"/>
          <w:color w:val="auto"/>
        </w:rPr>
        <w:t>104</w:t>
        <w:tab/>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219075</wp:posOffset>
            </wp:positionV>
            <wp:extent cx="71151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135" w:lineRule="exact"/>
        <w:rPr>
          <w:sz w:val="20"/>
          <w:szCs w:val="20"/>
          <w:color w:val="auto"/>
        </w:rPr>
      </w:pPr>
    </w:p>
    <w:p>
      <w:pPr>
        <w:ind w:right="320"/>
        <w:spacing w:after="0" w:line="250" w:lineRule="auto"/>
        <w:rPr>
          <w:sz w:val="20"/>
          <w:szCs w:val="20"/>
          <w:color w:val="auto"/>
        </w:rPr>
      </w:pPr>
      <w:r>
        <w:rPr>
          <w:rFonts w:ascii="Times New Roman" w:cs="Times New Roman" w:eastAsia="Times New Roman" w:hAnsi="Times New Roman"/>
          <w:sz w:val="18"/>
          <w:szCs w:val="18"/>
          <w:color w:val="auto"/>
        </w:rPr>
        <w:t>Pursuant to the requirements of the Exchange Act, the registrant has duly caused this report to be signed on its behalf by the undersigned hereunto duly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436880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440" w:right="3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color w:val="auto"/>
        </w:rPr>
        <w:t>Dated: November 16, 2022</w:t>
      </w:r>
    </w:p>
    <w:p>
      <w:pPr>
        <w:jc w:val="right"/>
        <w:ind w:right="599"/>
        <w:spacing w:after="0"/>
        <w:rPr>
          <w:sz w:val="20"/>
          <w:szCs w:val="20"/>
          <w:color w:val="auto"/>
        </w:rPr>
      </w:pPr>
      <w:r>
        <w:rPr>
          <w:rFonts w:ascii="Times New Roman" w:cs="Times New Roman" w:eastAsia="Times New Roman" w:hAnsi="Times New Roman"/>
          <w:sz w:val="18"/>
          <w:szCs w:val="18"/>
          <w:b w:val="1"/>
          <w:bCs w:val="1"/>
          <w:color w:val="auto"/>
        </w:rPr>
        <w:t>PENNANTPARK FLOATING RATE CAPITAL LTD.</w:t>
      </w:r>
    </w:p>
    <w:p>
      <w:pPr>
        <w:spacing w:after="0" w:line="111"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Richard T. Allorto, Jr.</w:t>
      </w:r>
    </w:p>
    <w:p>
      <w:pPr>
        <w:ind w:left="5620"/>
        <w:spacing w:after="0" w:line="221" w:lineRule="auto"/>
        <w:rPr>
          <w:sz w:val="20"/>
          <w:szCs w:val="20"/>
          <w:color w:val="auto"/>
        </w:rPr>
      </w:pPr>
      <w:r>
        <w:rPr>
          <w:rFonts w:ascii="Times New Roman" w:cs="Times New Roman" w:eastAsia="Times New Roman" w:hAnsi="Times New Roman"/>
          <w:sz w:val="18"/>
          <w:szCs w:val="18"/>
          <w:color w:val="auto"/>
        </w:rPr>
        <w:t>Richard T. Allorto, Jr.</w:t>
      </w:r>
    </w:p>
    <w:p>
      <w:pPr>
        <w:ind w:left="5620"/>
        <w:spacing w:after="0"/>
        <w:rPr>
          <w:sz w:val="20"/>
          <w:szCs w:val="20"/>
          <w:color w:val="auto"/>
        </w:rPr>
      </w:pPr>
      <w:r>
        <w:rPr>
          <w:rFonts w:ascii="Times New Roman" w:cs="Times New Roman" w:eastAsia="Times New Roman" w:hAnsi="Times New Roman"/>
          <w:sz w:val="18"/>
          <w:szCs w:val="18"/>
          <w:i w:val="1"/>
          <w:iCs w:val="1"/>
          <w:color w:val="auto"/>
        </w:rPr>
        <w:t>Chief Financial Officer &amp; 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321945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1697990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19"/>
          </w:cols>
          <w:pgMar w:left="340" w:top="83" w:right="1440" w:bottom="1440" w:gutter="0" w:footer="0" w:header="0"/>
        </w:sectPr>
      </w:pPr>
    </w:p>
    <w:bookmarkStart w:id="3" w:name="page4"/>
    <w:bookmarkEnd w:id="3"/>
    <w:p>
      <w:pPr>
        <w:ind w:left="10120"/>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1448435" cy="3346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448435" cy="3346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PennantPark Floating Rate Capital Ltd. Announces Financial Results for the Fourth Quarter and Fiscal Year Ended September 30, 2022</w:t>
      </w:r>
    </w:p>
    <w:p>
      <w:pPr>
        <w:spacing w:after="0" w:line="202"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 xml:space="preserve">Miami, FL </w:t>
      </w:r>
      <w:r>
        <w:rPr>
          <w:rFonts w:ascii="Times New Roman" w:cs="Times New Roman" w:eastAsia="Times New Roman" w:hAnsi="Times New Roman"/>
          <w:sz w:val="14"/>
          <w:szCs w:val="14"/>
          <w:color w:val="auto"/>
        </w:rPr>
        <w:t>—</w:t>
      </w:r>
      <w:r>
        <w:rPr>
          <w:rFonts w:ascii="Times New Roman" w:cs="Times New Roman" w:eastAsia="Times New Roman" w:hAnsi="Times New Roman"/>
          <w:sz w:val="18"/>
          <w:szCs w:val="18"/>
          <w:color w:val="auto"/>
        </w:rPr>
        <w:t xml:space="preserve"> (GLOBE NEWSWIRE </w:t>
      </w:r>
      <w:r>
        <w:rPr>
          <w:rFonts w:ascii="Times New Roman" w:cs="Times New Roman" w:eastAsia="Times New Roman" w:hAnsi="Times New Roman"/>
          <w:sz w:val="14"/>
          <w:szCs w:val="14"/>
          <w:color w:val="auto"/>
        </w:rPr>
        <w:t>—</w:t>
      </w:r>
      <w:r>
        <w:rPr>
          <w:rFonts w:ascii="Times New Roman" w:cs="Times New Roman" w:eastAsia="Times New Roman" w:hAnsi="Times New Roman"/>
          <w:sz w:val="18"/>
          <w:szCs w:val="18"/>
          <w:color w:val="auto"/>
        </w:rPr>
        <w:t xml:space="preserve"> November 16, 2022) </w:t>
      </w:r>
      <w:r>
        <w:rPr>
          <w:rFonts w:ascii="Times New Roman" w:cs="Times New Roman" w:eastAsia="Times New Roman" w:hAnsi="Times New Roman"/>
          <w:sz w:val="14"/>
          <w:szCs w:val="14"/>
          <w:color w:val="auto"/>
        </w:rPr>
        <w:t>—</w:t>
      </w:r>
      <w:r>
        <w:rPr>
          <w:rFonts w:ascii="Times New Roman" w:cs="Times New Roman" w:eastAsia="Times New Roman" w:hAnsi="Times New Roman"/>
          <w:sz w:val="18"/>
          <w:szCs w:val="18"/>
          <w:color w:val="auto"/>
        </w:rPr>
        <w:t xml:space="preserve"> PennantPark Floating Rate Capital Ltd. (NYSE: PFLT) (TASE: PFLT) announced today financial results for the fourth quarter and fiscal year ended September 30, 2022.</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HIGHLIGHTS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Quarter ended September 30, 2022</w:t>
      </w:r>
    </w:p>
    <w:p>
      <w:pPr>
        <w:spacing w:after="0"/>
        <w:rPr>
          <w:sz w:val="20"/>
          <w:szCs w:val="20"/>
          <w:color w:val="auto"/>
        </w:rPr>
      </w:pPr>
      <w:r>
        <w:rPr>
          <w:rFonts w:ascii="Times New Roman" w:cs="Times New Roman" w:eastAsia="Times New Roman" w:hAnsi="Times New Roman"/>
          <w:sz w:val="18"/>
          <w:szCs w:val="18"/>
          <w:color w:val="auto"/>
        </w:rPr>
        <w:t>($ in millions, except per share amounts)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77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Assets and Liabilities:</w:t>
            </w:r>
          </w:p>
        </w:tc>
        <w:tc>
          <w:tcPr>
            <w:tcW w:w="160" w:type="dxa"/>
            <w:vAlign w:val="bottom"/>
            <w:shd w:val="clear" w:color="auto" w:fill="CCECFF"/>
          </w:tcPr>
          <w:p>
            <w:pPr>
              <w:spacing w:after="0"/>
              <w:rPr>
                <w:sz w:val="15"/>
                <w:szCs w:val="15"/>
                <w:color w:val="auto"/>
              </w:rPr>
            </w:pPr>
          </w:p>
        </w:tc>
        <w:tc>
          <w:tcPr>
            <w:tcW w:w="1440" w:type="dxa"/>
            <w:vAlign w:val="bottom"/>
            <w:shd w:val="clear" w:color="auto" w:fill="CCECFF"/>
          </w:tcPr>
          <w:p>
            <w:pPr>
              <w:spacing w:after="0"/>
              <w:rPr>
                <w:sz w:val="15"/>
                <w:szCs w:val="15"/>
                <w:color w:val="auto"/>
              </w:rPr>
            </w:pPr>
          </w:p>
        </w:tc>
        <w:tc>
          <w:tcPr>
            <w:tcW w:w="260" w:type="dxa"/>
            <w:vAlign w:val="bottom"/>
            <w:shd w:val="clear" w:color="auto" w:fill="CCECFF"/>
          </w:tcPr>
          <w:p>
            <w:pPr>
              <w:spacing w:after="0"/>
              <w:rPr>
                <w:sz w:val="15"/>
                <w:szCs w:val="15"/>
                <w:color w:val="auto"/>
              </w:rPr>
            </w:pPr>
          </w:p>
        </w:tc>
        <w:tc>
          <w:tcPr>
            <w:tcW w:w="160" w:type="dxa"/>
            <w:vAlign w:val="bottom"/>
            <w:shd w:val="clear" w:color="auto" w:fill="CCECFF"/>
          </w:tcPr>
          <w:p>
            <w:pPr>
              <w:spacing w:after="0"/>
              <w:rPr>
                <w:sz w:val="15"/>
                <w:szCs w:val="15"/>
                <w:color w:val="auto"/>
              </w:rPr>
            </w:pPr>
          </w:p>
        </w:tc>
        <w:tc>
          <w:tcPr>
            <w:tcW w:w="1420" w:type="dxa"/>
            <w:vAlign w:val="bottom"/>
            <w:shd w:val="clear" w:color="auto" w:fill="CCECFF"/>
          </w:tcPr>
          <w:p>
            <w:pPr>
              <w:spacing w:after="0"/>
              <w:rPr>
                <w:sz w:val="15"/>
                <w:szCs w:val="15"/>
                <w:color w:val="auto"/>
              </w:rPr>
            </w:pPr>
          </w:p>
        </w:tc>
        <w:tc>
          <w:tcPr>
            <w:tcW w:w="100" w:type="dxa"/>
            <w:vAlign w:val="bottom"/>
            <w:shd w:val="clear" w:color="auto" w:fill="CCECFF"/>
          </w:tcPr>
          <w:p>
            <w:pPr>
              <w:spacing w:after="0"/>
              <w:rPr>
                <w:sz w:val="15"/>
                <w:szCs w:val="15"/>
                <w:color w:val="auto"/>
              </w:rPr>
            </w:pPr>
          </w:p>
        </w:tc>
        <w:tc>
          <w:tcPr>
            <w:tcW w:w="80" w:type="dxa"/>
            <w:vAlign w:val="bottom"/>
          </w:tcPr>
          <w:p>
            <w:pPr>
              <w:spacing w:after="0"/>
              <w:rPr>
                <w:sz w:val="15"/>
                <w:szCs w:val="15"/>
                <w:color w:val="auto"/>
              </w:rPr>
            </w:pPr>
          </w:p>
        </w:tc>
      </w:tr>
      <w:tr>
        <w:trPr>
          <w:trHeight w:val="175"/>
        </w:trPr>
        <w:tc>
          <w:tcPr>
            <w:tcW w:w="7700" w:type="dxa"/>
            <w:vAlign w:val="bottom"/>
          </w:tcPr>
          <w:p>
            <w:pPr>
              <w:ind w:left="200"/>
              <w:spacing w:after="0" w:line="175" w:lineRule="exact"/>
              <w:rPr>
                <w:sz w:val="20"/>
                <w:szCs w:val="20"/>
                <w:color w:val="auto"/>
              </w:rPr>
            </w:pPr>
            <w:r>
              <w:rPr>
                <w:rFonts w:ascii="Times New Roman" w:cs="Times New Roman" w:eastAsia="Times New Roman" w:hAnsi="Times New Roman"/>
                <w:sz w:val="14"/>
                <w:szCs w:val="14"/>
                <w:color w:val="auto"/>
              </w:rPr>
              <w:t xml:space="preserve">Investment portfolio </w:t>
            </w:r>
            <w:r>
              <w:rPr>
                <w:rFonts w:ascii="Times New Roman" w:cs="Times New Roman" w:eastAsia="Times New Roman" w:hAnsi="Times New Roman"/>
                <w:sz w:val="19"/>
                <w:szCs w:val="19"/>
                <w:color w:val="auto"/>
                <w:vertAlign w:val="superscript"/>
              </w:rPr>
              <w:t>(1)</w:t>
            </w:r>
          </w:p>
        </w:tc>
        <w:tc>
          <w:tcPr>
            <w:tcW w:w="1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4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1,164.3</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76"/>
        </w:trPr>
        <w:tc>
          <w:tcPr>
            <w:tcW w:w="7700" w:type="dxa"/>
            <w:vAlign w:val="bottom"/>
            <w:shd w:val="clear" w:color="auto" w:fill="CCECFF"/>
          </w:tcPr>
          <w:p>
            <w:pPr>
              <w:ind w:left="200"/>
              <w:spacing w:after="0"/>
              <w:rPr>
                <w:sz w:val="20"/>
                <w:szCs w:val="20"/>
                <w:color w:val="auto"/>
              </w:rPr>
            </w:pPr>
            <w:r>
              <w:rPr>
                <w:rFonts w:ascii="Times New Roman" w:cs="Times New Roman" w:eastAsia="Times New Roman" w:hAnsi="Times New Roman"/>
                <w:sz w:val="14"/>
                <w:szCs w:val="14"/>
                <w:color w:val="auto"/>
              </w:rPr>
              <w:t>Net assets</w:t>
            </w:r>
          </w:p>
        </w:tc>
        <w:tc>
          <w:tcPr>
            <w:tcW w:w="160" w:type="dxa"/>
            <w:vAlign w:val="bottom"/>
            <w:shd w:val="clear" w:color="auto" w:fill="CCECFF"/>
          </w:tcPr>
          <w:p>
            <w:pPr>
              <w:spacing w:after="0"/>
              <w:rPr>
                <w:sz w:val="15"/>
                <w:szCs w:val="15"/>
                <w:color w:val="auto"/>
              </w:rPr>
            </w:pPr>
          </w:p>
        </w:tc>
        <w:tc>
          <w:tcPr>
            <w:tcW w:w="1440" w:type="dxa"/>
            <w:vAlign w:val="bottom"/>
            <w:shd w:val="clear" w:color="auto" w:fill="CCECFF"/>
          </w:tcPr>
          <w:p>
            <w:pPr>
              <w:spacing w:after="0"/>
              <w:rPr>
                <w:sz w:val="15"/>
                <w:szCs w:val="15"/>
                <w:color w:val="auto"/>
              </w:rPr>
            </w:pPr>
          </w:p>
        </w:tc>
        <w:tc>
          <w:tcPr>
            <w:tcW w:w="42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527.1</w:t>
            </w:r>
          </w:p>
        </w:tc>
        <w:tc>
          <w:tcPr>
            <w:tcW w:w="100" w:type="dxa"/>
            <w:vAlign w:val="bottom"/>
            <w:shd w:val="clear" w:color="auto" w:fill="CCECFF"/>
          </w:tcPr>
          <w:p>
            <w:pPr>
              <w:spacing w:after="0"/>
              <w:rPr>
                <w:sz w:val="15"/>
                <w:szCs w:val="15"/>
                <w:color w:val="auto"/>
              </w:rPr>
            </w:pPr>
          </w:p>
        </w:tc>
        <w:tc>
          <w:tcPr>
            <w:tcW w:w="80" w:type="dxa"/>
            <w:vAlign w:val="bottom"/>
          </w:tcPr>
          <w:p>
            <w:pPr>
              <w:spacing w:after="0"/>
              <w:rPr>
                <w:sz w:val="15"/>
                <w:szCs w:val="15"/>
                <w:color w:val="auto"/>
              </w:rPr>
            </w:pPr>
          </w:p>
        </w:tc>
      </w:tr>
      <w:tr>
        <w:trPr>
          <w:trHeight w:val="176"/>
        </w:trPr>
        <w:tc>
          <w:tcPr>
            <w:tcW w:w="77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GAAP net asset value per share</w:t>
            </w:r>
          </w:p>
        </w:tc>
        <w:tc>
          <w:tcPr>
            <w:tcW w:w="1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4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11.62</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47"/>
        </w:trPr>
        <w:tc>
          <w:tcPr>
            <w:tcW w:w="7700" w:type="dxa"/>
            <w:vAlign w:val="bottom"/>
          </w:tcPr>
          <w:p>
            <w:pPr>
              <w:ind w:left="200"/>
              <w:spacing w:after="0" w:line="147" w:lineRule="exact"/>
              <w:rPr>
                <w:sz w:val="20"/>
                <w:szCs w:val="20"/>
                <w:color w:val="auto"/>
              </w:rPr>
            </w:pPr>
            <w:r>
              <w:rPr>
                <w:rFonts w:ascii="Times New Roman" w:cs="Times New Roman" w:eastAsia="Times New Roman" w:hAnsi="Times New Roman"/>
                <w:sz w:val="14"/>
                <w:szCs w:val="14"/>
                <w:color w:val="auto"/>
              </w:rPr>
              <w:t>Quarterly decrease in GAAP net asset value per share</w:t>
            </w:r>
          </w:p>
        </w:tc>
        <w:tc>
          <w:tcPr>
            <w:tcW w:w="1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0" w:type="dxa"/>
            <w:vAlign w:val="bottom"/>
            <w:gridSpan w:val="3"/>
          </w:tcPr>
          <w:p>
            <w:pPr>
              <w:jc w:val="right"/>
              <w:spacing w:after="0" w:line="147" w:lineRule="exact"/>
              <w:rPr>
                <w:sz w:val="20"/>
                <w:szCs w:val="20"/>
                <w:color w:val="auto"/>
              </w:rPr>
            </w:pPr>
            <w:r>
              <w:rPr>
                <w:rFonts w:ascii="Times New Roman" w:cs="Times New Roman" w:eastAsia="Times New Roman" w:hAnsi="Times New Roman"/>
                <w:sz w:val="14"/>
                <w:szCs w:val="14"/>
                <w:color w:val="auto"/>
              </w:rPr>
              <w:t>(4.8 )%</w:t>
            </w:r>
          </w:p>
        </w:tc>
      </w:tr>
      <w:tr>
        <w:trPr>
          <w:trHeight w:val="176"/>
        </w:trPr>
        <w:tc>
          <w:tcPr>
            <w:tcW w:w="7700" w:type="dxa"/>
            <w:vAlign w:val="bottom"/>
          </w:tcPr>
          <w:p>
            <w:pPr>
              <w:ind w:left="200"/>
              <w:spacing w:after="0" w:line="175" w:lineRule="exact"/>
              <w:rPr>
                <w:sz w:val="20"/>
                <w:szCs w:val="20"/>
                <w:color w:val="auto"/>
              </w:rPr>
            </w:pPr>
            <w:r>
              <w:rPr>
                <w:rFonts w:ascii="Times New Roman" w:cs="Times New Roman" w:eastAsia="Times New Roman" w:hAnsi="Times New Roman"/>
                <w:sz w:val="14"/>
                <w:szCs w:val="14"/>
                <w:color w:val="auto"/>
              </w:rPr>
              <w:t xml:space="preserve">Adjusted net asset value per share </w:t>
            </w:r>
            <w:r>
              <w:rPr>
                <w:rFonts w:ascii="Times New Roman" w:cs="Times New Roman" w:eastAsia="Times New Roman" w:hAnsi="Times New Roman"/>
                <w:sz w:val="19"/>
                <w:szCs w:val="19"/>
                <w:color w:val="auto"/>
                <w:vertAlign w:val="superscript"/>
              </w:rPr>
              <w:t>(2)</w:t>
            </w:r>
          </w:p>
        </w:tc>
        <w:tc>
          <w:tcPr>
            <w:tcW w:w="1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4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11.59</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204"/>
        </w:trPr>
        <w:tc>
          <w:tcPr>
            <w:tcW w:w="7700" w:type="dxa"/>
            <w:vAlign w:val="bottom"/>
          </w:tcPr>
          <w:p>
            <w:pPr>
              <w:ind w:left="200"/>
              <w:spacing w:after="0" w:line="204" w:lineRule="exact"/>
              <w:rPr>
                <w:sz w:val="20"/>
                <w:szCs w:val="20"/>
                <w:color w:val="auto"/>
              </w:rPr>
            </w:pPr>
            <w:r>
              <w:rPr>
                <w:rFonts w:ascii="Times New Roman" w:cs="Times New Roman" w:eastAsia="Times New Roman" w:hAnsi="Times New Roman"/>
                <w:sz w:val="14"/>
                <w:szCs w:val="14"/>
                <w:color w:val="auto"/>
              </w:rPr>
              <w:t xml:space="preserve">Quarterly decrease in adjusted net asset value per share </w:t>
            </w:r>
            <w:r>
              <w:rPr>
                <w:rFonts w:ascii="Times New Roman" w:cs="Times New Roman" w:eastAsia="Times New Roman" w:hAnsi="Times New Roman"/>
                <w:sz w:val="19"/>
                <w:szCs w:val="19"/>
                <w:color w:val="auto"/>
                <w:vertAlign w:val="superscript"/>
              </w:rPr>
              <w:t>(2)</w:t>
            </w:r>
          </w:p>
        </w:tc>
        <w:tc>
          <w:tcPr>
            <w:tcW w:w="1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(3.6 )%</w:t>
            </w:r>
          </w:p>
        </w:tc>
      </w:tr>
      <w:tr>
        <w:trPr>
          <w:trHeight w:val="351"/>
        </w:trPr>
        <w:tc>
          <w:tcPr>
            <w:tcW w:w="7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75"/>
        </w:trPr>
        <w:tc>
          <w:tcPr>
            <w:tcW w:w="77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Credit Facility</w:t>
            </w:r>
          </w:p>
        </w:tc>
        <w:tc>
          <w:tcPr>
            <w:tcW w:w="160" w:type="dxa"/>
            <w:vAlign w:val="bottom"/>
            <w:shd w:val="clear" w:color="auto" w:fill="CCECFF"/>
          </w:tcPr>
          <w:p>
            <w:pPr>
              <w:spacing w:after="0"/>
              <w:rPr>
                <w:sz w:val="15"/>
                <w:szCs w:val="15"/>
                <w:color w:val="auto"/>
              </w:rPr>
            </w:pPr>
          </w:p>
        </w:tc>
        <w:tc>
          <w:tcPr>
            <w:tcW w:w="1440" w:type="dxa"/>
            <w:vAlign w:val="bottom"/>
            <w:shd w:val="clear" w:color="auto" w:fill="CCECFF"/>
          </w:tcPr>
          <w:p>
            <w:pPr>
              <w:spacing w:after="0"/>
              <w:rPr>
                <w:sz w:val="15"/>
                <w:szCs w:val="15"/>
                <w:color w:val="auto"/>
              </w:rPr>
            </w:pPr>
          </w:p>
        </w:tc>
        <w:tc>
          <w:tcPr>
            <w:tcW w:w="42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167.6</w:t>
            </w:r>
          </w:p>
        </w:tc>
        <w:tc>
          <w:tcPr>
            <w:tcW w:w="100" w:type="dxa"/>
            <w:vAlign w:val="bottom"/>
            <w:shd w:val="clear" w:color="auto" w:fill="CCECFF"/>
          </w:tcPr>
          <w:p>
            <w:pPr>
              <w:spacing w:after="0"/>
              <w:rPr>
                <w:sz w:val="15"/>
                <w:szCs w:val="15"/>
                <w:color w:val="auto"/>
              </w:rPr>
            </w:pPr>
          </w:p>
        </w:tc>
        <w:tc>
          <w:tcPr>
            <w:tcW w:w="80" w:type="dxa"/>
            <w:vAlign w:val="bottom"/>
          </w:tcPr>
          <w:p>
            <w:pPr>
              <w:spacing w:after="0"/>
              <w:rPr>
                <w:sz w:val="15"/>
                <w:szCs w:val="15"/>
                <w:color w:val="auto"/>
              </w:rPr>
            </w:pPr>
          </w:p>
        </w:tc>
      </w:tr>
      <w:tr>
        <w:trPr>
          <w:trHeight w:val="176"/>
        </w:trPr>
        <w:tc>
          <w:tcPr>
            <w:tcW w:w="7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2023 Notes</w:t>
            </w:r>
          </w:p>
        </w:tc>
        <w:tc>
          <w:tcPr>
            <w:tcW w:w="1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4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96.8</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75"/>
        </w:trPr>
        <w:tc>
          <w:tcPr>
            <w:tcW w:w="77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2026 Notes</w:t>
            </w:r>
          </w:p>
        </w:tc>
        <w:tc>
          <w:tcPr>
            <w:tcW w:w="160" w:type="dxa"/>
            <w:vAlign w:val="bottom"/>
            <w:shd w:val="clear" w:color="auto" w:fill="CCECFF"/>
          </w:tcPr>
          <w:p>
            <w:pPr>
              <w:spacing w:after="0"/>
              <w:rPr>
                <w:sz w:val="15"/>
                <w:szCs w:val="15"/>
                <w:color w:val="auto"/>
              </w:rPr>
            </w:pPr>
          </w:p>
        </w:tc>
        <w:tc>
          <w:tcPr>
            <w:tcW w:w="1440" w:type="dxa"/>
            <w:vAlign w:val="bottom"/>
            <w:shd w:val="clear" w:color="auto" w:fill="CCECFF"/>
          </w:tcPr>
          <w:p>
            <w:pPr>
              <w:spacing w:after="0"/>
              <w:rPr>
                <w:sz w:val="15"/>
                <w:szCs w:val="15"/>
                <w:color w:val="auto"/>
              </w:rPr>
            </w:pPr>
          </w:p>
        </w:tc>
        <w:tc>
          <w:tcPr>
            <w:tcW w:w="42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182.3</w:t>
            </w:r>
          </w:p>
        </w:tc>
        <w:tc>
          <w:tcPr>
            <w:tcW w:w="100" w:type="dxa"/>
            <w:vAlign w:val="bottom"/>
            <w:shd w:val="clear" w:color="auto" w:fill="CCECFF"/>
          </w:tcPr>
          <w:p>
            <w:pPr>
              <w:spacing w:after="0"/>
              <w:rPr>
                <w:sz w:val="15"/>
                <w:szCs w:val="15"/>
                <w:color w:val="auto"/>
              </w:rPr>
            </w:pPr>
          </w:p>
        </w:tc>
        <w:tc>
          <w:tcPr>
            <w:tcW w:w="80" w:type="dxa"/>
            <w:vAlign w:val="bottom"/>
          </w:tcPr>
          <w:p>
            <w:pPr>
              <w:spacing w:after="0"/>
              <w:rPr>
                <w:sz w:val="15"/>
                <w:szCs w:val="15"/>
                <w:color w:val="auto"/>
              </w:rPr>
            </w:pPr>
          </w:p>
        </w:tc>
      </w:tr>
      <w:tr>
        <w:trPr>
          <w:trHeight w:val="176"/>
        </w:trPr>
        <w:tc>
          <w:tcPr>
            <w:tcW w:w="7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2031 Asset-Backed Debt</w:t>
            </w:r>
          </w:p>
        </w:tc>
        <w:tc>
          <w:tcPr>
            <w:tcW w:w="1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4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226.1</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75"/>
        </w:trPr>
        <w:tc>
          <w:tcPr>
            <w:tcW w:w="77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Regulatory Debt to Equity</w:t>
            </w:r>
          </w:p>
        </w:tc>
        <w:tc>
          <w:tcPr>
            <w:tcW w:w="160" w:type="dxa"/>
            <w:vAlign w:val="bottom"/>
            <w:shd w:val="clear" w:color="auto" w:fill="CCECFF"/>
          </w:tcPr>
          <w:p>
            <w:pPr>
              <w:spacing w:after="0"/>
              <w:rPr>
                <w:sz w:val="15"/>
                <w:szCs w:val="15"/>
                <w:color w:val="auto"/>
              </w:rPr>
            </w:pPr>
          </w:p>
        </w:tc>
        <w:tc>
          <w:tcPr>
            <w:tcW w:w="1440" w:type="dxa"/>
            <w:vAlign w:val="bottom"/>
            <w:shd w:val="clear" w:color="auto" w:fill="CCECFF"/>
          </w:tcPr>
          <w:p>
            <w:pPr>
              <w:spacing w:after="0"/>
              <w:rPr>
                <w:sz w:val="15"/>
                <w:szCs w:val="15"/>
                <w:color w:val="auto"/>
              </w:rPr>
            </w:pPr>
          </w:p>
        </w:tc>
        <w:tc>
          <w:tcPr>
            <w:tcW w:w="260" w:type="dxa"/>
            <w:vAlign w:val="bottom"/>
            <w:shd w:val="clear" w:color="auto" w:fill="CCECFF"/>
          </w:tcPr>
          <w:p>
            <w:pPr>
              <w:spacing w:after="0"/>
              <w:rPr>
                <w:sz w:val="15"/>
                <w:szCs w:val="15"/>
                <w:color w:val="auto"/>
              </w:rPr>
            </w:pPr>
          </w:p>
        </w:tc>
        <w:tc>
          <w:tcPr>
            <w:tcW w:w="160" w:type="dxa"/>
            <w:vAlign w:val="bottom"/>
            <w:shd w:val="clear" w:color="auto" w:fill="CCECFF"/>
          </w:tcPr>
          <w:p>
            <w:pPr>
              <w:spacing w:after="0"/>
              <w:rPr>
                <w:sz w:val="15"/>
                <w:szCs w:val="15"/>
                <w:color w:val="auto"/>
              </w:rPr>
            </w:pPr>
          </w:p>
        </w:tc>
        <w:tc>
          <w:tcPr>
            <w:tcW w:w="1520" w:type="dxa"/>
            <w:vAlign w:val="bottom"/>
            <w:gridSpan w:val="2"/>
            <w:shd w:val="clear" w:color="auto" w:fill="CCECFF"/>
          </w:tcPr>
          <w:p>
            <w:pPr>
              <w:jc w:val="right"/>
              <w:ind w:right="120"/>
              <w:spacing w:after="0"/>
              <w:rPr>
                <w:sz w:val="20"/>
                <w:szCs w:val="20"/>
                <w:color w:val="auto"/>
              </w:rPr>
            </w:pPr>
            <w:r>
              <w:rPr>
                <w:rFonts w:ascii="Times New Roman" w:cs="Times New Roman" w:eastAsia="Times New Roman" w:hAnsi="Times New Roman"/>
                <w:sz w:val="14"/>
                <w:szCs w:val="14"/>
                <w:color w:val="auto"/>
              </w:rPr>
              <w:t>1.29x</w:t>
            </w:r>
          </w:p>
        </w:tc>
        <w:tc>
          <w:tcPr>
            <w:tcW w:w="80" w:type="dxa"/>
            <w:vAlign w:val="bottom"/>
          </w:tcPr>
          <w:p>
            <w:pPr>
              <w:spacing w:after="0"/>
              <w:rPr>
                <w:sz w:val="15"/>
                <w:szCs w:val="15"/>
                <w:color w:val="auto"/>
              </w:rPr>
            </w:pPr>
          </w:p>
        </w:tc>
      </w:tr>
      <w:tr>
        <w:trPr>
          <w:trHeight w:val="176"/>
        </w:trPr>
        <w:tc>
          <w:tcPr>
            <w:tcW w:w="7700" w:type="dxa"/>
            <w:vAlign w:val="bottom"/>
          </w:tcPr>
          <w:p>
            <w:pPr>
              <w:ind w:left="20"/>
              <w:spacing w:after="0" w:line="175" w:lineRule="exact"/>
              <w:rPr>
                <w:sz w:val="20"/>
                <w:szCs w:val="20"/>
                <w:color w:val="auto"/>
              </w:rPr>
            </w:pPr>
            <w:r>
              <w:rPr>
                <w:rFonts w:ascii="Times New Roman" w:cs="Times New Roman" w:eastAsia="Times New Roman" w:hAnsi="Times New Roman"/>
                <w:sz w:val="14"/>
                <w:szCs w:val="14"/>
                <w:color w:val="auto"/>
              </w:rPr>
              <w:t xml:space="preserve">GAAP Net Debt to Equity </w:t>
            </w:r>
            <w:r>
              <w:rPr>
                <w:rFonts w:ascii="Times New Roman" w:cs="Times New Roman" w:eastAsia="Times New Roman" w:hAnsi="Times New Roman"/>
                <w:sz w:val="19"/>
                <w:szCs w:val="19"/>
                <w:color w:val="auto"/>
                <w:vertAlign w:val="superscript"/>
              </w:rPr>
              <w:t>(3)</w:t>
            </w:r>
          </w:p>
        </w:tc>
        <w:tc>
          <w:tcPr>
            <w:tcW w:w="1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1.19x</w:t>
            </w:r>
          </w:p>
        </w:tc>
        <w:tc>
          <w:tcPr>
            <w:tcW w:w="80" w:type="dxa"/>
            <w:vAlign w:val="bottom"/>
          </w:tcPr>
          <w:p>
            <w:pPr>
              <w:spacing w:after="0"/>
              <w:rPr>
                <w:sz w:val="15"/>
                <w:szCs w:val="15"/>
                <w:color w:val="auto"/>
              </w:rPr>
            </w:pPr>
          </w:p>
        </w:tc>
      </w:tr>
      <w:tr>
        <w:trPr>
          <w:trHeight w:val="176"/>
        </w:trPr>
        <w:tc>
          <w:tcPr>
            <w:tcW w:w="77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Weighted average yield on debt investments at quarter-end</w:t>
            </w:r>
          </w:p>
        </w:tc>
        <w:tc>
          <w:tcPr>
            <w:tcW w:w="160" w:type="dxa"/>
            <w:vAlign w:val="bottom"/>
            <w:shd w:val="clear" w:color="auto" w:fill="CCECFF"/>
          </w:tcPr>
          <w:p>
            <w:pPr>
              <w:spacing w:after="0"/>
              <w:rPr>
                <w:sz w:val="15"/>
                <w:szCs w:val="15"/>
                <w:color w:val="auto"/>
              </w:rPr>
            </w:pPr>
          </w:p>
        </w:tc>
        <w:tc>
          <w:tcPr>
            <w:tcW w:w="1440" w:type="dxa"/>
            <w:vAlign w:val="bottom"/>
            <w:shd w:val="clear" w:color="auto" w:fill="CCECFF"/>
          </w:tcPr>
          <w:p>
            <w:pPr>
              <w:spacing w:after="0"/>
              <w:rPr>
                <w:sz w:val="15"/>
                <w:szCs w:val="15"/>
                <w:color w:val="auto"/>
              </w:rPr>
            </w:pPr>
          </w:p>
        </w:tc>
        <w:tc>
          <w:tcPr>
            <w:tcW w:w="260" w:type="dxa"/>
            <w:vAlign w:val="bottom"/>
            <w:shd w:val="clear" w:color="auto" w:fill="CCECFF"/>
          </w:tcPr>
          <w:p>
            <w:pPr>
              <w:spacing w:after="0"/>
              <w:rPr>
                <w:sz w:val="15"/>
                <w:szCs w:val="15"/>
                <w:color w:val="auto"/>
              </w:rPr>
            </w:pPr>
          </w:p>
        </w:tc>
        <w:tc>
          <w:tcPr>
            <w:tcW w:w="160" w:type="dxa"/>
            <w:vAlign w:val="bottom"/>
            <w:shd w:val="clear" w:color="auto" w:fill="CCECFF"/>
          </w:tcPr>
          <w:p>
            <w:pPr>
              <w:spacing w:after="0"/>
              <w:rPr>
                <w:sz w:val="15"/>
                <w:szCs w:val="15"/>
                <w:color w:val="auto"/>
              </w:rPr>
            </w:pPr>
          </w:p>
        </w:tc>
        <w:tc>
          <w:tcPr>
            <w:tcW w:w="15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80" w:type="dxa"/>
            <w:vAlign w:val="bottom"/>
          </w:tcPr>
          <w:p>
            <w:pPr>
              <w:spacing w:after="0"/>
              <w:rPr>
                <w:sz w:val="15"/>
                <w:szCs w:val="15"/>
                <w:color w:val="auto"/>
              </w:rPr>
            </w:pPr>
          </w:p>
        </w:tc>
      </w:tr>
      <w:tr>
        <w:trPr>
          <w:trHeight w:val="342"/>
        </w:trPr>
        <w:tc>
          <w:tcPr>
            <w:tcW w:w="7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jc w:val="right"/>
              <w:ind w:right="308"/>
              <w:spacing w:after="0"/>
              <w:rPr>
                <w:sz w:val="20"/>
                <w:szCs w:val="20"/>
                <w:color w:val="auto"/>
              </w:rPr>
            </w:pPr>
            <w:r>
              <w:rPr>
                <w:rFonts w:ascii="Times New Roman" w:cs="Times New Roman" w:eastAsia="Times New Roman" w:hAnsi="Times New Roman"/>
                <w:sz w:val="14"/>
                <w:szCs w:val="14"/>
                <w:color w:val="auto"/>
              </w:rPr>
              <w:t>Quarter Ended</w:t>
            </w: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0" w:type="dxa"/>
            <w:vAlign w:val="bottom"/>
            <w:gridSpan w:val="3"/>
          </w:tcPr>
          <w:p>
            <w:pPr>
              <w:jc w:val="right"/>
              <w:ind w:right="640"/>
              <w:spacing w:after="0"/>
              <w:rPr>
                <w:sz w:val="20"/>
                <w:szCs w:val="20"/>
                <w:color w:val="auto"/>
              </w:rPr>
            </w:pPr>
            <w:r>
              <w:rPr>
                <w:rFonts w:ascii="Times New Roman" w:cs="Times New Roman" w:eastAsia="Times New Roman" w:hAnsi="Times New Roman"/>
                <w:sz w:val="14"/>
                <w:szCs w:val="14"/>
                <w:color w:val="auto"/>
              </w:rPr>
              <w:t>Year Ended</w:t>
            </w:r>
          </w:p>
        </w:tc>
      </w:tr>
      <w:tr>
        <w:trPr>
          <w:trHeight w:val="185"/>
        </w:trPr>
        <w:tc>
          <w:tcPr>
            <w:tcW w:w="7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4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September 30, 2022</w:t>
            </w: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0" w:type="dxa"/>
            <w:vAlign w:val="bottom"/>
            <w:gridSpan w:val="3"/>
          </w:tcPr>
          <w:p>
            <w:pPr>
              <w:jc w:val="right"/>
              <w:ind w:right="400"/>
              <w:spacing w:after="0"/>
              <w:rPr>
                <w:sz w:val="20"/>
                <w:szCs w:val="20"/>
                <w:color w:val="auto"/>
              </w:rPr>
            </w:pPr>
            <w:r>
              <w:rPr>
                <w:rFonts w:ascii="Times New Roman" w:cs="Times New Roman" w:eastAsia="Times New Roman" w:hAnsi="Times New Roman"/>
                <w:sz w:val="14"/>
                <w:szCs w:val="14"/>
                <w:color w:val="auto"/>
              </w:rPr>
              <w:t>September 30, 2022</w:t>
            </w:r>
          </w:p>
        </w:tc>
      </w:tr>
      <w:tr>
        <w:trPr>
          <w:trHeight w:val="169"/>
        </w:trPr>
        <w:tc>
          <w:tcPr>
            <w:tcW w:w="77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440" w:type="dxa"/>
            <w:vAlign w:val="bottom"/>
            <w:tcBorders>
              <w:top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4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76"/>
        </w:trPr>
        <w:tc>
          <w:tcPr>
            <w:tcW w:w="77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Operating Results:</w:t>
            </w:r>
          </w:p>
        </w:tc>
        <w:tc>
          <w:tcPr>
            <w:tcW w:w="160" w:type="dxa"/>
            <w:vAlign w:val="bottom"/>
            <w:shd w:val="clear" w:color="auto" w:fill="CCECFF"/>
          </w:tcPr>
          <w:p>
            <w:pPr>
              <w:spacing w:after="0"/>
              <w:rPr>
                <w:sz w:val="15"/>
                <w:szCs w:val="15"/>
                <w:color w:val="auto"/>
              </w:rPr>
            </w:pPr>
          </w:p>
        </w:tc>
        <w:tc>
          <w:tcPr>
            <w:tcW w:w="1440" w:type="dxa"/>
            <w:vAlign w:val="bottom"/>
            <w:shd w:val="clear" w:color="auto" w:fill="CCECFF"/>
          </w:tcPr>
          <w:p>
            <w:pPr>
              <w:spacing w:after="0"/>
              <w:rPr>
                <w:sz w:val="15"/>
                <w:szCs w:val="15"/>
                <w:color w:val="auto"/>
              </w:rPr>
            </w:pPr>
          </w:p>
        </w:tc>
        <w:tc>
          <w:tcPr>
            <w:tcW w:w="260" w:type="dxa"/>
            <w:vAlign w:val="bottom"/>
            <w:shd w:val="clear" w:color="auto" w:fill="CCECFF"/>
          </w:tcPr>
          <w:p>
            <w:pPr>
              <w:spacing w:after="0"/>
              <w:rPr>
                <w:sz w:val="15"/>
                <w:szCs w:val="15"/>
                <w:color w:val="auto"/>
              </w:rPr>
            </w:pPr>
          </w:p>
        </w:tc>
        <w:tc>
          <w:tcPr>
            <w:tcW w:w="160" w:type="dxa"/>
            <w:vAlign w:val="bottom"/>
            <w:shd w:val="clear" w:color="auto" w:fill="CCECFF"/>
          </w:tcPr>
          <w:p>
            <w:pPr>
              <w:spacing w:after="0"/>
              <w:rPr>
                <w:sz w:val="15"/>
                <w:szCs w:val="15"/>
                <w:color w:val="auto"/>
              </w:rPr>
            </w:pPr>
          </w:p>
        </w:tc>
        <w:tc>
          <w:tcPr>
            <w:tcW w:w="1420" w:type="dxa"/>
            <w:vAlign w:val="bottom"/>
            <w:shd w:val="clear" w:color="auto" w:fill="CCECFF"/>
          </w:tcPr>
          <w:p>
            <w:pPr>
              <w:spacing w:after="0"/>
              <w:rPr>
                <w:sz w:val="15"/>
                <w:szCs w:val="15"/>
                <w:color w:val="auto"/>
              </w:rPr>
            </w:pPr>
          </w:p>
        </w:tc>
        <w:tc>
          <w:tcPr>
            <w:tcW w:w="100" w:type="dxa"/>
            <w:vAlign w:val="bottom"/>
            <w:shd w:val="clear" w:color="auto" w:fill="CCECFF"/>
          </w:tcPr>
          <w:p>
            <w:pPr>
              <w:spacing w:after="0"/>
              <w:rPr>
                <w:sz w:val="15"/>
                <w:szCs w:val="15"/>
                <w:color w:val="auto"/>
              </w:rPr>
            </w:pPr>
          </w:p>
        </w:tc>
        <w:tc>
          <w:tcPr>
            <w:tcW w:w="80" w:type="dxa"/>
            <w:vAlign w:val="bottom"/>
          </w:tcPr>
          <w:p>
            <w:pPr>
              <w:spacing w:after="0"/>
              <w:rPr>
                <w:sz w:val="15"/>
                <w:szCs w:val="15"/>
                <w:color w:val="auto"/>
              </w:rPr>
            </w:pPr>
          </w:p>
        </w:tc>
      </w:tr>
      <w:tr>
        <w:trPr>
          <w:trHeight w:val="175"/>
        </w:trPr>
        <w:tc>
          <w:tcPr>
            <w:tcW w:w="77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Net investment income</w:t>
            </w: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w:t>
            </w:r>
          </w:p>
        </w:tc>
        <w:tc>
          <w:tcPr>
            <w:tcW w:w="4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48.6</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75"/>
        </w:trPr>
        <w:tc>
          <w:tcPr>
            <w:tcW w:w="7700" w:type="dxa"/>
            <w:vAlign w:val="bottom"/>
            <w:shd w:val="clear" w:color="auto" w:fill="CCECFF"/>
          </w:tcPr>
          <w:p>
            <w:pPr>
              <w:ind w:left="200"/>
              <w:spacing w:after="0"/>
              <w:rPr>
                <w:sz w:val="20"/>
                <w:szCs w:val="20"/>
                <w:color w:val="auto"/>
              </w:rPr>
            </w:pPr>
            <w:r>
              <w:rPr>
                <w:rFonts w:ascii="Times New Roman" w:cs="Times New Roman" w:eastAsia="Times New Roman" w:hAnsi="Times New Roman"/>
                <w:sz w:val="14"/>
                <w:szCs w:val="14"/>
                <w:color w:val="auto"/>
              </w:rPr>
              <w:t>Net investment income per share (GAAP)</w:t>
            </w:r>
          </w:p>
        </w:tc>
        <w:tc>
          <w:tcPr>
            <w:tcW w:w="160" w:type="dxa"/>
            <w:vAlign w:val="bottom"/>
            <w:shd w:val="clear" w:color="auto" w:fill="CCEC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0.29</w:t>
            </w:r>
          </w:p>
        </w:tc>
        <w:tc>
          <w:tcPr>
            <w:tcW w:w="42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1.18</w:t>
            </w:r>
          </w:p>
        </w:tc>
        <w:tc>
          <w:tcPr>
            <w:tcW w:w="100" w:type="dxa"/>
            <w:vAlign w:val="bottom"/>
            <w:shd w:val="clear" w:color="auto" w:fill="CCECFF"/>
          </w:tcPr>
          <w:p>
            <w:pPr>
              <w:spacing w:after="0"/>
              <w:rPr>
                <w:sz w:val="15"/>
                <w:szCs w:val="15"/>
                <w:color w:val="auto"/>
              </w:rPr>
            </w:pPr>
          </w:p>
        </w:tc>
        <w:tc>
          <w:tcPr>
            <w:tcW w:w="80" w:type="dxa"/>
            <w:vAlign w:val="bottom"/>
          </w:tcPr>
          <w:p>
            <w:pPr>
              <w:spacing w:after="0"/>
              <w:rPr>
                <w:sz w:val="15"/>
                <w:szCs w:val="15"/>
                <w:color w:val="auto"/>
              </w:rPr>
            </w:pPr>
          </w:p>
        </w:tc>
      </w:tr>
      <w:tr>
        <w:trPr>
          <w:trHeight w:val="175"/>
        </w:trPr>
        <w:tc>
          <w:tcPr>
            <w:tcW w:w="77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Credit facility amendment costs per share</w:t>
            </w: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0.01</w:t>
            </w:r>
          </w:p>
        </w:tc>
        <w:tc>
          <w:tcPr>
            <w:tcW w:w="4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0.01</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75"/>
        </w:trPr>
        <w:tc>
          <w:tcPr>
            <w:tcW w:w="7700" w:type="dxa"/>
            <w:vAlign w:val="bottom"/>
            <w:shd w:val="clear" w:color="auto" w:fill="CCECFF"/>
          </w:tcPr>
          <w:p>
            <w:pPr>
              <w:ind w:left="200"/>
              <w:spacing w:after="0" w:line="175" w:lineRule="exact"/>
              <w:rPr>
                <w:sz w:val="20"/>
                <w:szCs w:val="20"/>
                <w:color w:val="auto"/>
              </w:rPr>
            </w:pPr>
            <w:r>
              <w:rPr>
                <w:rFonts w:ascii="Times New Roman" w:cs="Times New Roman" w:eastAsia="Times New Roman" w:hAnsi="Times New Roman"/>
                <w:sz w:val="14"/>
                <w:szCs w:val="14"/>
                <w:color w:val="auto"/>
              </w:rPr>
              <w:t xml:space="preserve">Core net investment income per share </w:t>
            </w:r>
            <w:r>
              <w:rPr>
                <w:rFonts w:ascii="Times New Roman" w:cs="Times New Roman" w:eastAsia="Times New Roman" w:hAnsi="Times New Roman"/>
                <w:sz w:val="19"/>
                <w:szCs w:val="19"/>
                <w:color w:val="auto"/>
                <w:vertAlign w:val="superscript"/>
              </w:rPr>
              <w:t>(4)</w:t>
            </w:r>
          </w:p>
        </w:tc>
        <w:tc>
          <w:tcPr>
            <w:tcW w:w="160" w:type="dxa"/>
            <w:vAlign w:val="bottom"/>
            <w:shd w:val="clear" w:color="auto" w:fill="CCEC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0.30</w:t>
            </w:r>
          </w:p>
        </w:tc>
        <w:tc>
          <w:tcPr>
            <w:tcW w:w="42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1.18</w:t>
            </w:r>
          </w:p>
        </w:tc>
        <w:tc>
          <w:tcPr>
            <w:tcW w:w="100" w:type="dxa"/>
            <w:vAlign w:val="bottom"/>
            <w:shd w:val="clear" w:color="auto" w:fill="CCECFF"/>
          </w:tcPr>
          <w:p>
            <w:pPr>
              <w:spacing w:after="0"/>
              <w:rPr>
                <w:sz w:val="15"/>
                <w:szCs w:val="15"/>
                <w:color w:val="auto"/>
              </w:rPr>
            </w:pPr>
          </w:p>
        </w:tc>
        <w:tc>
          <w:tcPr>
            <w:tcW w:w="80" w:type="dxa"/>
            <w:vAlign w:val="bottom"/>
          </w:tcPr>
          <w:p>
            <w:pPr>
              <w:spacing w:after="0"/>
              <w:rPr>
                <w:sz w:val="15"/>
                <w:szCs w:val="15"/>
                <w:color w:val="auto"/>
              </w:rPr>
            </w:pPr>
          </w:p>
        </w:tc>
      </w:tr>
      <w:tr>
        <w:trPr>
          <w:trHeight w:val="175"/>
        </w:trPr>
        <w:tc>
          <w:tcPr>
            <w:tcW w:w="77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Distributions declared per share</w:t>
            </w: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0.285</w:t>
            </w:r>
          </w:p>
        </w:tc>
        <w:tc>
          <w:tcPr>
            <w:tcW w:w="4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76"/>
        </w:trPr>
        <w:tc>
          <w:tcPr>
            <w:tcW w:w="7700" w:type="dxa"/>
            <w:vAlign w:val="bottom"/>
            <w:shd w:val="clear" w:color="auto" w:fill="CCECFF"/>
          </w:tcPr>
          <w:p>
            <w:pPr>
              <w:spacing w:after="0"/>
              <w:rPr>
                <w:sz w:val="15"/>
                <w:szCs w:val="15"/>
                <w:color w:val="auto"/>
              </w:rPr>
            </w:pPr>
          </w:p>
        </w:tc>
        <w:tc>
          <w:tcPr>
            <w:tcW w:w="160" w:type="dxa"/>
            <w:vAlign w:val="bottom"/>
            <w:shd w:val="clear" w:color="auto" w:fill="CCECFF"/>
          </w:tcPr>
          <w:p>
            <w:pPr>
              <w:spacing w:after="0"/>
              <w:rPr>
                <w:sz w:val="15"/>
                <w:szCs w:val="15"/>
                <w:color w:val="auto"/>
              </w:rPr>
            </w:pPr>
          </w:p>
        </w:tc>
        <w:tc>
          <w:tcPr>
            <w:tcW w:w="1440" w:type="dxa"/>
            <w:vAlign w:val="bottom"/>
            <w:shd w:val="clear" w:color="auto" w:fill="CCECFF"/>
          </w:tcPr>
          <w:p>
            <w:pPr>
              <w:spacing w:after="0"/>
              <w:rPr>
                <w:sz w:val="15"/>
                <w:szCs w:val="15"/>
                <w:color w:val="auto"/>
              </w:rPr>
            </w:pPr>
          </w:p>
        </w:tc>
        <w:tc>
          <w:tcPr>
            <w:tcW w:w="260" w:type="dxa"/>
            <w:vAlign w:val="bottom"/>
            <w:shd w:val="clear" w:color="auto" w:fill="CCECFF"/>
          </w:tcPr>
          <w:p>
            <w:pPr>
              <w:spacing w:after="0"/>
              <w:rPr>
                <w:sz w:val="15"/>
                <w:szCs w:val="15"/>
                <w:color w:val="auto"/>
              </w:rPr>
            </w:pPr>
          </w:p>
        </w:tc>
        <w:tc>
          <w:tcPr>
            <w:tcW w:w="160" w:type="dxa"/>
            <w:vAlign w:val="bottom"/>
            <w:shd w:val="clear" w:color="auto" w:fill="CCECFF"/>
          </w:tcPr>
          <w:p>
            <w:pPr>
              <w:spacing w:after="0"/>
              <w:rPr>
                <w:sz w:val="15"/>
                <w:szCs w:val="15"/>
                <w:color w:val="auto"/>
              </w:rPr>
            </w:pPr>
          </w:p>
        </w:tc>
        <w:tc>
          <w:tcPr>
            <w:tcW w:w="1420" w:type="dxa"/>
            <w:vAlign w:val="bottom"/>
            <w:shd w:val="clear" w:color="auto" w:fill="CCECFF"/>
          </w:tcPr>
          <w:p>
            <w:pPr>
              <w:spacing w:after="0"/>
              <w:rPr>
                <w:sz w:val="15"/>
                <w:szCs w:val="15"/>
                <w:color w:val="auto"/>
              </w:rPr>
            </w:pPr>
          </w:p>
        </w:tc>
        <w:tc>
          <w:tcPr>
            <w:tcW w:w="100" w:type="dxa"/>
            <w:vAlign w:val="bottom"/>
            <w:shd w:val="clear" w:color="auto" w:fill="CCECFF"/>
          </w:tcPr>
          <w:p>
            <w:pPr>
              <w:spacing w:after="0"/>
              <w:rPr>
                <w:sz w:val="15"/>
                <w:szCs w:val="15"/>
                <w:color w:val="auto"/>
              </w:rPr>
            </w:pPr>
          </w:p>
        </w:tc>
        <w:tc>
          <w:tcPr>
            <w:tcW w:w="80" w:type="dxa"/>
            <w:vAlign w:val="bottom"/>
          </w:tcPr>
          <w:p>
            <w:pPr>
              <w:spacing w:after="0"/>
              <w:rPr>
                <w:sz w:val="15"/>
                <w:szCs w:val="15"/>
                <w:color w:val="auto"/>
              </w:rPr>
            </w:pPr>
          </w:p>
        </w:tc>
      </w:tr>
      <w:tr>
        <w:trPr>
          <w:trHeight w:val="175"/>
        </w:trPr>
        <w:tc>
          <w:tcPr>
            <w:tcW w:w="7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Portfolio Activity:</w:t>
            </w:r>
          </w:p>
        </w:tc>
        <w:tc>
          <w:tcPr>
            <w:tcW w:w="1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75"/>
        </w:trPr>
        <w:tc>
          <w:tcPr>
            <w:tcW w:w="7700" w:type="dxa"/>
            <w:vAlign w:val="bottom"/>
            <w:shd w:val="clear" w:color="auto" w:fill="CCECFF"/>
          </w:tcPr>
          <w:p>
            <w:pPr>
              <w:ind w:left="200"/>
              <w:spacing w:after="0"/>
              <w:rPr>
                <w:sz w:val="20"/>
                <w:szCs w:val="20"/>
                <w:color w:val="auto"/>
              </w:rPr>
            </w:pPr>
            <w:r>
              <w:rPr>
                <w:rFonts w:ascii="Times New Roman" w:cs="Times New Roman" w:eastAsia="Times New Roman" w:hAnsi="Times New Roman"/>
                <w:sz w:val="14"/>
                <w:szCs w:val="14"/>
                <w:color w:val="auto"/>
              </w:rPr>
              <w:t>Purchases of investments</w:t>
            </w:r>
          </w:p>
        </w:tc>
        <w:tc>
          <w:tcPr>
            <w:tcW w:w="160" w:type="dxa"/>
            <w:vAlign w:val="bottom"/>
            <w:shd w:val="clear" w:color="auto" w:fill="CCEC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54.7</w:t>
            </w:r>
          </w:p>
        </w:tc>
        <w:tc>
          <w:tcPr>
            <w:tcW w:w="42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607.8</w:t>
            </w:r>
          </w:p>
        </w:tc>
        <w:tc>
          <w:tcPr>
            <w:tcW w:w="100" w:type="dxa"/>
            <w:vAlign w:val="bottom"/>
            <w:shd w:val="clear" w:color="auto" w:fill="CCECFF"/>
          </w:tcPr>
          <w:p>
            <w:pPr>
              <w:spacing w:after="0"/>
              <w:rPr>
                <w:sz w:val="15"/>
                <w:szCs w:val="15"/>
                <w:color w:val="auto"/>
              </w:rPr>
            </w:pPr>
          </w:p>
        </w:tc>
        <w:tc>
          <w:tcPr>
            <w:tcW w:w="80" w:type="dxa"/>
            <w:vAlign w:val="bottom"/>
          </w:tcPr>
          <w:p>
            <w:pPr>
              <w:spacing w:after="0"/>
              <w:rPr>
                <w:sz w:val="15"/>
                <w:szCs w:val="15"/>
                <w:color w:val="auto"/>
              </w:rPr>
            </w:pPr>
          </w:p>
        </w:tc>
      </w:tr>
      <w:tr>
        <w:trPr>
          <w:trHeight w:val="175"/>
        </w:trPr>
        <w:tc>
          <w:tcPr>
            <w:tcW w:w="77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Sales and repayments of investments</w:t>
            </w: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98.0</w:t>
            </w:r>
          </w:p>
        </w:tc>
        <w:tc>
          <w:tcPr>
            <w:tcW w:w="4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495.2</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75"/>
        </w:trPr>
        <w:tc>
          <w:tcPr>
            <w:tcW w:w="7700" w:type="dxa"/>
            <w:vAlign w:val="bottom"/>
            <w:shd w:val="clear" w:color="auto" w:fill="CCECFF"/>
          </w:tcPr>
          <w:p>
            <w:pPr>
              <w:spacing w:after="0"/>
              <w:rPr>
                <w:sz w:val="15"/>
                <w:szCs w:val="15"/>
                <w:color w:val="auto"/>
              </w:rPr>
            </w:pPr>
          </w:p>
        </w:tc>
        <w:tc>
          <w:tcPr>
            <w:tcW w:w="160" w:type="dxa"/>
            <w:vAlign w:val="bottom"/>
            <w:shd w:val="clear" w:color="auto" w:fill="CCECFF"/>
          </w:tcPr>
          <w:p>
            <w:pPr>
              <w:spacing w:after="0"/>
              <w:rPr>
                <w:sz w:val="15"/>
                <w:szCs w:val="15"/>
                <w:color w:val="auto"/>
              </w:rPr>
            </w:pPr>
          </w:p>
        </w:tc>
        <w:tc>
          <w:tcPr>
            <w:tcW w:w="1440" w:type="dxa"/>
            <w:vAlign w:val="bottom"/>
            <w:shd w:val="clear" w:color="auto" w:fill="CCECFF"/>
          </w:tcPr>
          <w:p>
            <w:pPr>
              <w:spacing w:after="0"/>
              <w:rPr>
                <w:sz w:val="15"/>
                <w:szCs w:val="15"/>
                <w:color w:val="auto"/>
              </w:rPr>
            </w:pPr>
          </w:p>
        </w:tc>
        <w:tc>
          <w:tcPr>
            <w:tcW w:w="260" w:type="dxa"/>
            <w:vAlign w:val="bottom"/>
            <w:shd w:val="clear" w:color="auto" w:fill="CCECFF"/>
          </w:tcPr>
          <w:p>
            <w:pPr>
              <w:spacing w:after="0"/>
              <w:rPr>
                <w:sz w:val="15"/>
                <w:szCs w:val="15"/>
                <w:color w:val="auto"/>
              </w:rPr>
            </w:pPr>
          </w:p>
        </w:tc>
        <w:tc>
          <w:tcPr>
            <w:tcW w:w="160" w:type="dxa"/>
            <w:vAlign w:val="bottom"/>
            <w:shd w:val="clear" w:color="auto" w:fill="CCECFF"/>
          </w:tcPr>
          <w:p>
            <w:pPr>
              <w:spacing w:after="0"/>
              <w:rPr>
                <w:sz w:val="15"/>
                <w:szCs w:val="15"/>
                <w:color w:val="auto"/>
              </w:rPr>
            </w:pPr>
          </w:p>
        </w:tc>
        <w:tc>
          <w:tcPr>
            <w:tcW w:w="1420" w:type="dxa"/>
            <w:vAlign w:val="bottom"/>
            <w:shd w:val="clear" w:color="auto" w:fill="CCECFF"/>
          </w:tcPr>
          <w:p>
            <w:pPr>
              <w:spacing w:after="0"/>
              <w:rPr>
                <w:sz w:val="15"/>
                <w:szCs w:val="15"/>
                <w:color w:val="auto"/>
              </w:rPr>
            </w:pPr>
          </w:p>
        </w:tc>
        <w:tc>
          <w:tcPr>
            <w:tcW w:w="100" w:type="dxa"/>
            <w:vAlign w:val="bottom"/>
            <w:shd w:val="clear" w:color="auto" w:fill="CCECFF"/>
          </w:tcPr>
          <w:p>
            <w:pPr>
              <w:spacing w:after="0"/>
              <w:rPr>
                <w:sz w:val="15"/>
                <w:szCs w:val="15"/>
                <w:color w:val="auto"/>
              </w:rPr>
            </w:pPr>
          </w:p>
        </w:tc>
        <w:tc>
          <w:tcPr>
            <w:tcW w:w="80" w:type="dxa"/>
            <w:vAlign w:val="bottom"/>
          </w:tcPr>
          <w:p>
            <w:pPr>
              <w:spacing w:after="0"/>
              <w:rPr>
                <w:sz w:val="15"/>
                <w:szCs w:val="15"/>
                <w:color w:val="auto"/>
              </w:rPr>
            </w:pPr>
          </w:p>
        </w:tc>
      </w:tr>
      <w:tr>
        <w:trPr>
          <w:trHeight w:val="175"/>
        </w:trPr>
        <w:tc>
          <w:tcPr>
            <w:tcW w:w="7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PSSL Portfolio data:</w:t>
            </w:r>
          </w:p>
        </w:tc>
        <w:tc>
          <w:tcPr>
            <w:tcW w:w="1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76"/>
        </w:trPr>
        <w:tc>
          <w:tcPr>
            <w:tcW w:w="7700" w:type="dxa"/>
            <w:vAlign w:val="bottom"/>
            <w:shd w:val="clear" w:color="auto" w:fill="CCECFF"/>
          </w:tcPr>
          <w:p>
            <w:pPr>
              <w:ind w:left="200"/>
              <w:spacing w:after="0"/>
              <w:rPr>
                <w:sz w:val="20"/>
                <w:szCs w:val="20"/>
                <w:color w:val="auto"/>
              </w:rPr>
            </w:pPr>
            <w:r>
              <w:rPr>
                <w:rFonts w:ascii="Times New Roman" w:cs="Times New Roman" w:eastAsia="Times New Roman" w:hAnsi="Times New Roman"/>
                <w:sz w:val="14"/>
                <w:szCs w:val="14"/>
                <w:color w:val="auto"/>
              </w:rPr>
              <w:t>PSSL investment portfolio</w:t>
            </w:r>
          </w:p>
        </w:tc>
        <w:tc>
          <w:tcPr>
            <w:tcW w:w="160" w:type="dxa"/>
            <w:vAlign w:val="bottom"/>
            <w:shd w:val="clear" w:color="auto" w:fill="CCECFF"/>
          </w:tcPr>
          <w:p>
            <w:pPr>
              <w:spacing w:after="0"/>
              <w:rPr>
                <w:sz w:val="15"/>
                <w:szCs w:val="15"/>
                <w:color w:val="auto"/>
              </w:rPr>
            </w:pPr>
          </w:p>
        </w:tc>
        <w:tc>
          <w:tcPr>
            <w:tcW w:w="1440" w:type="dxa"/>
            <w:vAlign w:val="bottom"/>
            <w:shd w:val="clear" w:color="auto" w:fill="CCECFF"/>
          </w:tcPr>
          <w:p>
            <w:pPr>
              <w:spacing w:after="0"/>
              <w:rPr>
                <w:sz w:val="15"/>
                <w:szCs w:val="15"/>
                <w:color w:val="auto"/>
              </w:rPr>
            </w:pPr>
          </w:p>
        </w:tc>
        <w:tc>
          <w:tcPr>
            <w:tcW w:w="42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754.7</w:t>
            </w:r>
          </w:p>
        </w:tc>
        <w:tc>
          <w:tcPr>
            <w:tcW w:w="100" w:type="dxa"/>
            <w:vAlign w:val="bottom"/>
            <w:shd w:val="clear" w:color="auto" w:fill="CCECFF"/>
          </w:tcPr>
          <w:p>
            <w:pPr>
              <w:spacing w:after="0"/>
              <w:rPr>
                <w:sz w:val="15"/>
                <w:szCs w:val="15"/>
                <w:color w:val="auto"/>
              </w:rPr>
            </w:pPr>
          </w:p>
        </w:tc>
        <w:tc>
          <w:tcPr>
            <w:tcW w:w="80" w:type="dxa"/>
            <w:vAlign w:val="bottom"/>
          </w:tcPr>
          <w:p>
            <w:pPr>
              <w:spacing w:after="0"/>
              <w:rPr>
                <w:sz w:val="15"/>
                <w:szCs w:val="15"/>
                <w:color w:val="auto"/>
              </w:rPr>
            </w:pPr>
          </w:p>
        </w:tc>
      </w:tr>
      <w:tr>
        <w:trPr>
          <w:trHeight w:val="175"/>
        </w:trPr>
        <w:tc>
          <w:tcPr>
            <w:tcW w:w="77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Purchases of investments</w:t>
            </w: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50.2</w:t>
            </w:r>
          </w:p>
        </w:tc>
        <w:tc>
          <w:tcPr>
            <w:tcW w:w="4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278.8</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75"/>
        </w:trPr>
        <w:tc>
          <w:tcPr>
            <w:tcW w:w="7700" w:type="dxa"/>
            <w:vAlign w:val="bottom"/>
            <w:shd w:val="clear" w:color="auto" w:fill="CCECFF"/>
          </w:tcPr>
          <w:p>
            <w:pPr>
              <w:ind w:left="200"/>
              <w:spacing w:after="0"/>
              <w:rPr>
                <w:sz w:val="20"/>
                <w:szCs w:val="20"/>
                <w:color w:val="auto"/>
              </w:rPr>
            </w:pPr>
            <w:r>
              <w:rPr>
                <w:rFonts w:ascii="Times New Roman" w:cs="Times New Roman" w:eastAsia="Times New Roman" w:hAnsi="Times New Roman"/>
                <w:sz w:val="14"/>
                <w:szCs w:val="14"/>
                <w:color w:val="auto"/>
              </w:rPr>
              <w:t>Sales and repayments of investments</w:t>
            </w:r>
          </w:p>
        </w:tc>
        <w:tc>
          <w:tcPr>
            <w:tcW w:w="160" w:type="dxa"/>
            <w:vAlign w:val="bottom"/>
            <w:shd w:val="clear" w:color="auto" w:fill="CCEC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33.2</w:t>
            </w:r>
          </w:p>
        </w:tc>
        <w:tc>
          <w:tcPr>
            <w:tcW w:w="42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102.4</w:t>
            </w:r>
          </w:p>
        </w:tc>
        <w:tc>
          <w:tcPr>
            <w:tcW w:w="100" w:type="dxa"/>
            <w:vAlign w:val="bottom"/>
            <w:shd w:val="clear" w:color="auto" w:fill="CCECFF"/>
          </w:tcPr>
          <w:p>
            <w:pPr>
              <w:spacing w:after="0"/>
              <w:rPr>
                <w:sz w:val="15"/>
                <w:szCs w:val="15"/>
                <w:color w:val="auto"/>
              </w:rPr>
            </w:pPr>
          </w:p>
        </w:tc>
        <w:tc>
          <w:tcPr>
            <w:tcW w:w="80" w:type="dxa"/>
            <w:vAlign w:val="bottom"/>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-3462655</wp:posOffset>
            </wp:positionV>
            <wp:extent cx="7132320" cy="11112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111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-3239770</wp:posOffset>
            </wp:positionV>
            <wp:extent cx="7132320" cy="11112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111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17145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295" w:lineRule="exact"/>
        <w:rPr>
          <w:sz w:val="20"/>
          <w:szCs w:val="20"/>
          <w:color w:val="auto"/>
        </w:rPr>
      </w:pPr>
    </w:p>
    <w:p>
      <w:pPr>
        <w:ind w:left="760" w:hanging="452"/>
        <w:spacing w:after="0"/>
        <w:tabs>
          <w:tab w:leader="none" w:pos="7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investments in PennantPark Senior Secured Loan Fund I LLC, or PSSL, an unconsolidated joint venture, totaling $239.6 million, at fair value.</w:t>
      </w:r>
    </w:p>
    <w:p>
      <w:pPr>
        <w:spacing w:after="0" w:line="109" w:lineRule="exact"/>
        <w:rPr>
          <w:rFonts w:ascii="Times New Roman" w:cs="Times New Roman" w:eastAsia="Times New Roman" w:hAnsi="Times New Roman"/>
          <w:sz w:val="14"/>
          <w:szCs w:val="14"/>
          <w:color w:val="auto"/>
        </w:rPr>
      </w:pPr>
    </w:p>
    <w:p>
      <w:pPr>
        <w:jc w:val="both"/>
        <w:ind w:left="760" w:right="80" w:hanging="452"/>
        <w:spacing w:after="0" w:line="261" w:lineRule="auto"/>
        <w:tabs>
          <w:tab w:leader="none" w:pos="7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is a non-GAAP financial measure. The Company believes that this number provides useful information to investors and management because it reflects the Company’s financial performance excluding the impact of the $1.5 million unrealized loss on our multi-currency senior secured revolving credit facility, as amended and restated, with Truist Bank (formerly SunTrust Bank) and other lenders, or the Credit Facility, and our 4.3% Series A notes due 2023, or the 2023 Notes. The presentation of this additional information is not meant to be considered in isolation or as a substitute for financial results prepared in accordance with GAAP.</w:t>
      </w:r>
    </w:p>
    <w:p>
      <w:pPr>
        <w:spacing w:after="0" w:line="69" w:lineRule="exact"/>
        <w:rPr>
          <w:rFonts w:ascii="Times New Roman" w:cs="Times New Roman" w:eastAsia="Times New Roman" w:hAnsi="Times New Roman"/>
          <w:sz w:val="14"/>
          <w:szCs w:val="14"/>
          <w:color w:val="auto"/>
        </w:rPr>
      </w:pPr>
    </w:p>
    <w:p>
      <w:pPr>
        <w:jc w:val="both"/>
        <w:ind w:left="760" w:right="80" w:hanging="452"/>
        <w:spacing w:after="0" w:line="271" w:lineRule="auto"/>
        <w:tabs>
          <w:tab w:leader="none" w:pos="7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is a non-GAAP financial measure. The Company believes that this number provides useful information to investors and management because it reflects the Company’s financial performance including the impact of the $1.5 million unrealized loss on the Credit Facility and the 2023 Notes net of $47.9 million of cash and cash equivalents. The presentation of this additional information is not meant to be considered in isolation or as a substitute for financial results prepared in accordance with GAAP.</w:t>
      </w:r>
    </w:p>
    <w:p>
      <w:pPr>
        <w:spacing w:after="0" w:line="62" w:lineRule="exact"/>
        <w:rPr>
          <w:rFonts w:ascii="Times New Roman" w:cs="Times New Roman" w:eastAsia="Times New Roman" w:hAnsi="Times New Roman"/>
          <w:sz w:val="14"/>
          <w:szCs w:val="14"/>
          <w:color w:val="auto"/>
        </w:rPr>
      </w:pPr>
    </w:p>
    <w:p>
      <w:pPr>
        <w:jc w:val="both"/>
        <w:ind w:left="760" w:right="80" w:hanging="452"/>
        <w:spacing w:after="0" w:line="261" w:lineRule="auto"/>
        <w:tabs>
          <w:tab w:leader="none" w:pos="7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Core net investment income is a non-GAAP financial measure. The Company believes that core net investment income provides useful information to investors and management because it reflects the Company’s financial performance excluding a one-time expense of $0.4 million associated with the upsized value of our multi-currency senior secured revolving credit facility with Truist Bank and other lenders on September 15, 2022 and the associated incentive fee reduction of $0.1 million. The presentation of this additional information is not meant to be considered in isolation or as a substitute for financial results prepared in accordance with GAAP.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448310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20"/>
          </w:cols>
          <w:pgMar w:left="320" w:top="117" w:right="2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CONFERENCE CALL AT 9:00 A.M. ET ON NOVEMBER 17, 2022</w:t>
      </w:r>
    </w:p>
    <w:p>
      <w:pPr>
        <w:spacing w:after="0" w:line="108"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PennantPark Floating Rate Capital Ltd. (“we,” “our,” “us” or the “Company”) will also host a conference call at 9:00 a.m. (Eastern Time) on Thursday November 17, 2022 to discuss its financial results. All interested parties are welcome to participate. You can access the conference call by dialing toll-free</w:t>
      </w:r>
    </w:p>
    <w:p>
      <w:pPr>
        <w:jc w:val="both"/>
        <w:ind w:firstLine="8"/>
        <w:spacing w:after="0" w:line="246" w:lineRule="auto"/>
        <w:tabs>
          <w:tab w:leader="none" w:pos="44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394-8218 approximately 5-10 minutes prior to the call. International callers should dial (646) 828-8193. All callers should reference conference ID #7682895 or PennantPark Floating Rate Capital Ltd. An archived replay will also be available through December 1, 2022 on a webcast link located on the home page of the Investor section of PennantPark’s website.</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PORTFOLIO AND INVESTMENT ACTIVITY</w:t>
      </w:r>
    </w:p>
    <w:p>
      <w:pPr>
        <w:spacing w:after="0" w:line="121" w:lineRule="exact"/>
        <w:rPr>
          <w:sz w:val="20"/>
          <w:szCs w:val="20"/>
          <w:color w:val="auto"/>
        </w:rPr>
      </w:pPr>
    </w:p>
    <w:p>
      <w:pPr>
        <w:ind w:right="60"/>
        <w:spacing w:after="0" w:line="246" w:lineRule="auto"/>
        <w:rPr>
          <w:sz w:val="20"/>
          <w:szCs w:val="20"/>
          <w:color w:val="auto"/>
        </w:rPr>
      </w:pPr>
      <w:r>
        <w:rPr>
          <w:rFonts w:ascii="Times New Roman" w:cs="Times New Roman" w:eastAsia="Times New Roman" w:hAnsi="Times New Roman"/>
          <w:sz w:val="18"/>
          <w:szCs w:val="18"/>
          <w:color w:val="auto"/>
        </w:rPr>
        <w:t>“We are pleased with the underlying credit performance of our portfolio this quarter. With our primary focus on lower risk, first lien senior secured floating rate loans to U.S. companies, we are positioned to preserve capital and protect against rising inflation and interest rates,” said Art Penn, Chairman and CEO. “We believe that the combination of rising base rates, higher spreads on new loan originations, and a growing PSSL joint venture create multiple pathways for income growth. We are looking forward to investing in the late 2022 and 2023 vintage of new loans that should benefit from more conservative structures at higher yields.”</w:t>
      </w:r>
    </w:p>
    <w:p>
      <w:pPr>
        <w:spacing w:after="0" w:line="114" w:lineRule="exact"/>
        <w:rPr>
          <w:sz w:val="20"/>
          <w:szCs w:val="20"/>
          <w:color w:val="auto"/>
        </w:rPr>
      </w:pPr>
    </w:p>
    <w:p>
      <w:pPr>
        <w:ind w:right="140"/>
        <w:spacing w:after="0" w:line="264" w:lineRule="auto"/>
        <w:rPr>
          <w:sz w:val="20"/>
          <w:szCs w:val="20"/>
          <w:color w:val="auto"/>
        </w:rPr>
      </w:pPr>
      <w:r>
        <w:rPr>
          <w:rFonts w:ascii="Times New Roman" w:cs="Times New Roman" w:eastAsia="Times New Roman" w:hAnsi="Times New Roman"/>
          <w:sz w:val="17"/>
          <w:szCs w:val="17"/>
          <w:color w:val="auto"/>
        </w:rPr>
        <w:t>As of September 30, 2022, our portfolio totaled $1,164.3 million and consisted of $1,009.6 million of first lien secured debt (including $190.2 million in PSSL), $0.1million of second lien secured debt and $154.5 million of preferred and common equity (including $49.4 million in PSSL). Our debt portfolio consisted of 100% variable-rate investments. As of September 30, 2022, we had two portfolio companies on non-accrual, representing 0.9% and zero percent of our overall portfolio on a cost and fair value basis, respectively. Overall, the portfolio had net unrealized depreciation of $8.7 million. Our overall portfolio consisted of 125 companies with an average investment size of $9.3 million, had a weighted average yield on debt investments of 10.0%.</w:t>
      </w:r>
    </w:p>
    <w:p>
      <w:pPr>
        <w:spacing w:after="0" w:line="99"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18"/>
          <w:szCs w:val="18"/>
          <w:color w:val="auto"/>
        </w:rPr>
        <w:t>As of September 30, 2021, our portfolio totaled $1,081.6 million, and consisted of $934.4 million of first lien secured debt (including $140.9 million in PSSL), $8.9 million of second lien secured debt and $138.3 million of preferred and common equity (including $44.9 million in PSSL). Our debt portfolio consisted of 99% variable-rate investments. As of September 30, 2021, we had two portfolio companies on non-accrual, representing 2.7% and 2.6% of our overall portfolio on a cost and fair value basis, respectively. Overall, the portfolio had net unrealized depreciation of $11.0 million. Our overall portfolio consisted of 110 companies with an average investment size of $9.8 million, had a weighted average yield on debt investments of 7.4%.</w:t>
      </w:r>
    </w:p>
    <w:p>
      <w:pPr>
        <w:spacing w:after="0" w:line="16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For the three months ended September 30, 2022, we invested $54.7 million in five new and 25 existing portfolio companies with a weighted average yield on debt investments of 8.9%. Sales and repayments of investments for the same period totaled $98.0 million. This compares to the three months ended September 30, 2021, in which we invested $185.7 million in 16 new and 18 existing portfolio companies with a weighted average yield on debt investments of 7.3%. Sales and repayments of investments for the same period totaled $136.6 million.</w:t>
      </w:r>
    </w:p>
    <w:p>
      <w:pPr>
        <w:spacing w:after="0" w:line="17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year ended September 30, 2022, we invested $607.8 million in 34 new and 129 existing portfolio companies with a weighted average yield on debt investments of 7.8%. Sales and repayments of investments for the same period totaled $495.2 million.</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year ended September 30, 2021, we invested $661.1 million in 35 new and 68 existing portfolio companies with a weighted average yield on debt investments of 7.4%. Sales and repayments of investments for the same period totaled $702.1 million.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PennantPark Senior Secured Loan Fund I LLC</w:t>
      </w:r>
    </w:p>
    <w:p>
      <w:pPr>
        <w:spacing w:after="0" w:line="12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As of September 30, 2022, PSSL’s portfolio totaled $754.7 million, consisted of 95 companies with an average investment size of $8.0 million and had a weighted average yield on debt investments of 9.6%. As of September 30, 2021, PSSL’s portfolio totaled $564.8 million, consisted of 74 companies with an average investment size of $7.6 million and had a weighted average yield on debt investments of 7.1%.</w:t>
      </w:r>
    </w:p>
    <w:p>
      <w:pPr>
        <w:spacing w:after="0" w:line="8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For the three months ended September 30, 2022, PSSL invested $50.2 million in nine new and five existing portfolio companies with a weighted average yield on debt investments of 8.8%. PSSL’s sales and repayments of investments for the same period totaled $33.2 million. For the three months ended September 30, 2021, PSSL invested $76.6 million in 12 new and three existing portfolio companies with a weighted average yield on debt investments of 7.3%. PSSL’s sales and repayments of investments for the same period totaled $36.7 million.</w:t>
      </w:r>
    </w:p>
    <w:p>
      <w:pPr>
        <w:spacing w:after="0" w:line="200" w:lineRule="exact"/>
        <w:rPr>
          <w:sz w:val="20"/>
          <w:szCs w:val="20"/>
          <w:color w:val="auto"/>
        </w:rPr>
      </w:pPr>
    </w:p>
    <w:p>
      <w:pPr>
        <w:spacing w:after="0" w:line="38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For the year ended September 30, 2022, PSSL invested $278.8 million (of which $270.6 million was purchased from the Company) in 34 new and 20 existing portfolio companies with a weighted average yield on debt investments of 8.1 %. PSSL’s sales and repayments of investments for the same period totaled $102.4 million.</w:t>
      </w: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year ended September 30, 2021, PSSL invested $354.4 million (of which $285.7 million was purchased from the Company)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5" w:name="page6"/>
    <w:bookmarkEnd w:id="5"/>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42 new and 29 existing portfolio companies with a weighted average yield on debt investments of 7.2%. PSSL’s sales and repayments of investments for the same period totaled $185.7 million.</w:t>
      </w: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Set forth below are the results of operations for the three months and years ended September 30, 2022 and 2021.</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 Income</w:t>
      </w:r>
    </w:p>
    <w:p>
      <w:pPr>
        <w:spacing w:after="0" w:line="20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Investment income for the three months ended September 30, 2022 and 2021 was $28.8 million and $21.6 million, respectively, and was attributable to $25.1 million and $18.6 million from first lien secured debt and $3.7 million and $3.0 million from other investments, respectively.</w:t>
      </w:r>
    </w:p>
    <w:p>
      <w:pPr>
        <w:spacing w:after="0" w:line="13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Investment income for the year ended September 30, 2022 was $105.5 million and was attributable to $89.1 million from first lien secured debt and $16.4 million from other investments. Investment income for the year ended September 30, 2021 was $82.7 million and was attributable to $72.1 million from first lien secured debt and $10.6 million from other investments. The increase in investment income compared to the same periods in the prior year was primarily due to an increase in LIBOR and SOFR base rates and an increase in the size of our interest bearing portfolio.</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Expenses</w:t>
      </w:r>
    </w:p>
    <w:p>
      <w:pPr>
        <w:spacing w:after="0" w:line="20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Expenses for the three months ended September 30, 2022 and 2021 totaled $16.1 million and $12.3 million, respectively. Base management fee totaled $3.0 million and $2.7 million, incentive fee totaled $3.2 million and $0.6 million, debt related interest and expenses totaled $9.0 million (including $0.4 million attributable to fees associated with the upsizing of the credit facility) and $8.5 million (including $2.9 million attributable to fees associated with entering into the new credit facility), general and administrative expenses totaled $0.9 million and $0.4 million and provision for taxes totaled $0.1 million and $0.1 million, respectively, for the same periods.</w:t>
      </w:r>
    </w:p>
    <w:p>
      <w:pPr>
        <w:spacing w:after="0" w:line="164"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Expenses for the year ended September 30, 2022 and 2021 totaled $56.9 million and $43.1 million, respectively. Base management fee for the same period totaled $11.9 million and $10.7 million, incentive fee totaled $11.6 million and $5.3 million, debt related interest and expenses totaled $29.8 million (including $0.4 million attributable to fees associated with the upsizing of the credit facility) and $24.5 million (including $2.9 million attributable to fees associated with entering into the new credit facility amendment fees), general and administrative expenses totaled $3.2 million and $2.1 million, and provision for taxes totaled $0.4 million and $0.4 million, respectively, for the same periods. The increase in expenses compared to the prior year was primarily due to an increase in base management fees under our Investment Management Agreement with the Investment Advisor and debt related interest and expenses.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Investment Income</w:t>
      </w:r>
    </w:p>
    <w:p>
      <w:pPr>
        <w:spacing w:after="0" w:line="202" w:lineRule="exact"/>
        <w:rPr>
          <w:sz w:val="20"/>
          <w:szCs w:val="20"/>
          <w:color w:val="auto"/>
        </w:rPr>
      </w:pPr>
    </w:p>
    <w:p>
      <w:pPr>
        <w:jc w:val="both"/>
        <w:ind w:right="140"/>
        <w:spacing w:after="0" w:line="282" w:lineRule="auto"/>
        <w:rPr>
          <w:sz w:val="20"/>
          <w:szCs w:val="20"/>
          <w:color w:val="auto"/>
        </w:rPr>
      </w:pPr>
      <w:r>
        <w:rPr>
          <w:rFonts w:ascii="Times New Roman" w:cs="Times New Roman" w:eastAsia="Times New Roman" w:hAnsi="Times New Roman"/>
          <w:sz w:val="18"/>
          <w:szCs w:val="18"/>
          <w:color w:val="auto"/>
        </w:rPr>
        <w:t>Net investment income totaled $12.7 million, or $0.28 per share, and $9.3 million, or $0.24 per share, for the three months ended September 30, 2022 and 2021, respectively.</w:t>
      </w:r>
    </w:p>
    <w:p>
      <w:pPr>
        <w:spacing w:after="0" w:line="135" w:lineRule="exact"/>
        <w:rPr>
          <w:sz w:val="20"/>
          <w:szCs w:val="20"/>
          <w:color w:val="auto"/>
        </w:rPr>
      </w:pPr>
    </w:p>
    <w:p>
      <w:pPr>
        <w:jc w:val="both"/>
        <w:ind w:right="160"/>
        <w:spacing w:after="0" w:line="258" w:lineRule="auto"/>
        <w:rPr>
          <w:sz w:val="20"/>
          <w:szCs w:val="20"/>
          <w:color w:val="auto"/>
        </w:rPr>
      </w:pPr>
      <w:r>
        <w:rPr>
          <w:rFonts w:ascii="Times New Roman" w:cs="Times New Roman" w:eastAsia="Times New Roman" w:hAnsi="Times New Roman"/>
          <w:sz w:val="18"/>
          <w:szCs w:val="18"/>
          <w:color w:val="auto"/>
        </w:rPr>
        <w:t>Net investment income totaled $48.6 million, or $1.18 per share, and $39.6 million, or $1.02 per share, for the years ended September 30, 2022 and 2021, respectively. The increase in net investment income compared to the prior year was primarily due to an increase in the size of our portfolio as well as the increase in LIBOR and SOFR base interest rates.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Realized Gains or Losses</w:t>
      </w:r>
    </w:p>
    <w:p>
      <w:pPr>
        <w:spacing w:after="0" w:line="200" w:lineRule="exact"/>
        <w:rPr>
          <w:sz w:val="20"/>
          <w:szCs w:val="20"/>
          <w:color w:val="auto"/>
        </w:rPr>
      </w:pPr>
    </w:p>
    <w:p>
      <w:pPr>
        <w:spacing w:after="0" w:line="21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realized gains (losses) on sales and repayments of investments totaled $0.5 million and $2.5 million, respectively for the three months ended September 30, 2022 and 2021.</w:t>
      </w:r>
    </w:p>
    <w:p>
      <w:pPr>
        <w:spacing w:after="0" w:line="200" w:lineRule="exact"/>
        <w:rPr>
          <w:sz w:val="20"/>
          <w:szCs w:val="20"/>
          <w:color w:val="auto"/>
        </w:rPr>
      </w:pPr>
    </w:p>
    <w:p>
      <w:pPr>
        <w:spacing w:after="0" w:line="367" w:lineRule="exact"/>
        <w:rPr>
          <w:sz w:val="20"/>
          <w:szCs w:val="20"/>
          <w:color w:val="auto"/>
        </w:rPr>
      </w:pPr>
    </w:p>
    <w:p>
      <w:pPr>
        <w:jc w:val="both"/>
        <w:ind w:firstLine="55"/>
        <w:spacing w:after="0" w:line="258" w:lineRule="auto"/>
        <w:rPr>
          <w:sz w:val="20"/>
          <w:szCs w:val="20"/>
          <w:color w:val="auto"/>
        </w:rPr>
      </w:pPr>
      <w:r>
        <w:rPr>
          <w:rFonts w:ascii="Times New Roman" w:cs="Times New Roman" w:eastAsia="Times New Roman" w:hAnsi="Times New Roman"/>
          <w:sz w:val="18"/>
          <w:szCs w:val="18"/>
          <w:color w:val="auto"/>
        </w:rPr>
        <w:t>Net realized gains (losses) on sales and repayments of investments totaled $(11.1) million and $12.8 million, respectively for the years ended September 30, 2022 and 2021. The change in realized gains (losses) was primarily due to changes in market conditions of our investments and the values at which they were realized, caused by the fluctuations in the market and in the economy.</w:t>
      </w: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Unrealized Appreciation or Depreciation on Investments, the Credit Facility and the 2023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204470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6" w:name="page7"/>
    <w:bookmarkEnd w:id="6"/>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For the three months ended September 30, 2022 and 2021, we reported a net change in unrealized appreciation (depreciation) appreciation on investments of $(20.9) million and $(7.5) million, respectively.</w:t>
      </w:r>
    </w:p>
    <w:p>
      <w:pPr>
        <w:spacing w:after="0" w:line="162"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For the years ended September 30, 2022 and 2021, we reported net change in unrealized appreciation (depreciation) on investments of $(24.5) million and $41.3 million, respectively. As of September 30, 2022 and 2021, our net unrealized appreciation (depreciation) on investments totaled $(13.1) million and $11.0 million, respectively. The net change in unrealized appreciation/depreciation on our investments for the year ended September 30, 2022 compared to the prior year was primarily due to changes in the capital market conditions of our investments and the values at which they were realized, caused by the fluctuations in the market and in the economy.</w:t>
      </w:r>
    </w:p>
    <w:p>
      <w:pPr>
        <w:spacing w:after="0" w:line="3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three months ended September 30, 2022 and 2021, our Credit Facility and 2023 Notes had a net change in unrealized (appreciation) depreciation of $(6.2) million and $(0.3) million, respectively.</w:t>
      </w:r>
    </w:p>
    <w:p>
      <w:pPr>
        <w:spacing w:after="0" w:line="162"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For the year ended September 30, 2022 and 2021, the Credit Facility or Prior Credit Facility, as applicable, and the 2023 Notes had a net change in unrealized (appreciation) depreciation of $(4.9) million and $(11.6) million and, respectively. As of September 30, 2022 and 2021, our net unrealized depreciation on the Credit Facility or our Prior Credit Facility, as applicable, and the 2023 Notes totaled $2.3 million and $7.2 million, respectively. The net change in unrealized depreciation for the year ended September 30, 2022 compared to the prior year was primarily due to changes in the capital markets, with the economic instability negatively affecting the value.</w:t>
      </w: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Change in Net Assets Resulting from Operations</w:t>
      </w:r>
    </w:p>
    <w:p>
      <w:pPr>
        <w:spacing w:after="0" w:line="21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change in net assets resulting from operations totaled $(13.1) million, or $(0.34) per share, and $4.0 million, or $0.10 per share, for the three months ended September 30, 2022 and 2021, respectively.</w:t>
      </w:r>
    </w:p>
    <w:p>
      <w:pPr>
        <w:spacing w:after="0" w:line="16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Net change in net assets resulting from operations totaled $3.5 million, or $0.08 per share, and $56.5 million, or $1.46 per share, for the years ended September 30, 2022 and 2021, respectively. The decrease in net assets from operations for the year ended September 30, 2022 compared to the prior year was primarily due to depreciation of the portfolio primarily driven by changes in market conditions.</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Our liquidity and capital resources are derived primarily from proceeds of securities offerings, debt capital and cash flows from operations, including investment sales and repayments, and income earned. Our primary use of funds from operations includes investments in portfolio companies and payments of fees and other operating expenses we incur. We have used, and expect to continue to use, our debt capital, proceeds from the rotation of our portfolio and proceeds from public and private offerings of securities to finance our investment objectives.</w:t>
      </w:r>
    </w:p>
    <w:p>
      <w:pPr>
        <w:spacing w:after="0" w:line="69"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The annualized weighted average cost of debt for the years ended September 30, 2022 and 2021, inclusive of the fee on the undrawn commitment on the Credit Facility or Prior Credit Facility, as applicable, amendment costs and debt issuance costs, was 4.5% and 3.9%, respectively. As of September 30, 2022, we maintained a $366 million Credit Facility, which was recently increased from $300 million during September 2022, and matures in August 2026. As of September 30, 2022 and 2021, we had $197.2 million and $80.6 million of unused borrowing capacity under the Credit Facility or our Prior Credit Facility, as applicable, respectively, subject to leverage and borrowing base restrictions.</w:t>
      </w:r>
    </w:p>
    <w:p>
      <w:pPr>
        <w:spacing w:after="0" w:line="8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As of September 30, 2022 and 2021, our wholly owned subsidiary, PennantPark Floating Rate Funding I, LLC, borrowed $168.8 million and $219.4 million under the Credit Facility or Prior Credit Facility, as applicable, respectively. The Credit Facility had a weighted average interest rate of 4.9% and 2.3%, exclusive of the fee on undrawn commitments as of September 30, 2022 and 2021, respectively.</w:t>
      </w:r>
    </w:p>
    <w:p>
      <w:pPr>
        <w:spacing w:after="0" w:line="8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As of September 30, 2022 and 2021, we had cash equivalents of $47.9 million and $49.8 million, respectively, available for investing and general corporate purposes. We believe our liquidity and capital resources are sufficient to allow us to efficiently operate the business.</w:t>
      </w:r>
    </w:p>
    <w:p>
      <w:pPr>
        <w:spacing w:after="0" w:line="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operating activities used cash of $50.0 million for the year ended September 30, 2022, and our financing activities provided cash of $47.7 million for the same period. Our operating activities used cash primarily for our investment activities and our financing activities used cash primarily for paying down the Credit Facility and paying distributions to stockholders.</w:t>
      </w:r>
    </w:p>
    <w:p>
      <w:pPr>
        <w:spacing w:after="0" w:line="200" w:lineRule="exact"/>
        <w:rPr>
          <w:sz w:val="20"/>
          <w:szCs w:val="20"/>
          <w:color w:val="auto"/>
        </w:rPr>
      </w:pPr>
    </w:p>
    <w:p>
      <w:pPr>
        <w:spacing w:after="0" w:line="37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operating activities provided cash of $49.6 million for the year ended September 30, 2021, and our financing activities used cash of $56.3 million for the same period. Our operating activities used cash primarily for our investment activities and our financing activities used cash primarily for paying down the Credit Facility and paying distributions to stockholders.</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DISTRIBUTIONS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jc w:val="both"/>
        <w:spacing w:after="0" w:line="245" w:lineRule="auto"/>
        <w:rPr>
          <w:sz w:val="20"/>
          <w:szCs w:val="20"/>
          <w:color w:val="auto"/>
        </w:rPr>
      </w:pPr>
      <w:r>
        <w:rPr>
          <w:rFonts w:ascii="Times New Roman" w:cs="Times New Roman" w:eastAsia="Times New Roman" w:hAnsi="Times New Roman"/>
          <w:sz w:val="18"/>
          <w:szCs w:val="18"/>
          <w:color w:val="auto"/>
        </w:rPr>
        <w:t>During the three months and year ended September 30, 2022, we declared distributions of $0.285 and $1.14 per share, respectively, for total distributions of $12.6 and $46.7 million, respectively. During the three months and year ended September 30, 2021, we declared distributions of $0.285 and $1.14 per share, respectively, for total distributions of $11.0 and $44.2 million, respectively. We monitor available net investment income to determine if a return of capital for tax purposes may occur for the fiscal year. To the extent our taxable earnings fall below the total amount of our distributions for any given fiscal year, stockholders will be notified of the portion of those distributions deemed to be a tax return of capital. Tax characteristics of all distributions will be reported to stockholders subject to information reporting on Form 1099-DIV after the end of each calendar year and in our periodic reports filed with the SEC.</w:t>
      </w:r>
    </w:p>
    <w:p>
      <w:pPr>
        <w:spacing w:after="0" w:line="3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makes available on its website its Quarterly Report on Form 10-K filed with the SEC, and stockholders may find such report on its website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at </w:t>
      </w:r>
      <w:r>
        <w:rPr>
          <w:rFonts w:ascii="Times New Roman" w:cs="Times New Roman" w:eastAsia="Times New Roman" w:hAnsi="Times New Roman"/>
          <w:sz w:val="18"/>
          <w:szCs w:val="18"/>
          <w:u w:val="single" w:color="auto"/>
          <w:color w:val="auto"/>
        </w:rPr>
        <w:t>www.pennantpark.com</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884555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6"/>
          <w:szCs w:val="16"/>
          <w:b w:val="1"/>
          <w:bCs w:val="1"/>
          <w:color w:val="auto"/>
        </w:rPr>
        <w:t>PENNANTPARK FLOATING RATE CAPITAL LTD. AND SUBSIDIARIES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CONSOLIDATED STATEMENTS OF ASSETS AND LIABILITIES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thousands, except per share data)</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8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120" w:type="dxa"/>
            <w:vAlign w:val="bottom"/>
          </w:tcPr>
          <w:p>
            <w:pPr>
              <w:spacing w:after="0"/>
              <w:rPr>
                <w:sz w:val="16"/>
                <w:szCs w:val="16"/>
                <w:color w:val="auto"/>
              </w:rPr>
            </w:pPr>
          </w:p>
        </w:tc>
        <w:tc>
          <w:tcPr>
            <w:tcW w:w="15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September 30, 2021</w:t>
            </w:r>
          </w:p>
        </w:tc>
        <w:tc>
          <w:tcPr>
            <w:tcW w:w="0" w:type="dxa"/>
            <w:vAlign w:val="bottom"/>
          </w:tcPr>
          <w:p>
            <w:pPr>
              <w:spacing w:after="0"/>
              <w:rPr>
                <w:sz w:val="1"/>
                <w:szCs w:val="1"/>
                <w:color w:val="auto"/>
              </w:rPr>
            </w:pPr>
          </w:p>
        </w:tc>
      </w:tr>
      <w:tr>
        <w:trPr>
          <w:trHeight w:val="169"/>
        </w:trPr>
        <w:tc>
          <w:tcPr>
            <w:tcW w:w="77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40" w:type="dxa"/>
            <w:vAlign w:val="bottom"/>
            <w:tcBorders>
              <w:top w:val="single" w:sz="8" w:color="auto"/>
            </w:tcBorders>
            <w:shd w:val="clear" w:color="auto" w:fill="CCECFF"/>
          </w:tcPr>
          <w:p>
            <w:pPr>
              <w:spacing w:after="0"/>
              <w:rPr>
                <w:sz w:val="14"/>
                <w:szCs w:val="14"/>
                <w:color w:val="auto"/>
              </w:rPr>
            </w:pPr>
          </w:p>
        </w:tc>
        <w:tc>
          <w:tcPr>
            <w:tcW w:w="1420" w:type="dxa"/>
            <w:vAlign w:val="bottom"/>
            <w:tcBorders>
              <w:top w:val="single" w:sz="8" w:color="auto"/>
            </w:tcBorders>
            <w:shd w:val="clear" w:color="auto" w:fill="CCECFF"/>
          </w:tcPr>
          <w:p>
            <w:pPr>
              <w:spacing w:after="0"/>
              <w:rPr>
                <w:sz w:val="14"/>
                <w:szCs w:val="14"/>
                <w:color w:val="auto"/>
              </w:rPr>
            </w:pPr>
          </w:p>
        </w:tc>
        <w:tc>
          <w:tcPr>
            <w:tcW w:w="260" w:type="dxa"/>
            <w:vAlign w:val="bottom"/>
            <w:shd w:val="clear" w:color="auto" w:fill="CCECFF"/>
          </w:tcPr>
          <w:p>
            <w:pPr>
              <w:spacing w:after="0"/>
              <w:rPr>
                <w:sz w:val="14"/>
                <w:szCs w:val="14"/>
                <w:color w:val="auto"/>
              </w:rPr>
            </w:pPr>
          </w:p>
        </w:tc>
        <w:tc>
          <w:tcPr>
            <w:tcW w:w="120" w:type="dxa"/>
            <w:vAlign w:val="bottom"/>
            <w:tcBorders>
              <w:top w:val="single" w:sz="8" w:color="auto"/>
            </w:tcBorders>
            <w:shd w:val="clear" w:color="auto" w:fill="CCECFF"/>
          </w:tcPr>
          <w:p>
            <w:pPr>
              <w:spacing w:after="0"/>
              <w:rPr>
                <w:sz w:val="14"/>
                <w:szCs w:val="14"/>
                <w:color w:val="auto"/>
              </w:rPr>
            </w:pPr>
          </w:p>
        </w:tc>
        <w:tc>
          <w:tcPr>
            <w:tcW w:w="1420" w:type="dxa"/>
            <w:vAlign w:val="bottom"/>
            <w:tcBorders>
              <w:top w:val="single" w:sz="8" w:color="auto"/>
            </w:tcBorders>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7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Investments at fair value</w:t>
            </w:r>
          </w:p>
        </w:tc>
        <w:tc>
          <w:tcPr>
            <w:tcW w:w="1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780" w:type="dxa"/>
            <w:vAlign w:val="bottom"/>
            <w:shd w:val="clear" w:color="auto" w:fill="CCECFF"/>
          </w:tcPr>
          <w:p>
            <w:pPr>
              <w:ind w:left="200"/>
              <w:spacing w:after="0"/>
              <w:rPr>
                <w:sz w:val="20"/>
                <w:szCs w:val="20"/>
                <w:color w:val="auto"/>
              </w:rPr>
            </w:pPr>
            <w:r>
              <w:rPr>
                <w:rFonts w:ascii="Times New Roman" w:cs="Times New Roman" w:eastAsia="Times New Roman" w:hAnsi="Times New Roman"/>
                <w:sz w:val="14"/>
                <w:szCs w:val="14"/>
                <w:color w:val="auto"/>
              </w:rPr>
              <w:t>Non-controlled, non-affiliated investments (cost—$882,570 and $824,542, respectively)</w:t>
            </w:r>
          </w:p>
        </w:tc>
        <w:tc>
          <w:tcPr>
            <w:tcW w:w="1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893,249</w:t>
            </w:r>
          </w:p>
        </w:tc>
        <w:tc>
          <w:tcPr>
            <w:tcW w:w="260" w:type="dxa"/>
            <w:vAlign w:val="bottom"/>
            <w:shd w:val="clear" w:color="auto" w:fill="CCECFF"/>
          </w:tcPr>
          <w:p>
            <w:pPr>
              <w:spacing w:after="0"/>
              <w:rPr>
                <w:sz w:val="15"/>
                <w:szCs w:val="15"/>
                <w:color w:val="auto"/>
              </w:rPr>
            </w:pPr>
          </w:p>
        </w:tc>
        <w:tc>
          <w:tcPr>
            <w:tcW w:w="1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856,806</w:t>
            </w:r>
          </w:p>
        </w:tc>
        <w:tc>
          <w:tcPr>
            <w:tcW w:w="100" w:type="dxa"/>
            <w:vAlign w:val="bottom"/>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7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Non-controlled, affiliated investments (cost— zero and $22,380, respectively)</w:t>
            </w:r>
          </w:p>
        </w:tc>
        <w:tc>
          <w:tcPr>
            <w:tcW w:w="140" w:type="dxa"/>
            <w:vAlign w:val="bottom"/>
          </w:tcPr>
          <w:p>
            <w:pPr>
              <w:spacing w:after="0"/>
              <w:rPr>
                <w:sz w:val="15"/>
                <w:szCs w:val="15"/>
                <w:color w:val="auto"/>
              </w:rPr>
            </w:pPr>
          </w:p>
        </w:tc>
        <w:tc>
          <w:tcPr>
            <w:tcW w:w="168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7,433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780" w:type="dxa"/>
            <w:vAlign w:val="bottom"/>
            <w:tcBorders>
              <w:bottom w:val="single" w:sz="8" w:color="CCECFF"/>
            </w:tcBorders>
            <w:shd w:val="clear" w:color="auto" w:fill="CCECFF"/>
          </w:tcPr>
          <w:p>
            <w:pPr>
              <w:ind w:left="200"/>
              <w:spacing w:after="0"/>
              <w:rPr>
                <w:sz w:val="20"/>
                <w:szCs w:val="20"/>
                <w:color w:val="auto"/>
              </w:rPr>
            </w:pPr>
            <w:r>
              <w:rPr>
                <w:rFonts w:ascii="Times New Roman" w:cs="Times New Roman" w:eastAsia="Times New Roman" w:hAnsi="Times New Roman"/>
                <w:sz w:val="14"/>
                <w:szCs w:val="14"/>
                <w:color w:val="auto"/>
              </w:rPr>
              <w:t>Controlled, affiliated investments (cost— $294,787 and $223,714, respectively)</w:t>
            </w:r>
          </w:p>
        </w:tc>
        <w:tc>
          <w:tcPr>
            <w:tcW w:w="140" w:type="dxa"/>
            <w:vAlign w:val="bottom"/>
            <w:tcBorders>
              <w:bottom w:val="single" w:sz="8" w:color="auto"/>
            </w:tcBorders>
            <w:shd w:val="clear" w:color="auto" w:fill="CCECFF"/>
          </w:tcPr>
          <w:p>
            <w:pPr>
              <w:spacing w:after="0"/>
              <w:rPr>
                <w:sz w:val="15"/>
                <w:szCs w:val="15"/>
                <w:color w:val="auto"/>
              </w:rPr>
            </w:pPr>
          </w:p>
        </w:tc>
        <w:tc>
          <w:tcPr>
            <w:tcW w:w="142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271,005</w:t>
            </w:r>
          </w:p>
        </w:tc>
        <w:tc>
          <w:tcPr>
            <w:tcW w:w="260" w:type="dxa"/>
            <w:vAlign w:val="bottom"/>
            <w:tcBorders>
              <w:bottom w:val="single" w:sz="8" w:color="CCECFF"/>
            </w:tcBorders>
            <w:shd w:val="clear" w:color="auto" w:fill="CCECFF"/>
          </w:tcPr>
          <w:p>
            <w:pPr>
              <w:spacing w:after="0"/>
              <w:rPr>
                <w:sz w:val="15"/>
                <w:szCs w:val="15"/>
                <w:color w:val="auto"/>
              </w:rPr>
            </w:pPr>
          </w:p>
        </w:tc>
        <w:tc>
          <w:tcPr>
            <w:tcW w:w="120" w:type="dxa"/>
            <w:vAlign w:val="bottom"/>
            <w:tcBorders>
              <w:bottom w:val="single" w:sz="8" w:color="auto"/>
            </w:tcBorders>
            <w:shd w:val="clear" w:color="auto" w:fill="CCECFF"/>
          </w:tcPr>
          <w:p>
            <w:pPr>
              <w:spacing w:after="0"/>
              <w:rPr>
                <w:sz w:val="15"/>
                <w:szCs w:val="15"/>
                <w:color w:val="auto"/>
              </w:rPr>
            </w:pPr>
          </w:p>
        </w:tc>
        <w:tc>
          <w:tcPr>
            <w:tcW w:w="142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217,380</w:t>
            </w:r>
          </w:p>
        </w:tc>
        <w:tc>
          <w:tcPr>
            <w:tcW w:w="100" w:type="dxa"/>
            <w:vAlign w:val="bottom"/>
            <w:tcBorders>
              <w:bottom w:val="single" w:sz="8" w:color="CCECFF"/>
            </w:tcBorders>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77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Total of investments (cost—$1,177,357 and $1,070,636, respectively)</w:t>
            </w:r>
          </w:p>
        </w:tc>
        <w:tc>
          <w:tcPr>
            <w:tcW w:w="14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1,164,254</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1,081,619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77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Cash and cash equivalents (cost—$47,917 and $49,826, respectively)</w:t>
            </w:r>
          </w:p>
        </w:tc>
        <w:tc>
          <w:tcPr>
            <w:tcW w:w="140" w:type="dxa"/>
            <w:vAlign w:val="bottom"/>
            <w:shd w:val="clear" w:color="auto" w:fill="CCECFF"/>
          </w:tcPr>
          <w:p>
            <w:pPr>
              <w:spacing w:after="0"/>
              <w:rPr>
                <w:sz w:val="15"/>
                <w:szCs w:val="15"/>
                <w:color w:val="auto"/>
              </w:rPr>
            </w:pPr>
          </w:p>
        </w:tc>
        <w:tc>
          <w:tcPr>
            <w:tcW w:w="14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47,880</w:t>
            </w:r>
          </w:p>
        </w:tc>
        <w:tc>
          <w:tcPr>
            <w:tcW w:w="260" w:type="dxa"/>
            <w:vAlign w:val="bottom"/>
            <w:shd w:val="clear" w:color="auto" w:fill="CCECFF"/>
          </w:tcPr>
          <w:p>
            <w:pPr>
              <w:spacing w:after="0"/>
              <w:rPr>
                <w:sz w:val="15"/>
                <w:szCs w:val="15"/>
                <w:color w:val="auto"/>
              </w:rPr>
            </w:pPr>
          </w:p>
        </w:tc>
        <w:tc>
          <w:tcPr>
            <w:tcW w:w="120" w:type="dxa"/>
            <w:vAlign w:val="bottom"/>
            <w:shd w:val="clear" w:color="auto" w:fill="CCECFF"/>
          </w:tcPr>
          <w:p>
            <w:pPr>
              <w:spacing w:after="0"/>
              <w:rPr>
                <w:sz w:val="15"/>
                <w:szCs w:val="15"/>
                <w:color w:val="auto"/>
              </w:rPr>
            </w:pPr>
          </w:p>
        </w:tc>
        <w:tc>
          <w:tcPr>
            <w:tcW w:w="14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49,826</w:t>
            </w:r>
          </w:p>
        </w:tc>
        <w:tc>
          <w:tcPr>
            <w:tcW w:w="100" w:type="dxa"/>
            <w:vAlign w:val="bottom"/>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 receivable</w:t>
            </w:r>
          </w:p>
        </w:tc>
        <w:tc>
          <w:tcPr>
            <w:tcW w:w="14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7,543</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5,446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7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Receivable for investments sold</w:t>
            </w:r>
          </w:p>
        </w:tc>
        <w:tc>
          <w:tcPr>
            <w:tcW w:w="140" w:type="dxa"/>
            <w:vAlign w:val="bottom"/>
            <w:shd w:val="clear" w:color="auto" w:fill="CCECFF"/>
          </w:tcPr>
          <w:p>
            <w:pPr>
              <w:spacing w:after="0"/>
              <w:rPr>
                <w:sz w:val="15"/>
                <w:szCs w:val="15"/>
                <w:color w:val="auto"/>
              </w:rPr>
            </w:pPr>
          </w:p>
        </w:tc>
        <w:tc>
          <w:tcPr>
            <w:tcW w:w="14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3,441</w:t>
            </w:r>
          </w:p>
        </w:tc>
        <w:tc>
          <w:tcPr>
            <w:tcW w:w="260" w:type="dxa"/>
            <w:vAlign w:val="bottom"/>
            <w:shd w:val="clear" w:color="auto" w:fill="CCECFF"/>
          </w:tcPr>
          <w:p>
            <w:pPr>
              <w:spacing w:after="0"/>
              <w:rPr>
                <w:sz w:val="15"/>
                <w:szCs w:val="15"/>
                <w:color w:val="auto"/>
              </w:rPr>
            </w:pPr>
          </w:p>
        </w:tc>
        <w:tc>
          <w:tcPr>
            <w:tcW w:w="120" w:type="dxa"/>
            <w:vAlign w:val="bottom"/>
            <w:shd w:val="clear" w:color="auto" w:fill="CCECFF"/>
          </w:tcPr>
          <w:p>
            <w:pPr>
              <w:spacing w:after="0"/>
              <w:rPr>
                <w:sz w:val="15"/>
                <w:szCs w:val="15"/>
                <w:color w:val="auto"/>
              </w:rPr>
            </w:pPr>
          </w:p>
        </w:tc>
        <w:tc>
          <w:tcPr>
            <w:tcW w:w="14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33,965</w:t>
            </w:r>
          </w:p>
        </w:tc>
        <w:tc>
          <w:tcPr>
            <w:tcW w:w="100" w:type="dxa"/>
            <w:vAlign w:val="bottom"/>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Prepaid expenses and other assets</w:t>
            </w:r>
          </w:p>
        </w:tc>
        <w:tc>
          <w:tcPr>
            <w:tcW w:w="14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748</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9"/>
        </w:trPr>
        <w:tc>
          <w:tcPr>
            <w:tcW w:w="7780" w:type="dxa"/>
            <w:vAlign w:val="bottom"/>
            <w:tcBorders>
              <w:bottom w:val="single" w:sz="8" w:color="CCECFF"/>
            </w:tcBorders>
            <w:shd w:val="clear" w:color="auto" w:fill="CCECFF"/>
          </w:tcPr>
          <w:p>
            <w:pPr>
              <w:ind w:left="740"/>
              <w:spacing w:after="0"/>
              <w:rPr>
                <w:sz w:val="20"/>
                <w:szCs w:val="20"/>
                <w:color w:val="auto"/>
              </w:rPr>
            </w:pPr>
            <w:r>
              <w:rPr>
                <w:rFonts w:ascii="Times New Roman" w:cs="Times New Roman" w:eastAsia="Times New Roman" w:hAnsi="Times New Roman"/>
                <w:sz w:val="14"/>
                <w:szCs w:val="14"/>
                <w:b w:val="1"/>
                <w:bCs w:val="1"/>
                <w:color w:val="auto"/>
              </w:rPr>
              <w:t>Total assets</w:t>
            </w:r>
          </w:p>
        </w:tc>
        <w:tc>
          <w:tcPr>
            <w:tcW w:w="140" w:type="dxa"/>
            <w:vAlign w:val="bottom"/>
            <w:tcBorders>
              <w:top w:val="single" w:sz="8" w:color="auto"/>
              <w:bottom w:val="single" w:sz="8" w:color="auto"/>
            </w:tcBorders>
            <w:shd w:val="clear" w:color="auto" w:fill="CCECFF"/>
          </w:tcPr>
          <w:p>
            <w:pPr>
              <w:spacing w:after="0"/>
              <w:rPr>
                <w:sz w:val="14"/>
                <w:szCs w:val="14"/>
                <w:color w:val="auto"/>
              </w:rPr>
            </w:pPr>
          </w:p>
        </w:tc>
        <w:tc>
          <w:tcPr>
            <w:tcW w:w="142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1,223,866</w:t>
            </w:r>
          </w:p>
        </w:tc>
        <w:tc>
          <w:tcPr>
            <w:tcW w:w="260" w:type="dxa"/>
            <w:vAlign w:val="bottom"/>
            <w:tcBorders>
              <w:bottom w:val="single" w:sz="8" w:color="CCECFF"/>
            </w:tcBorders>
            <w:shd w:val="clear" w:color="auto" w:fill="CCECFF"/>
          </w:tcPr>
          <w:p>
            <w:pPr>
              <w:spacing w:after="0"/>
              <w:rPr>
                <w:sz w:val="14"/>
                <w:szCs w:val="14"/>
                <w:color w:val="auto"/>
              </w:rPr>
            </w:pPr>
          </w:p>
        </w:tc>
        <w:tc>
          <w:tcPr>
            <w:tcW w:w="120" w:type="dxa"/>
            <w:vAlign w:val="bottom"/>
            <w:tcBorders>
              <w:top w:val="single" w:sz="8" w:color="auto"/>
              <w:bottom w:val="single" w:sz="8" w:color="auto"/>
            </w:tcBorders>
            <w:shd w:val="clear" w:color="auto" w:fill="CCECFF"/>
          </w:tcPr>
          <w:p>
            <w:pPr>
              <w:spacing w:after="0"/>
              <w:rPr>
                <w:sz w:val="14"/>
                <w:szCs w:val="14"/>
                <w:color w:val="auto"/>
              </w:rPr>
            </w:pPr>
          </w:p>
        </w:tc>
        <w:tc>
          <w:tcPr>
            <w:tcW w:w="142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1,170,856</w:t>
            </w:r>
          </w:p>
        </w:tc>
        <w:tc>
          <w:tcPr>
            <w:tcW w:w="100" w:type="dxa"/>
            <w:vAlign w:val="bottom"/>
            <w:tcBorders>
              <w:bottom w:val="single" w:sz="8" w:color="CCECFF"/>
            </w:tcBorders>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77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1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77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Distributions payable</w:t>
            </w:r>
          </w:p>
        </w:tc>
        <w:tc>
          <w:tcPr>
            <w:tcW w:w="140" w:type="dxa"/>
            <w:vAlign w:val="bottom"/>
            <w:shd w:val="clear" w:color="auto" w:fill="CCECFF"/>
          </w:tcPr>
          <w:p>
            <w:pPr>
              <w:spacing w:after="0"/>
              <w:rPr>
                <w:sz w:val="15"/>
                <w:szCs w:val="15"/>
                <w:color w:val="auto"/>
              </w:rPr>
            </w:pPr>
          </w:p>
        </w:tc>
        <w:tc>
          <w:tcPr>
            <w:tcW w:w="14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4,308</w:t>
            </w:r>
          </w:p>
        </w:tc>
        <w:tc>
          <w:tcPr>
            <w:tcW w:w="260" w:type="dxa"/>
            <w:vAlign w:val="bottom"/>
            <w:shd w:val="clear" w:color="auto" w:fill="CCECFF"/>
          </w:tcPr>
          <w:p>
            <w:pPr>
              <w:spacing w:after="0"/>
              <w:rPr>
                <w:sz w:val="15"/>
                <w:szCs w:val="15"/>
                <w:color w:val="auto"/>
              </w:rPr>
            </w:pPr>
          </w:p>
        </w:tc>
        <w:tc>
          <w:tcPr>
            <w:tcW w:w="120" w:type="dxa"/>
            <w:vAlign w:val="bottom"/>
            <w:shd w:val="clear" w:color="auto" w:fill="CCECFF"/>
          </w:tcPr>
          <w:p>
            <w:pPr>
              <w:spacing w:after="0"/>
              <w:rPr>
                <w:sz w:val="15"/>
                <w:szCs w:val="15"/>
                <w:color w:val="auto"/>
              </w:rPr>
            </w:pPr>
          </w:p>
        </w:tc>
        <w:tc>
          <w:tcPr>
            <w:tcW w:w="14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3,690</w:t>
            </w:r>
          </w:p>
        </w:tc>
        <w:tc>
          <w:tcPr>
            <w:tcW w:w="100" w:type="dxa"/>
            <w:vAlign w:val="bottom"/>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Payable for investments purchased</w:t>
            </w:r>
          </w:p>
        </w:tc>
        <w:tc>
          <w:tcPr>
            <w:tcW w:w="140" w:type="dxa"/>
            <w:vAlign w:val="bottom"/>
          </w:tcPr>
          <w:p>
            <w:pPr>
              <w:spacing w:after="0"/>
              <w:rPr>
                <w:sz w:val="15"/>
                <w:szCs w:val="15"/>
                <w:color w:val="auto"/>
              </w:rPr>
            </w:pPr>
          </w:p>
        </w:tc>
        <w:tc>
          <w:tcPr>
            <w:tcW w:w="168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13,546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7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Credit Facility payable, at fair value (cost—$168,830 and $219,400, respectively)</w:t>
            </w:r>
          </w:p>
        </w:tc>
        <w:tc>
          <w:tcPr>
            <w:tcW w:w="140" w:type="dxa"/>
            <w:vAlign w:val="bottom"/>
            <w:shd w:val="clear" w:color="auto" w:fill="CCECFF"/>
          </w:tcPr>
          <w:p>
            <w:pPr>
              <w:spacing w:after="0"/>
              <w:rPr>
                <w:sz w:val="15"/>
                <w:szCs w:val="15"/>
                <w:color w:val="auto"/>
              </w:rPr>
            </w:pPr>
          </w:p>
        </w:tc>
        <w:tc>
          <w:tcPr>
            <w:tcW w:w="14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167,563</w:t>
            </w:r>
          </w:p>
        </w:tc>
        <w:tc>
          <w:tcPr>
            <w:tcW w:w="260" w:type="dxa"/>
            <w:vAlign w:val="bottom"/>
            <w:shd w:val="clear" w:color="auto" w:fill="CCECFF"/>
          </w:tcPr>
          <w:p>
            <w:pPr>
              <w:spacing w:after="0"/>
              <w:rPr>
                <w:sz w:val="15"/>
                <w:szCs w:val="15"/>
                <w:color w:val="auto"/>
              </w:rPr>
            </w:pPr>
          </w:p>
        </w:tc>
        <w:tc>
          <w:tcPr>
            <w:tcW w:w="120" w:type="dxa"/>
            <w:vAlign w:val="bottom"/>
            <w:shd w:val="clear" w:color="auto" w:fill="CCECFF"/>
          </w:tcPr>
          <w:p>
            <w:pPr>
              <w:spacing w:after="0"/>
              <w:rPr>
                <w:sz w:val="15"/>
                <w:szCs w:val="15"/>
                <w:color w:val="auto"/>
              </w:rPr>
            </w:pPr>
          </w:p>
        </w:tc>
        <w:tc>
          <w:tcPr>
            <w:tcW w:w="14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218,851</w:t>
            </w:r>
          </w:p>
        </w:tc>
        <w:tc>
          <w:tcPr>
            <w:tcW w:w="100" w:type="dxa"/>
            <w:vAlign w:val="bottom"/>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2023 Notes payable, at fair value (par—$97,006 and $117,793, respectively)</w:t>
            </w:r>
          </w:p>
        </w:tc>
        <w:tc>
          <w:tcPr>
            <w:tcW w:w="14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96,812</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111,114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7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2026 Notes payable, net (par—$185,000 and $100,000, respectively)</w:t>
            </w:r>
          </w:p>
        </w:tc>
        <w:tc>
          <w:tcPr>
            <w:tcW w:w="140" w:type="dxa"/>
            <w:vAlign w:val="bottom"/>
            <w:shd w:val="clear" w:color="auto" w:fill="CCECFF"/>
          </w:tcPr>
          <w:p>
            <w:pPr>
              <w:spacing w:after="0"/>
              <w:rPr>
                <w:sz w:val="15"/>
                <w:szCs w:val="15"/>
                <w:color w:val="auto"/>
              </w:rPr>
            </w:pPr>
          </w:p>
        </w:tc>
        <w:tc>
          <w:tcPr>
            <w:tcW w:w="14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182,276</w:t>
            </w:r>
          </w:p>
        </w:tc>
        <w:tc>
          <w:tcPr>
            <w:tcW w:w="260" w:type="dxa"/>
            <w:vAlign w:val="bottom"/>
            <w:shd w:val="clear" w:color="auto" w:fill="CCECFF"/>
          </w:tcPr>
          <w:p>
            <w:pPr>
              <w:spacing w:after="0"/>
              <w:rPr>
                <w:sz w:val="15"/>
                <w:szCs w:val="15"/>
                <w:color w:val="auto"/>
              </w:rPr>
            </w:pPr>
          </w:p>
        </w:tc>
        <w:tc>
          <w:tcPr>
            <w:tcW w:w="120" w:type="dxa"/>
            <w:vAlign w:val="bottom"/>
            <w:shd w:val="clear" w:color="auto" w:fill="CCECFF"/>
          </w:tcPr>
          <w:p>
            <w:pPr>
              <w:spacing w:after="0"/>
              <w:rPr>
                <w:sz w:val="15"/>
                <w:szCs w:val="15"/>
                <w:color w:val="auto"/>
              </w:rPr>
            </w:pPr>
          </w:p>
        </w:tc>
        <w:tc>
          <w:tcPr>
            <w:tcW w:w="14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97,171</w:t>
            </w:r>
          </w:p>
        </w:tc>
        <w:tc>
          <w:tcPr>
            <w:tcW w:w="100" w:type="dxa"/>
            <w:vAlign w:val="bottom"/>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2031 Asset-Backed Debt, net (par—$228,000)</w:t>
            </w:r>
          </w:p>
        </w:tc>
        <w:tc>
          <w:tcPr>
            <w:tcW w:w="14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226,128</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225,497</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7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Interest payable on debt</w:t>
            </w:r>
          </w:p>
        </w:tc>
        <w:tc>
          <w:tcPr>
            <w:tcW w:w="140" w:type="dxa"/>
            <w:vAlign w:val="bottom"/>
            <w:shd w:val="clear" w:color="auto" w:fill="CCECFF"/>
          </w:tcPr>
          <w:p>
            <w:pPr>
              <w:spacing w:after="0"/>
              <w:rPr>
                <w:sz w:val="15"/>
                <w:szCs w:val="15"/>
                <w:color w:val="auto"/>
              </w:rPr>
            </w:pPr>
          </w:p>
        </w:tc>
        <w:tc>
          <w:tcPr>
            <w:tcW w:w="14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8,163</w:t>
            </w:r>
          </w:p>
        </w:tc>
        <w:tc>
          <w:tcPr>
            <w:tcW w:w="260" w:type="dxa"/>
            <w:vAlign w:val="bottom"/>
            <w:shd w:val="clear" w:color="auto" w:fill="CCECFF"/>
          </w:tcPr>
          <w:p>
            <w:pPr>
              <w:spacing w:after="0"/>
              <w:rPr>
                <w:sz w:val="15"/>
                <w:szCs w:val="15"/>
                <w:color w:val="auto"/>
              </w:rPr>
            </w:pPr>
          </w:p>
        </w:tc>
        <w:tc>
          <w:tcPr>
            <w:tcW w:w="120" w:type="dxa"/>
            <w:vAlign w:val="bottom"/>
            <w:shd w:val="clear" w:color="auto" w:fill="CCECFF"/>
          </w:tcPr>
          <w:p>
            <w:pPr>
              <w:spacing w:after="0"/>
              <w:rPr>
                <w:sz w:val="15"/>
                <w:szCs w:val="15"/>
                <w:color w:val="auto"/>
              </w:rPr>
            </w:pPr>
          </w:p>
        </w:tc>
        <w:tc>
          <w:tcPr>
            <w:tcW w:w="14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5,455</w:t>
            </w:r>
          </w:p>
        </w:tc>
        <w:tc>
          <w:tcPr>
            <w:tcW w:w="100" w:type="dxa"/>
            <w:vAlign w:val="bottom"/>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Base management fee payable</w:t>
            </w:r>
          </w:p>
        </w:tc>
        <w:tc>
          <w:tcPr>
            <w:tcW w:w="14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3,027</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2,707</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7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Performance-based incentive fee payable</w:t>
            </w:r>
          </w:p>
        </w:tc>
        <w:tc>
          <w:tcPr>
            <w:tcW w:w="140" w:type="dxa"/>
            <w:vAlign w:val="bottom"/>
            <w:shd w:val="clear" w:color="auto" w:fill="CCECFF"/>
          </w:tcPr>
          <w:p>
            <w:pPr>
              <w:spacing w:after="0"/>
              <w:rPr>
                <w:sz w:val="15"/>
                <w:szCs w:val="15"/>
                <w:color w:val="auto"/>
              </w:rPr>
            </w:pPr>
          </w:p>
        </w:tc>
        <w:tc>
          <w:tcPr>
            <w:tcW w:w="14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3,164</w:t>
            </w:r>
          </w:p>
        </w:tc>
        <w:tc>
          <w:tcPr>
            <w:tcW w:w="260" w:type="dxa"/>
            <w:vAlign w:val="bottom"/>
            <w:shd w:val="clear" w:color="auto" w:fill="CCECFF"/>
          </w:tcPr>
          <w:p>
            <w:pPr>
              <w:spacing w:after="0"/>
              <w:rPr>
                <w:sz w:val="15"/>
                <w:szCs w:val="15"/>
                <w:color w:val="auto"/>
              </w:rPr>
            </w:pPr>
          </w:p>
        </w:tc>
        <w:tc>
          <w:tcPr>
            <w:tcW w:w="120" w:type="dxa"/>
            <w:vAlign w:val="bottom"/>
            <w:shd w:val="clear" w:color="auto" w:fill="CCECFF"/>
          </w:tcPr>
          <w:p>
            <w:pPr>
              <w:spacing w:after="0"/>
              <w:rPr>
                <w:sz w:val="15"/>
                <w:szCs w:val="15"/>
                <w:color w:val="auto"/>
              </w:rPr>
            </w:pPr>
          </w:p>
        </w:tc>
        <w:tc>
          <w:tcPr>
            <w:tcW w:w="14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624</w:t>
            </w:r>
          </w:p>
        </w:tc>
        <w:tc>
          <w:tcPr>
            <w:tcW w:w="100" w:type="dxa"/>
            <w:vAlign w:val="bottom"/>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Accrued other expenses</w:t>
            </w:r>
          </w:p>
        </w:tc>
        <w:tc>
          <w:tcPr>
            <w:tcW w:w="14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765</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1,590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7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Deferred tax liability</w:t>
            </w:r>
          </w:p>
        </w:tc>
        <w:tc>
          <w:tcPr>
            <w:tcW w:w="140" w:type="dxa"/>
            <w:vAlign w:val="bottom"/>
            <w:shd w:val="clear" w:color="auto" w:fill="CCECFF"/>
          </w:tcPr>
          <w:p>
            <w:pPr>
              <w:spacing w:after="0"/>
              <w:rPr>
                <w:sz w:val="15"/>
                <w:szCs w:val="15"/>
                <w:color w:val="auto"/>
              </w:rPr>
            </w:pPr>
          </w:p>
        </w:tc>
        <w:tc>
          <w:tcPr>
            <w:tcW w:w="14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4,568</w:t>
            </w:r>
          </w:p>
        </w:tc>
        <w:tc>
          <w:tcPr>
            <w:tcW w:w="260" w:type="dxa"/>
            <w:vAlign w:val="bottom"/>
            <w:shd w:val="clear" w:color="auto" w:fill="CCECFF"/>
          </w:tcPr>
          <w:p>
            <w:pPr>
              <w:spacing w:after="0"/>
              <w:rPr>
                <w:sz w:val="15"/>
                <w:szCs w:val="15"/>
                <w:color w:val="auto"/>
              </w:rPr>
            </w:pPr>
          </w:p>
        </w:tc>
        <w:tc>
          <w:tcPr>
            <w:tcW w:w="120" w:type="dxa"/>
            <w:vAlign w:val="bottom"/>
            <w:shd w:val="clear" w:color="auto" w:fill="CCECFF"/>
          </w:tcPr>
          <w:p>
            <w:pPr>
              <w:spacing w:after="0"/>
              <w:rPr>
                <w:sz w:val="15"/>
                <w:szCs w:val="15"/>
                <w:color w:val="auto"/>
              </w:rPr>
            </w:pPr>
          </w:p>
        </w:tc>
        <w:tc>
          <w:tcPr>
            <w:tcW w:w="1520" w:type="dxa"/>
            <w:vAlign w:val="bottom"/>
            <w:gridSpan w:val="2"/>
            <w:shd w:val="clear" w:color="auto" w:fill="CCEC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9"/>
        </w:trPr>
        <w:tc>
          <w:tcPr>
            <w:tcW w:w="7780" w:type="dxa"/>
            <w:vAlign w:val="bottom"/>
            <w:tcBorders>
              <w:top w:val="single" w:sz="8" w:color="CCECFF"/>
            </w:tcBorders>
          </w:tcPr>
          <w:p>
            <w:pPr>
              <w:ind w:left="740"/>
              <w:spacing w:after="0"/>
              <w:rPr>
                <w:sz w:val="20"/>
                <w:szCs w:val="20"/>
                <w:color w:val="auto"/>
              </w:rPr>
            </w:pPr>
            <w:r>
              <w:rPr>
                <w:rFonts w:ascii="Times New Roman" w:cs="Times New Roman" w:eastAsia="Times New Roman" w:hAnsi="Times New Roman"/>
                <w:sz w:val="14"/>
                <w:szCs w:val="14"/>
                <w:b w:val="1"/>
                <w:bCs w:val="1"/>
                <w:color w:val="auto"/>
              </w:rPr>
              <w:t>Total liabilities</w:t>
            </w:r>
          </w:p>
        </w:tc>
        <w:tc>
          <w:tcPr>
            <w:tcW w:w="140" w:type="dxa"/>
            <w:vAlign w:val="bottom"/>
            <w:tcBorders>
              <w:top w:val="single" w:sz="8" w:color="auto"/>
              <w:bottom w:val="single" w:sz="8" w:color="auto"/>
            </w:tcBorders>
          </w:tcPr>
          <w:p>
            <w:pPr>
              <w:spacing w:after="0"/>
              <w:rPr>
                <w:sz w:val="14"/>
                <w:szCs w:val="14"/>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696,774</w:t>
            </w:r>
          </w:p>
        </w:tc>
        <w:tc>
          <w:tcPr>
            <w:tcW w:w="260" w:type="dxa"/>
            <w:vAlign w:val="bottom"/>
            <w:tcBorders>
              <w:top w:val="single" w:sz="8" w:color="CCECFF"/>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680,245</w:t>
            </w:r>
          </w:p>
        </w:tc>
        <w:tc>
          <w:tcPr>
            <w:tcW w:w="100" w:type="dxa"/>
            <w:vAlign w:val="bottom"/>
            <w:tcBorders>
              <w:top w:val="single" w:sz="8" w:color="CCECFF"/>
            </w:tcBorders>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77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Commitments and contingencies</w:t>
            </w:r>
          </w:p>
        </w:tc>
        <w:tc>
          <w:tcPr>
            <w:tcW w:w="140" w:type="dxa"/>
            <w:vAlign w:val="bottom"/>
            <w:shd w:val="clear" w:color="auto" w:fill="CCECFF"/>
          </w:tcPr>
          <w:p>
            <w:pPr>
              <w:spacing w:after="0"/>
              <w:rPr>
                <w:sz w:val="14"/>
                <w:szCs w:val="14"/>
                <w:color w:val="auto"/>
              </w:rPr>
            </w:pPr>
          </w:p>
        </w:tc>
        <w:tc>
          <w:tcPr>
            <w:tcW w:w="1420" w:type="dxa"/>
            <w:vAlign w:val="bottom"/>
            <w:shd w:val="clear" w:color="auto" w:fill="CCECFF"/>
          </w:tcPr>
          <w:p>
            <w:pPr>
              <w:spacing w:after="0"/>
              <w:rPr>
                <w:sz w:val="14"/>
                <w:szCs w:val="14"/>
                <w:color w:val="auto"/>
              </w:rPr>
            </w:pPr>
          </w:p>
        </w:tc>
        <w:tc>
          <w:tcPr>
            <w:tcW w:w="26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42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77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Net assets</w:t>
            </w:r>
          </w:p>
        </w:tc>
        <w:tc>
          <w:tcPr>
            <w:tcW w:w="1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3"/>
        </w:trPr>
        <w:tc>
          <w:tcPr>
            <w:tcW w:w="7780" w:type="dxa"/>
            <w:vAlign w:val="bottom"/>
            <w:shd w:val="clear" w:color="auto" w:fill="CCECFF"/>
          </w:tcPr>
          <w:p>
            <w:pPr>
              <w:ind w:left="20"/>
              <w:spacing w:after="0" w:line="153" w:lineRule="exact"/>
              <w:rPr>
                <w:sz w:val="20"/>
                <w:szCs w:val="20"/>
                <w:color w:val="auto"/>
              </w:rPr>
            </w:pPr>
            <w:r>
              <w:rPr>
                <w:rFonts w:ascii="Times New Roman" w:cs="Times New Roman" w:eastAsia="Times New Roman" w:hAnsi="Times New Roman"/>
                <w:sz w:val="14"/>
                <w:szCs w:val="14"/>
                <w:color w:val="auto"/>
              </w:rPr>
              <w:t>Common stock, 45,345,638 and 38,880,728 shares issued and outstanding, respectively</w:t>
            </w:r>
          </w:p>
        </w:tc>
        <w:tc>
          <w:tcPr>
            <w:tcW w:w="140" w:type="dxa"/>
            <w:vAlign w:val="bottom"/>
            <w:shd w:val="clear" w:color="auto" w:fill="CCECFF"/>
          </w:tcPr>
          <w:p>
            <w:pPr>
              <w:spacing w:after="0"/>
              <w:rPr>
                <w:sz w:val="13"/>
                <w:szCs w:val="13"/>
                <w:color w:val="auto"/>
              </w:rPr>
            </w:pPr>
          </w:p>
        </w:tc>
        <w:tc>
          <w:tcPr>
            <w:tcW w:w="1420" w:type="dxa"/>
            <w:vAlign w:val="bottom"/>
            <w:vMerge w:val="restart"/>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26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1420" w:type="dxa"/>
            <w:vAlign w:val="bottom"/>
            <w:vMerge w:val="restart"/>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7780" w:type="dxa"/>
            <w:vAlign w:val="bottom"/>
            <w:shd w:val="clear" w:color="auto" w:fill="CCECFF"/>
          </w:tcPr>
          <w:p>
            <w:pPr>
              <w:ind w:left="120"/>
              <w:spacing w:after="0"/>
              <w:rPr>
                <w:sz w:val="20"/>
                <w:szCs w:val="20"/>
                <w:color w:val="auto"/>
              </w:rPr>
            </w:pPr>
            <w:r>
              <w:rPr>
                <w:rFonts w:ascii="Times New Roman" w:cs="Times New Roman" w:eastAsia="Times New Roman" w:hAnsi="Times New Roman"/>
                <w:sz w:val="14"/>
                <w:szCs w:val="14"/>
                <w:color w:val="auto"/>
              </w:rPr>
              <w:t>Par value $0.001 per share and 100,000,000 shares authorized</w:t>
            </w:r>
          </w:p>
        </w:tc>
        <w:tc>
          <w:tcPr>
            <w:tcW w:w="140" w:type="dxa"/>
            <w:vAlign w:val="bottom"/>
            <w:shd w:val="clear" w:color="auto" w:fill="CCECFF"/>
          </w:tcPr>
          <w:p>
            <w:pPr>
              <w:spacing w:after="0"/>
              <w:rPr>
                <w:sz w:val="14"/>
                <w:szCs w:val="14"/>
                <w:color w:val="auto"/>
              </w:rPr>
            </w:pPr>
          </w:p>
        </w:tc>
        <w:tc>
          <w:tcPr>
            <w:tcW w:w="1420" w:type="dxa"/>
            <w:vAlign w:val="bottom"/>
            <w:vMerge w:val="continue"/>
            <w:shd w:val="clear" w:color="auto" w:fill="CCECFF"/>
          </w:tcPr>
          <w:p>
            <w:pPr>
              <w:spacing w:after="0"/>
              <w:rPr>
                <w:sz w:val="14"/>
                <w:szCs w:val="14"/>
                <w:color w:val="auto"/>
              </w:rPr>
            </w:pPr>
          </w:p>
        </w:tc>
        <w:tc>
          <w:tcPr>
            <w:tcW w:w="26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420" w:type="dxa"/>
            <w:vAlign w:val="bottom"/>
            <w:vMerge w:val="continue"/>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7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Paid-in capital in excess of par value</w:t>
            </w:r>
          </w:p>
        </w:tc>
        <w:tc>
          <w:tcPr>
            <w:tcW w:w="14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618,028</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538,814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7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Accumulated deficit</w:t>
            </w:r>
          </w:p>
        </w:tc>
        <w:tc>
          <w:tcPr>
            <w:tcW w:w="140" w:type="dxa"/>
            <w:vAlign w:val="bottom"/>
            <w:shd w:val="clear" w:color="auto" w:fill="CCECFF"/>
          </w:tcPr>
          <w:p>
            <w:pPr>
              <w:spacing w:after="0"/>
              <w:rPr>
                <w:sz w:val="15"/>
                <w:szCs w:val="15"/>
                <w:color w:val="auto"/>
              </w:rPr>
            </w:pPr>
          </w:p>
        </w:tc>
        <w:tc>
          <w:tcPr>
            <w:tcW w:w="1680" w:type="dxa"/>
            <w:vAlign w:val="bottom"/>
            <w:gridSpan w:val="2"/>
            <w:shd w:val="clear" w:color="auto" w:fill="CCECFF"/>
          </w:tcPr>
          <w:p>
            <w:pPr>
              <w:jc w:val="right"/>
              <w:ind w:right="200"/>
              <w:spacing w:after="0"/>
              <w:rPr>
                <w:sz w:val="20"/>
                <w:szCs w:val="20"/>
                <w:color w:val="auto"/>
              </w:rPr>
            </w:pPr>
            <w:r>
              <w:rPr>
                <w:rFonts w:ascii="Times New Roman" w:cs="Times New Roman" w:eastAsia="Times New Roman" w:hAnsi="Times New Roman"/>
                <w:sz w:val="14"/>
                <w:szCs w:val="14"/>
                <w:color w:val="auto"/>
              </w:rPr>
              <w:t>(90,981 )</w:t>
            </w:r>
          </w:p>
        </w:tc>
        <w:tc>
          <w:tcPr>
            <w:tcW w:w="120" w:type="dxa"/>
            <w:vAlign w:val="bottom"/>
            <w:shd w:val="clear" w:color="auto" w:fill="CCECFF"/>
          </w:tcPr>
          <w:p>
            <w:pPr>
              <w:spacing w:after="0"/>
              <w:rPr>
                <w:sz w:val="15"/>
                <w:szCs w:val="15"/>
                <w:color w:val="auto"/>
              </w:rPr>
            </w:pPr>
          </w:p>
        </w:tc>
        <w:tc>
          <w:tcPr>
            <w:tcW w:w="152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4"/>
                <w:szCs w:val="14"/>
                <w:color w:val="auto"/>
              </w:rPr>
              <w:t>(48,242 )</w:t>
            </w:r>
          </w:p>
        </w:tc>
        <w:tc>
          <w:tcPr>
            <w:tcW w:w="0" w:type="dxa"/>
            <w:vAlign w:val="bottom"/>
          </w:tcPr>
          <w:p>
            <w:pPr>
              <w:spacing w:after="0"/>
              <w:rPr>
                <w:sz w:val="1"/>
                <w:szCs w:val="1"/>
                <w:color w:val="auto"/>
              </w:rPr>
            </w:pPr>
          </w:p>
        </w:tc>
      </w:tr>
      <w:tr>
        <w:trPr>
          <w:trHeight w:val="169"/>
        </w:trPr>
        <w:tc>
          <w:tcPr>
            <w:tcW w:w="7780" w:type="dxa"/>
            <w:vAlign w:val="bottom"/>
            <w:tcBorders>
              <w:top w:val="single" w:sz="8" w:color="CCECFF"/>
            </w:tcBorders>
          </w:tcPr>
          <w:p>
            <w:pPr>
              <w:ind w:left="740"/>
              <w:spacing w:after="0"/>
              <w:rPr>
                <w:sz w:val="20"/>
                <w:szCs w:val="20"/>
                <w:color w:val="auto"/>
              </w:rPr>
            </w:pPr>
            <w:r>
              <w:rPr>
                <w:rFonts w:ascii="Times New Roman" w:cs="Times New Roman" w:eastAsia="Times New Roman" w:hAnsi="Times New Roman"/>
                <w:sz w:val="14"/>
                <w:szCs w:val="14"/>
                <w:b w:val="1"/>
                <w:bCs w:val="1"/>
                <w:color w:val="auto"/>
              </w:rPr>
              <w:t>Total net assets</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527,092</w:t>
            </w:r>
          </w:p>
        </w:tc>
        <w:tc>
          <w:tcPr>
            <w:tcW w:w="260" w:type="dxa"/>
            <w:vAlign w:val="bottom"/>
            <w:tcBorders>
              <w:top w:val="single" w:sz="8" w:color="CCECFF"/>
            </w:tcBorders>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490,611</w:t>
            </w:r>
          </w:p>
        </w:tc>
        <w:tc>
          <w:tcPr>
            <w:tcW w:w="100" w:type="dxa"/>
            <w:vAlign w:val="bottom"/>
            <w:tcBorders>
              <w:top w:val="single" w:sz="8" w:color="CCECFF"/>
            </w:tcBorders>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7780" w:type="dxa"/>
            <w:vAlign w:val="bottom"/>
            <w:tcBorders>
              <w:bottom w:val="single" w:sz="8" w:color="CCECFF"/>
            </w:tcBorders>
            <w:shd w:val="clear" w:color="auto" w:fill="CCECFF"/>
          </w:tcPr>
          <w:p>
            <w:pPr>
              <w:ind w:left="740"/>
              <w:spacing w:after="0" w:line="155" w:lineRule="exact"/>
              <w:rPr>
                <w:sz w:val="20"/>
                <w:szCs w:val="20"/>
                <w:color w:val="auto"/>
              </w:rPr>
            </w:pPr>
            <w:r>
              <w:rPr>
                <w:rFonts w:ascii="Times New Roman" w:cs="Times New Roman" w:eastAsia="Times New Roman" w:hAnsi="Times New Roman"/>
                <w:sz w:val="14"/>
                <w:szCs w:val="14"/>
                <w:b w:val="1"/>
                <w:bCs w:val="1"/>
                <w:color w:val="auto"/>
              </w:rPr>
              <w:t>Total liabilities and net assets</w:t>
            </w:r>
          </w:p>
        </w:tc>
        <w:tc>
          <w:tcPr>
            <w:tcW w:w="140" w:type="dxa"/>
            <w:vAlign w:val="bottom"/>
            <w:tcBorders>
              <w:bottom w:val="single" w:sz="8" w:color="auto"/>
            </w:tcBorders>
            <w:shd w:val="clear" w:color="auto" w:fill="CCECFF"/>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tcBorders>
              <w:bottom w:val="single" w:sz="8" w:color="auto"/>
            </w:tcBorders>
            <w:shd w:val="clear" w:color="auto" w:fill="CCECFF"/>
          </w:tcPr>
          <w:p>
            <w:pPr>
              <w:jc w:val="right"/>
              <w:spacing w:after="0" w:line="155" w:lineRule="exact"/>
              <w:rPr>
                <w:sz w:val="20"/>
                <w:szCs w:val="20"/>
                <w:color w:val="auto"/>
              </w:rPr>
            </w:pPr>
            <w:r>
              <w:rPr>
                <w:rFonts w:ascii="Times New Roman" w:cs="Times New Roman" w:eastAsia="Times New Roman" w:hAnsi="Times New Roman"/>
                <w:sz w:val="14"/>
                <w:szCs w:val="14"/>
                <w:color w:val="auto"/>
              </w:rPr>
              <w:t>1,223,866</w:t>
            </w:r>
          </w:p>
        </w:tc>
        <w:tc>
          <w:tcPr>
            <w:tcW w:w="260" w:type="dxa"/>
            <w:vAlign w:val="bottom"/>
            <w:tcBorders>
              <w:bottom w:val="single" w:sz="8" w:color="CCECFF"/>
            </w:tcBorders>
            <w:shd w:val="clear" w:color="auto" w:fill="CCECFF"/>
          </w:tcPr>
          <w:p>
            <w:pPr>
              <w:spacing w:after="0"/>
              <w:rPr>
                <w:sz w:val="18"/>
                <w:szCs w:val="18"/>
                <w:color w:val="auto"/>
              </w:rPr>
            </w:pPr>
          </w:p>
        </w:tc>
        <w:tc>
          <w:tcPr>
            <w:tcW w:w="120" w:type="dxa"/>
            <w:vAlign w:val="bottom"/>
            <w:tcBorders>
              <w:bottom w:val="single" w:sz="8" w:color="auto"/>
            </w:tcBorders>
            <w:shd w:val="clear" w:color="auto" w:fill="CCECFF"/>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1420" w:type="dxa"/>
            <w:vAlign w:val="bottom"/>
            <w:tcBorders>
              <w:bottom w:val="single" w:sz="8" w:color="auto"/>
            </w:tcBorders>
            <w:shd w:val="clear" w:color="auto" w:fill="CCECFF"/>
          </w:tcPr>
          <w:p>
            <w:pPr>
              <w:jc w:val="right"/>
              <w:spacing w:after="0" w:line="155" w:lineRule="exact"/>
              <w:rPr>
                <w:sz w:val="20"/>
                <w:szCs w:val="20"/>
                <w:color w:val="auto"/>
              </w:rPr>
            </w:pPr>
            <w:r>
              <w:rPr>
                <w:rFonts w:ascii="Times New Roman" w:cs="Times New Roman" w:eastAsia="Times New Roman" w:hAnsi="Times New Roman"/>
                <w:sz w:val="14"/>
                <w:szCs w:val="14"/>
                <w:color w:val="auto"/>
              </w:rPr>
              <w:t>1,170,856</w:t>
            </w:r>
          </w:p>
        </w:tc>
        <w:tc>
          <w:tcPr>
            <w:tcW w:w="100" w:type="dxa"/>
            <w:vAlign w:val="bottom"/>
            <w:tcBorders>
              <w:bottom w:val="single" w:sz="8" w:color="CCECFF"/>
            </w:tcBorders>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7780" w:type="dxa"/>
            <w:vAlign w:val="bottom"/>
          </w:tcPr>
          <w:p>
            <w:pPr>
              <w:ind w:left="20"/>
              <w:spacing w:after="0" w:line="155" w:lineRule="exact"/>
              <w:rPr>
                <w:sz w:val="20"/>
                <w:szCs w:val="20"/>
                <w:color w:val="auto"/>
              </w:rPr>
            </w:pPr>
            <w:r>
              <w:rPr>
                <w:rFonts w:ascii="Times New Roman" w:cs="Times New Roman" w:eastAsia="Times New Roman" w:hAnsi="Times New Roman"/>
                <w:sz w:val="14"/>
                <w:szCs w:val="14"/>
                <w:b w:val="1"/>
                <w:bCs w:val="1"/>
                <w:color w:val="auto"/>
              </w:rPr>
              <w:t>Net asset value per share</w:t>
            </w:r>
          </w:p>
        </w:tc>
        <w:tc>
          <w:tcPr>
            <w:tcW w:w="14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11.62</w:t>
            </w:r>
          </w:p>
        </w:tc>
        <w:tc>
          <w:tcPr>
            <w:tcW w:w="260" w:type="dxa"/>
            <w:vAlign w:val="bottom"/>
          </w:tcPr>
          <w:p>
            <w:pPr>
              <w:spacing w:after="0"/>
              <w:rPr>
                <w:sz w:val="13"/>
                <w:szCs w:val="13"/>
                <w:color w:val="auto"/>
              </w:rPr>
            </w:pPr>
          </w:p>
        </w:tc>
        <w:tc>
          <w:tcPr>
            <w:tcW w:w="12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142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12.62</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7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4"/>
        </w:trPr>
        <w:tc>
          <w:tcPr>
            <w:tcW w:w="77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5928360</wp:posOffset>
            </wp:positionH>
            <wp:positionV relativeFrom="paragraph">
              <wp:posOffset>-3565525</wp:posOffset>
            </wp:positionV>
            <wp:extent cx="76835" cy="1200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6835" cy="1200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-3565525</wp:posOffset>
            </wp:positionV>
            <wp:extent cx="68580" cy="1200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-2879725</wp:posOffset>
            </wp:positionV>
            <wp:extent cx="76835" cy="1200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6835" cy="1200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-2879725</wp:posOffset>
            </wp:positionV>
            <wp:extent cx="68580" cy="1200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-1533525</wp:posOffset>
            </wp:positionV>
            <wp:extent cx="7683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6835" cy="1289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-1533525</wp:posOffset>
            </wp:positionV>
            <wp:extent cx="68580" cy="1289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-753745</wp:posOffset>
            </wp:positionV>
            <wp:extent cx="7683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6835" cy="1289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-753745</wp:posOffset>
            </wp:positionV>
            <wp:extent cx="68580"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-513715</wp:posOffset>
            </wp:positionV>
            <wp:extent cx="1208405" cy="16319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08405" cy="16319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0"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6"/>
          <w:szCs w:val="16"/>
          <w:b w:val="1"/>
          <w:bCs w:val="1"/>
          <w:color w:val="auto"/>
        </w:rPr>
        <w:t>PENNANTPARK FLOATING RATE CAPITAL LTD. AND SUBSIDIARIES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CONSOLIDATED STATEMENTS OF OPERATIONS</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per share data)</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300" w:type="dxa"/>
            <w:vAlign w:val="bottom"/>
            <w:gridSpan w:val="5"/>
          </w:tcPr>
          <w:p>
            <w:pPr>
              <w:jc w:val="right"/>
              <w:ind w:right="648"/>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20" w:type="dxa"/>
            <w:vAlign w:val="bottom"/>
          </w:tcPr>
          <w:p>
            <w:pPr>
              <w:spacing w:after="0"/>
              <w:rPr>
                <w:sz w:val="13"/>
                <w:szCs w:val="13"/>
                <w:color w:val="auto"/>
              </w:rPr>
            </w:pPr>
          </w:p>
        </w:tc>
        <w:tc>
          <w:tcPr>
            <w:tcW w:w="1340" w:type="dxa"/>
            <w:vAlign w:val="bottom"/>
            <w:gridSpan w:val="3"/>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87"/>
        </w:trPr>
        <w:tc>
          <w:tcPr>
            <w:tcW w:w="63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68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6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63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2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100" w:type="dxa"/>
            <w:vAlign w:val="bottom"/>
          </w:tcPr>
          <w:p>
            <w:pPr>
              <w:spacing w:after="0"/>
              <w:rPr>
                <w:sz w:val="14"/>
                <w:szCs w:val="14"/>
                <w:color w:val="auto"/>
              </w:rPr>
            </w:pPr>
          </w:p>
        </w:tc>
      </w:tr>
      <w:tr>
        <w:trPr>
          <w:trHeight w:val="169"/>
        </w:trPr>
        <w:tc>
          <w:tcPr>
            <w:tcW w:w="63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4"/>
                <w:szCs w:val="14"/>
                <w:b w:val="1"/>
                <w:bCs w:val="1"/>
                <w:color w:val="auto"/>
              </w:rPr>
              <w:t>Investment income:</w:t>
            </w:r>
          </w:p>
        </w:tc>
        <w:tc>
          <w:tcPr>
            <w:tcW w:w="220" w:type="dxa"/>
            <w:vAlign w:val="bottom"/>
            <w:shd w:val="clear" w:color="auto" w:fill="CCECFF"/>
          </w:tcPr>
          <w:p>
            <w:pPr>
              <w:spacing w:after="0"/>
              <w:rPr>
                <w:sz w:val="14"/>
                <w:szCs w:val="14"/>
                <w:color w:val="auto"/>
              </w:rPr>
            </w:pPr>
          </w:p>
        </w:tc>
        <w:tc>
          <w:tcPr>
            <w:tcW w:w="80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360" w:type="dxa"/>
            <w:vAlign w:val="bottom"/>
            <w:shd w:val="clear" w:color="auto" w:fill="CCECFF"/>
          </w:tcPr>
          <w:p>
            <w:pPr>
              <w:spacing w:after="0"/>
              <w:rPr>
                <w:sz w:val="14"/>
                <w:szCs w:val="14"/>
                <w:color w:val="auto"/>
              </w:rPr>
            </w:pPr>
          </w:p>
        </w:tc>
        <w:tc>
          <w:tcPr>
            <w:tcW w:w="68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76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360" w:type="dxa"/>
            <w:vAlign w:val="bottom"/>
            <w:shd w:val="clear" w:color="auto" w:fill="CCECFF"/>
          </w:tcPr>
          <w:p>
            <w:pPr>
              <w:spacing w:after="0"/>
              <w:rPr>
                <w:sz w:val="14"/>
                <w:szCs w:val="14"/>
                <w:color w:val="auto"/>
              </w:rPr>
            </w:pPr>
          </w:p>
        </w:tc>
        <w:tc>
          <w:tcPr>
            <w:tcW w:w="68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r>
      <w:tr>
        <w:trPr>
          <w:trHeight w:val="175"/>
        </w:trPr>
        <w:tc>
          <w:tcPr>
            <w:tcW w:w="6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From non-controlled, non-affiliated investments:</w:t>
            </w: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6"/>
        </w:trPr>
        <w:tc>
          <w:tcPr>
            <w:tcW w:w="6380" w:type="dxa"/>
            <w:vAlign w:val="bottom"/>
            <w:shd w:val="clear" w:color="auto" w:fill="CCECFF"/>
          </w:tcPr>
          <w:p>
            <w:pPr>
              <w:ind w:left="200"/>
              <w:spacing w:after="0"/>
              <w:rPr>
                <w:sz w:val="20"/>
                <w:szCs w:val="20"/>
                <w:color w:val="auto"/>
              </w:rPr>
            </w:pPr>
            <w:r>
              <w:rPr>
                <w:rFonts w:ascii="Times New Roman" w:cs="Times New Roman" w:eastAsia="Times New Roman" w:hAnsi="Times New Roman"/>
                <w:sz w:val="14"/>
                <w:szCs w:val="14"/>
                <w:color w:val="auto"/>
              </w:rPr>
              <w:t>Interest</w:t>
            </w:r>
          </w:p>
        </w:tc>
        <w:tc>
          <w:tcPr>
            <w:tcW w:w="220" w:type="dxa"/>
            <w:vAlign w:val="bottom"/>
            <w:shd w:val="clear" w:color="auto" w:fill="CCEC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18,660</w:t>
            </w:r>
          </w:p>
        </w:tc>
        <w:tc>
          <w:tcPr>
            <w:tcW w:w="240" w:type="dxa"/>
            <w:vAlign w:val="bottom"/>
            <w:shd w:val="clear" w:color="auto" w:fill="CCECFF"/>
          </w:tcPr>
          <w:p>
            <w:pPr>
              <w:spacing w:after="0"/>
              <w:rPr>
                <w:sz w:val="15"/>
                <w:szCs w:val="15"/>
                <w:color w:val="auto"/>
              </w:rPr>
            </w:pPr>
          </w:p>
        </w:tc>
        <w:tc>
          <w:tcPr>
            <w:tcW w:w="360" w:type="dxa"/>
            <w:vAlign w:val="bottom"/>
            <w:shd w:val="clear" w:color="auto" w:fill="CCECFF"/>
          </w:tcPr>
          <w:p>
            <w:pPr>
              <w:jc w:val="right"/>
              <w:ind w:right="20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13,357</w:t>
            </w:r>
          </w:p>
        </w:tc>
        <w:tc>
          <w:tcPr>
            <w:tcW w:w="220" w:type="dxa"/>
            <w:vAlign w:val="bottom"/>
            <w:shd w:val="clear" w:color="auto" w:fill="CCECFF"/>
          </w:tcPr>
          <w:p>
            <w:pPr>
              <w:spacing w:after="0"/>
              <w:rPr>
                <w:sz w:val="15"/>
                <w:szCs w:val="15"/>
                <w:color w:val="auto"/>
              </w:rPr>
            </w:pPr>
          </w:p>
        </w:tc>
        <w:tc>
          <w:tcPr>
            <w:tcW w:w="220" w:type="dxa"/>
            <w:vAlign w:val="bottom"/>
            <w:shd w:val="clear" w:color="auto" w:fill="CCEC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68,413</w:t>
            </w:r>
          </w:p>
        </w:tc>
        <w:tc>
          <w:tcPr>
            <w:tcW w:w="220" w:type="dxa"/>
            <w:vAlign w:val="bottom"/>
            <w:shd w:val="clear" w:color="auto" w:fill="CCECFF"/>
          </w:tcPr>
          <w:p>
            <w:pPr>
              <w:spacing w:after="0"/>
              <w:rPr>
                <w:sz w:val="15"/>
                <w:szCs w:val="15"/>
                <w:color w:val="auto"/>
              </w:rPr>
            </w:pPr>
          </w:p>
        </w:tc>
        <w:tc>
          <w:tcPr>
            <w:tcW w:w="360" w:type="dxa"/>
            <w:vAlign w:val="bottom"/>
            <w:shd w:val="clear" w:color="auto" w:fill="CCEC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56,878</w:t>
            </w:r>
          </w:p>
        </w:tc>
        <w:tc>
          <w:tcPr>
            <w:tcW w:w="100" w:type="dxa"/>
            <w:vAlign w:val="bottom"/>
            <w:shd w:val="clear" w:color="auto" w:fill="CCECFF"/>
          </w:tcPr>
          <w:p>
            <w:pPr>
              <w:spacing w:after="0"/>
              <w:rPr>
                <w:sz w:val="15"/>
                <w:szCs w:val="15"/>
                <w:color w:val="auto"/>
              </w:rPr>
            </w:pPr>
          </w:p>
        </w:tc>
      </w:tr>
      <w:tr>
        <w:trPr>
          <w:trHeight w:val="176"/>
        </w:trPr>
        <w:tc>
          <w:tcPr>
            <w:tcW w:w="63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Dividend</w:t>
            </w:r>
          </w:p>
        </w:tc>
        <w:tc>
          <w:tcPr>
            <w:tcW w:w="2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577</w:t>
            </w:r>
          </w:p>
        </w:tc>
        <w:tc>
          <w:tcPr>
            <w:tcW w:w="2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00" w:type="dxa"/>
            <w:vAlign w:val="bottom"/>
            <w:gridSpan w:val="2"/>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2,308</w:t>
            </w:r>
          </w:p>
        </w:tc>
        <w:tc>
          <w:tcPr>
            <w:tcW w:w="2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8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r>
      <w:tr>
        <w:trPr>
          <w:trHeight w:val="175"/>
        </w:trPr>
        <w:tc>
          <w:tcPr>
            <w:tcW w:w="6380" w:type="dxa"/>
            <w:vAlign w:val="bottom"/>
            <w:shd w:val="clear" w:color="auto" w:fill="CCECFF"/>
          </w:tcPr>
          <w:p>
            <w:pPr>
              <w:ind w:left="200"/>
              <w:spacing w:after="0"/>
              <w:rPr>
                <w:sz w:val="20"/>
                <w:szCs w:val="20"/>
                <w:color w:val="auto"/>
              </w:rPr>
            </w:pPr>
            <w:r>
              <w:rPr>
                <w:rFonts w:ascii="Times New Roman" w:cs="Times New Roman" w:eastAsia="Times New Roman" w:hAnsi="Times New Roman"/>
                <w:sz w:val="14"/>
                <w:szCs w:val="14"/>
                <w:color w:val="auto"/>
              </w:rPr>
              <w:t>Other income</w:t>
            </w:r>
          </w:p>
        </w:tc>
        <w:tc>
          <w:tcPr>
            <w:tcW w:w="220" w:type="dxa"/>
            <w:vAlign w:val="bottom"/>
            <w:shd w:val="clear" w:color="auto" w:fill="CCECFF"/>
          </w:tcPr>
          <w:p>
            <w:pPr>
              <w:spacing w:after="0"/>
              <w:rPr>
                <w:sz w:val="15"/>
                <w:szCs w:val="15"/>
                <w:color w:val="auto"/>
              </w:rPr>
            </w:pPr>
          </w:p>
        </w:tc>
        <w:tc>
          <w:tcPr>
            <w:tcW w:w="8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483</w:t>
            </w:r>
          </w:p>
        </w:tc>
        <w:tc>
          <w:tcPr>
            <w:tcW w:w="240" w:type="dxa"/>
            <w:vAlign w:val="bottom"/>
            <w:shd w:val="clear" w:color="auto" w:fill="CCECFF"/>
          </w:tcPr>
          <w:p>
            <w:pPr>
              <w:spacing w:after="0"/>
              <w:rPr>
                <w:sz w:val="15"/>
                <w:szCs w:val="15"/>
                <w:color w:val="auto"/>
              </w:rPr>
            </w:pPr>
          </w:p>
        </w:tc>
        <w:tc>
          <w:tcPr>
            <w:tcW w:w="360" w:type="dxa"/>
            <w:vAlign w:val="bottom"/>
            <w:shd w:val="clear" w:color="auto" w:fill="CCECFF"/>
          </w:tcPr>
          <w:p>
            <w:pPr>
              <w:spacing w:after="0"/>
              <w:rPr>
                <w:sz w:val="15"/>
                <w:szCs w:val="15"/>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1,619</w:t>
            </w:r>
          </w:p>
        </w:tc>
        <w:tc>
          <w:tcPr>
            <w:tcW w:w="220" w:type="dxa"/>
            <w:vAlign w:val="bottom"/>
            <w:shd w:val="clear" w:color="auto" w:fill="CCECFF"/>
          </w:tcPr>
          <w:p>
            <w:pPr>
              <w:spacing w:after="0"/>
              <w:rPr>
                <w:sz w:val="15"/>
                <w:szCs w:val="15"/>
                <w:color w:val="auto"/>
              </w:rPr>
            </w:pPr>
          </w:p>
        </w:tc>
        <w:tc>
          <w:tcPr>
            <w:tcW w:w="220" w:type="dxa"/>
            <w:vAlign w:val="bottom"/>
            <w:shd w:val="clear" w:color="auto" w:fill="CCECFF"/>
          </w:tcPr>
          <w:p>
            <w:pPr>
              <w:spacing w:after="0"/>
              <w:rPr>
                <w:sz w:val="15"/>
                <w:szCs w:val="15"/>
                <w:color w:val="auto"/>
              </w:rPr>
            </w:pP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4,278</w:t>
            </w:r>
          </w:p>
        </w:tc>
        <w:tc>
          <w:tcPr>
            <w:tcW w:w="220" w:type="dxa"/>
            <w:vAlign w:val="bottom"/>
            <w:shd w:val="clear" w:color="auto" w:fill="CCECFF"/>
          </w:tcPr>
          <w:p>
            <w:pPr>
              <w:spacing w:after="0"/>
              <w:rPr>
                <w:sz w:val="15"/>
                <w:szCs w:val="15"/>
                <w:color w:val="auto"/>
              </w:rPr>
            </w:pPr>
          </w:p>
        </w:tc>
        <w:tc>
          <w:tcPr>
            <w:tcW w:w="360" w:type="dxa"/>
            <w:vAlign w:val="bottom"/>
            <w:shd w:val="clear" w:color="auto" w:fill="CCECFF"/>
          </w:tcPr>
          <w:p>
            <w:pPr>
              <w:spacing w:after="0"/>
              <w:rPr>
                <w:sz w:val="15"/>
                <w:szCs w:val="15"/>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4,153</w:t>
            </w:r>
          </w:p>
        </w:tc>
        <w:tc>
          <w:tcPr>
            <w:tcW w:w="100" w:type="dxa"/>
            <w:vAlign w:val="bottom"/>
            <w:shd w:val="clear" w:color="auto" w:fill="CCECFF"/>
          </w:tcPr>
          <w:p>
            <w:pPr>
              <w:spacing w:after="0"/>
              <w:rPr>
                <w:sz w:val="15"/>
                <w:szCs w:val="15"/>
                <w:color w:val="auto"/>
              </w:rPr>
            </w:pPr>
          </w:p>
        </w:tc>
      </w:tr>
      <w:tr>
        <w:trPr>
          <w:trHeight w:val="176"/>
        </w:trPr>
        <w:tc>
          <w:tcPr>
            <w:tcW w:w="6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From non-controlled, affiliated investments:</w:t>
            </w: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5"/>
        </w:trPr>
        <w:tc>
          <w:tcPr>
            <w:tcW w:w="6380" w:type="dxa"/>
            <w:vAlign w:val="bottom"/>
            <w:shd w:val="clear" w:color="auto" w:fill="CCECFF"/>
          </w:tcPr>
          <w:p>
            <w:pPr>
              <w:ind w:left="200"/>
              <w:spacing w:after="0"/>
              <w:rPr>
                <w:sz w:val="20"/>
                <w:szCs w:val="20"/>
                <w:color w:val="auto"/>
              </w:rPr>
            </w:pPr>
            <w:r>
              <w:rPr>
                <w:rFonts w:ascii="Times New Roman" w:cs="Times New Roman" w:eastAsia="Times New Roman" w:hAnsi="Times New Roman"/>
                <w:sz w:val="14"/>
                <w:szCs w:val="14"/>
                <w:color w:val="auto"/>
              </w:rPr>
              <w:t>Interest</w:t>
            </w:r>
          </w:p>
        </w:tc>
        <w:tc>
          <w:tcPr>
            <w:tcW w:w="220" w:type="dxa"/>
            <w:vAlign w:val="bottom"/>
            <w:shd w:val="clear" w:color="auto" w:fill="CCECFF"/>
          </w:tcPr>
          <w:p>
            <w:pPr>
              <w:spacing w:after="0"/>
              <w:rPr>
                <w:sz w:val="15"/>
                <w:szCs w:val="15"/>
                <w:color w:val="auto"/>
              </w:rPr>
            </w:pPr>
          </w:p>
        </w:tc>
        <w:tc>
          <w:tcPr>
            <w:tcW w:w="1040" w:type="dxa"/>
            <w:vAlign w:val="bottom"/>
            <w:gridSpan w:val="2"/>
            <w:shd w:val="clear" w:color="auto" w:fill="CCEC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CFF"/>
          </w:tcPr>
          <w:p>
            <w:pPr>
              <w:spacing w:after="0"/>
              <w:rPr>
                <w:sz w:val="15"/>
                <w:szCs w:val="15"/>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1,029</w:t>
            </w:r>
          </w:p>
        </w:tc>
        <w:tc>
          <w:tcPr>
            <w:tcW w:w="220" w:type="dxa"/>
            <w:vAlign w:val="bottom"/>
            <w:shd w:val="clear" w:color="auto" w:fill="CCECFF"/>
          </w:tcPr>
          <w:p>
            <w:pPr>
              <w:spacing w:after="0"/>
              <w:rPr>
                <w:sz w:val="15"/>
                <w:szCs w:val="15"/>
                <w:color w:val="auto"/>
              </w:rPr>
            </w:pPr>
          </w:p>
        </w:tc>
        <w:tc>
          <w:tcPr>
            <w:tcW w:w="220" w:type="dxa"/>
            <w:vAlign w:val="bottom"/>
            <w:shd w:val="clear" w:color="auto" w:fill="CCECFF"/>
          </w:tcPr>
          <w:p>
            <w:pPr>
              <w:spacing w:after="0"/>
              <w:rPr>
                <w:sz w:val="15"/>
                <w:szCs w:val="15"/>
                <w:color w:val="auto"/>
              </w:rPr>
            </w:pP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112</w:t>
            </w:r>
          </w:p>
        </w:tc>
        <w:tc>
          <w:tcPr>
            <w:tcW w:w="220" w:type="dxa"/>
            <w:vAlign w:val="bottom"/>
            <w:shd w:val="clear" w:color="auto" w:fill="CCECFF"/>
          </w:tcPr>
          <w:p>
            <w:pPr>
              <w:spacing w:after="0"/>
              <w:rPr>
                <w:sz w:val="15"/>
                <w:szCs w:val="15"/>
                <w:color w:val="auto"/>
              </w:rPr>
            </w:pPr>
          </w:p>
        </w:tc>
        <w:tc>
          <w:tcPr>
            <w:tcW w:w="360" w:type="dxa"/>
            <w:vAlign w:val="bottom"/>
            <w:shd w:val="clear" w:color="auto" w:fill="CCECFF"/>
          </w:tcPr>
          <w:p>
            <w:pPr>
              <w:spacing w:after="0"/>
              <w:rPr>
                <w:sz w:val="15"/>
                <w:szCs w:val="15"/>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1309</w:t>
            </w:r>
          </w:p>
        </w:tc>
        <w:tc>
          <w:tcPr>
            <w:tcW w:w="100" w:type="dxa"/>
            <w:vAlign w:val="bottom"/>
            <w:shd w:val="clear" w:color="auto" w:fill="CCECFF"/>
          </w:tcPr>
          <w:p>
            <w:pPr>
              <w:spacing w:after="0"/>
              <w:rPr>
                <w:sz w:val="15"/>
                <w:szCs w:val="15"/>
                <w:color w:val="auto"/>
              </w:rPr>
            </w:pPr>
          </w:p>
        </w:tc>
      </w:tr>
      <w:tr>
        <w:trPr>
          <w:trHeight w:val="176"/>
        </w:trPr>
        <w:tc>
          <w:tcPr>
            <w:tcW w:w="63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Other income</w:t>
            </w:r>
          </w:p>
        </w:tc>
        <w:tc>
          <w:tcPr>
            <w:tcW w:w="220" w:type="dxa"/>
            <w:vAlign w:val="bottom"/>
          </w:tcPr>
          <w:p>
            <w:pPr>
              <w:spacing w:after="0"/>
              <w:rPr>
                <w:sz w:val="15"/>
                <w:szCs w:val="15"/>
                <w:color w:val="auto"/>
              </w:rPr>
            </w:pPr>
          </w:p>
        </w:tc>
        <w:tc>
          <w:tcPr>
            <w:tcW w:w="1040" w:type="dxa"/>
            <w:vAlign w:val="bottom"/>
            <w:gridSpan w:val="2"/>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gridSpan w:val="2"/>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w:t>
            </w:r>
          </w:p>
        </w:tc>
        <w:tc>
          <w:tcPr>
            <w:tcW w:w="100" w:type="dxa"/>
            <w:vAlign w:val="bottom"/>
          </w:tcPr>
          <w:p>
            <w:pPr>
              <w:spacing w:after="0"/>
              <w:rPr>
                <w:sz w:val="15"/>
                <w:szCs w:val="15"/>
                <w:color w:val="auto"/>
              </w:rPr>
            </w:pPr>
          </w:p>
        </w:tc>
      </w:tr>
      <w:tr>
        <w:trPr>
          <w:trHeight w:val="176"/>
        </w:trPr>
        <w:tc>
          <w:tcPr>
            <w:tcW w:w="63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From controlled, affiliated investments:</w:t>
            </w:r>
          </w:p>
        </w:tc>
        <w:tc>
          <w:tcPr>
            <w:tcW w:w="220" w:type="dxa"/>
            <w:vAlign w:val="bottom"/>
            <w:shd w:val="clear" w:color="auto" w:fill="CCECFF"/>
          </w:tcPr>
          <w:p>
            <w:pPr>
              <w:spacing w:after="0"/>
              <w:rPr>
                <w:sz w:val="15"/>
                <w:szCs w:val="15"/>
                <w:color w:val="auto"/>
              </w:rPr>
            </w:pPr>
          </w:p>
        </w:tc>
        <w:tc>
          <w:tcPr>
            <w:tcW w:w="800" w:type="dxa"/>
            <w:vAlign w:val="bottom"/>
            <w:shd w:val="clear" w:color="auto" w:fill="CCECFF"/>
          </w:tcPr>
          <w:p>
            <w:pPr>
              <w:spacing w:after="0"/>
              <w:rPr>
                <w:sz w:val="15"/>
                <w:szCs w:val="15"/>
                <w:color w:val="auto"/>
              </w:rPr>
            </w:pPr>
          </w:p>
        </w:tc>
        <w:tc>
          <w:tcPr>
            <w:tcW w:w="240" w:type="dxa"/>
            <w:vAlign w:val="bottom"/>
            <w:shd w:val="clear" w:color="auto" w:fill="CCECFF"/>
          </w:tcPr>
          <w:p>
            <w:pPr>
              <w:spacing w:after="0"/>
              <w:rPr>
                <w:sz w:val="15"/>
                <w:szCs w:val="15"/>
                <w:color w:val="auto"/>
              </w:rPr>
            </w:pPr>
          </w:p>
        </w:tc>
        <w:tc>
          <w:tcPr>
            <w:tcW w:w="360" w:type="dxa"/>
            <w:vAlign w:val="bottom"/>
            <w:shd w:val="clear" w:color="auto" w:fill="CCECFF"/>
          </w:tcPr>
          <w:p>
            <w:pPr>
              <w:spacing w:after="0"/>
              <w:rPr>
                <w:sz w:val="15"/>
                <w:szCs w:val="15"/>
                <w:color w:val="auto"/>
              </w:rPr>
            </w:pPr>
          </w:p>
        </w:tc>
        <w:tc>
          <w:tcPr>
            <w:tcW w:w="680" w:type="dxa"/>
            <w:vAlign w:val="bottom"/>
            <w:shd w:val="clear" w:color="auto" w:fill="CCECFF"/>
          </w:tcPr>
          <w:p>
            <w:pPr>
              <w:spacing w:after="0"/>
              <w:rPr>
                <w:sz w:val="15"/>
                <w:szCs w:val="15"/>
                <w:color w:val="auto"/>
              </w:rPr>
            </w:pPr>
          </w:p>
        </w:tc>
        <w:tc>
          <w:tcPr>
            <w:tcW w:w="220" w:type="dxa"/>
            <w:vAlign w:val="bottom"/>
            <w:shd w:val="clear" w:color="auto" w:fill="CCECFF"/>
          </w:tcPr>
          <w:p>
            <w:pPr>
              <w:spacing w:after="0"/>
              <w:rPr>
                <w:sz w:val="15"/>
                <w:szCs w:val="15"/>
                <w:color w:val="auto"/>
              </w:rPr>
            </w:pPr>
          </w:p>
        </w:tc>
        <w:tc>
          <w:tcPr>
            <w:tcW w:w="220" w:type="dxa"/>
            <w:vAlign w:val="bottom"/>
            <w:shd w:val="clear" w:color="auto" w:fill="CCECFF"/>
          </w:tcPr>
          <w:p>
            <w:pPr>
              <w:spacing w:after="0"/>
              <w:rPr>
                <w:sz w:val="15"/>
                <w:szCs w:val="15"/>
                <w:color w:val="auto"/>
              </w:rPr>
            </w:pPr>
          </w:p>
        </w:tc>
        <w:tc>
          <w:tcPr>
            <w:tcW w:w="760" w:type="dxa"/>
            <w:vAlign w:val="bottom"/>
            <w:shd w:val="clear" w:color="auto" w:fill="CCECFF"/>
          </w:tcPr>
          <w:p>
            <w:pPr>
              <w:spacing w:after="0"/>
              <w:rPr>
                <w:sz w:val="15"/>
                <w:szCs w:val="15"/>
                <w:color w:val="auto"/>
              </w:rPr>
            </w:pPr>
          </w:p>
        </w:tc>
        <w:tc>
          <w:tcPr>
            <w:tcW w:w="220" w:type="dxa"/>
            <w:vAlign w:val="bottom"/>
            <w:shd w:val="clear" w:color="auto" w:fill="CCECFF"/>
          </w:tcPr>
          <w:p>
            <w:pPr>
              <w:spacing w:after="0"/>
              <w:rPr>
                <w:sz w:val="15"/>
                <w:szCs w:val="15"/>
                <w:color w:val="auto"/>
              </w:rPr>
            </w:pPr>
          </w:p>
        </w:tc>
        <w:tc>
          <w:tcPr>
            <w:tcW w:w="360" w:type="dxa"/>
            <w:vAlign w:val="bottom"/>
            <w:shd w:val="clear" w:color="auto" w:fill="CCECFF"/>
          </w:tcPr>
          <w:p>
            <w:pPr>
              <w:spacing w:after="0"/>
              <w:rPr>
                <w:sz w:val="15"/>
                <w:szCs w:val="15"/>
                <w:color w:val="auto"/>
              </w:rPr>
            </w:pPr>
          </w:p>
        </w:tc>
        <w:tc>
          <w:tcPr>
            <w:tcW w:w="680" w:type="dxa"/>
            <w:vAlign w:val="bottom"/>
            <w:shd w:val="clear" w:color="auto" w:fill="CCECFF"/>
          </w:tcPr>
          <w:p>
            <w:pPr>
              <w:spacing w:after="0"/>
              <w:rPr>
                <w:sz w:val="15"/>
                <w:szCs w:val="15"/>
                <w:color w:val="auto"/>
              </w:rPr>
            </w:pPr>
          </w:p>
        </w:tc>
        <w:tc>
          <w:tcPr>
            <w:tcW w:w="100" w:type="dxa"/>
            <w:vAlign w:val="bottom"/>
            <w:shd w:val="clear" w:color="auto" w:fill="CCECFF"/>
          </w:tcPr>
          <w:p>
            <w:pPr>
              <w:spacing w:after="0"/>
              <w:rPr>
                <w:sz w:val="15"/>
                <w:szCs w:val="15"/>
                <w:color w:val="auto"/>
              </w:rPr>
            </w:pPr>
          </w:p>
        </w:tc>
      </w:tr>
      <w:tr>
        <w:trPr>
          <w:trHeight w:val="175"/>
        </w:trPr>
        <w:tc>
          <w:tcPr>
            <w:tcW w:w="63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Interest</w:t>
            </w:r>
          </w:p>
        </w:tc>
        <w:tc>
          <w:tcPr>
            <w:tcW w:w="2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6,091</w:t>
            </w:r>
          </w:p>
        </w:tc>
        <w:tc>
          <w:tcPr>
            <w:tcW w:w="2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2,988</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16,724</w:t>
            </w:r>
          </w:p>
        </w:tc>
        <w:tc>
          <w:tcPr>
            <w:tcW w:w="2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11,241</w:t>
            </w:r>
          </w:p>
        </w:tc>
        <w:tc>
          <w:tcPr>
            <w:tcW w:w="100" w:type="dxa"/>
            <w:vAlign w:val="bottom"/>
          </w:tcPr>
          <w:p>
            <w:pPr>
              <w:spacing w:after="0"/>
              <w:rPr>
                <w:sz w:val="15"/>
                <w:szCs w:val="15"/>
                <w:color w:val="auto"/>
              </w:rPr>
            </w:pPr>
          </w:p>
        </w:tc>
      </w:tr>
      <w:tr>
        <w:trPr>
          <w:trHeight w:val="176"/>
        </w:trPr>
        <w:tc>
          <w:tcPr>
            <w:tcW w:w="6380" w:type="dxa"/>
            <w:vAlign w:val="bottom"/>
            <w:shd w:val="clear" w:color="auto" w:fill="CCECFF"/>
          </w:tcPr>
          <w:p>
            <w:pPr>
              <w:ind w:left="200"/>
              <w:spacing w:after="0"/>
              <w:rPr>
                <w:sz w:val="20"/>
                <w:szCs w:val="20"/>
                <w:color w:val="auto"/>
              </w:rPr>
            </w:pPr>
            <w:r>
              <w:rPr>
                <w:rFonts w:ascii="Times New Roman" w:cs="Times New Roman" w:eastAsia="Times New Roman" w:hAnsi="Times New Roman"/>
                <w:sz w:val="14"/>
                <w:szCs w:val="14"/>
                <w:color w:val="auto"/>
              </w:rPr>
              <w:t>Dividend</w:t>
            </w:r>
          </w:p>
        </w:tc>
        <w:tc>
          <w:tcPr>
            <w:tcW w:w="220" w:type="dxa"/>
            <w:vAlign w:val="bottom"/>
            <w:shd w:val="clear" w:color="auto" w:fill="CCECFF"/>
          </w:tcPr>
          <w:p>
            <w:pPr>
              <w:spacing w:after="0"/>
              <w:rPr>
                <w:sz w:val="15"/>
                <w:szCs w:val="15"/>
                <w:color w:val="auto"/>
              </w:rPr>
            </w:pPr>
          </w:p>
        </w:tc>
        <w:tc>
          <w:tcPr>
            <w:tcW w:w="8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2,975</w:t>
            </w:r>
          </w:p>
        </w:tc>
        <w:tc>
          <w:tcPr>
            <w:tcW w:w="240" w:type="dxa"/>
            <w:vAlign w:val="bottom"/>
            <w:shd w:val="clear" w:color="auto" w:fill="CCECFF"/>
          </w:tcPr>
          <w:p>
            <w:pPr>
              <w:spacing w:after="0"/>
              <w:rPr>
                <w:sz w:val="15"/>
                <w:szCs w:val="15"/>
                <w:color w:val="auto"/>
              </w:rPr>
            </w:pPr>
          </w:p>
        </w:tc>
        <w:tc>
          <w:tcPr>
            <w:tcW w:w="360" w:type="dxa"/>
            <w:vAlign w:val="bottom"/>
            <w:shd w:val="clear" w:color="auto" w:fill="CCECFF"/>
          </w:tcPr>
          <w:p>
            <w:pPr>
              <w:spacing w:after="0"/>
              <w:rPr>
                <w:sz w:val="15"/>
                <w:szCs w:val="15"/>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2,625</w:t>
            </w:r>
          </w:p>
        </w:tc>
        <w:tc>
          <w:tcPr>
            <w:tcW w:w="220" w:type="dxa"/>
            <w:vAlign w:val="bottom"/>
            <w:shd w:val="clear" w:color="auto" w:fill="CCECFF"/>
          </w:tcPr>
          <w:p>
            <w:pPr>
              <w:spacing w:after="0"/>
              <w:rPr>
                <w:sz w:val="15"/>
                <w:szCs w:val="15"/>
                <w:color w:val="auto"/>
              </w:rPr>
            </w:pPr>
          </w:p>
        </w:tc>
        <w:tc>
          <w:tcPr>
            <w:tcW w:w="220" w:type="dxa"/>
            <w:vAlign w:val="bottom"/>
            <w:shd w:val="clear" w:color="auto" w:fill="CCECFF"/>
          </w:tcPr>
          <w:p>
            <w:pPr>
              <w:spacing w:after="0"/>
              <w:rPr>
                <w:sz w:val="15"/>
                <w:szCs w:val="15"/>
                <w:color w:val="auto"/>
              </w:rPr>
            </w:pP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13,650</w:t>
            </w:r>
          </w:p>
        </w:tc>
        <w:tc>
          <w:tcPr>
            <w:tcW w:w="220" w:type="dxa"/>
            <w:vAlign w:val="bottom"/>
            <w:shd w:val="clear" w:color="auto" w:fill="CCECFF"/>
          </w:tcPr>
          <w:p>
            <w:pPr>
              <w:spacing w:after="0"/>
              <w:rPr>
                <w:sz w:val="15"/>
                <w:szCs w:val="15"/>
                <w:color w:val="auto"/>
              </w:rPr>
            </w:pPr>
          </w:p>
        </w:tc>
        <w:tc>
          <w:tcPr>
            <w:tcW w:w="360" w:type="dxa"/>
            <w:vAlign w:val="bottom"/>
            <w:shd w:val="clear" w:color="auto" w:fill="CCECFF"/>
          </w:tcPr>
          <w:p>
            <w:pPr>
              <w:spacing w:after="0"/>
              <w:rPr>
                <w:sz w:val="15"/>
                <w:szCs w:val="15"/>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8,794</w:t>
            </w:r>
          </w:p>
        </w:tc>
        <w:tc>
          <w:tcPr>
            <w:tcW w:w="100" w:type="dxa"/>
            <w:vAlign w:val="bottom"/>
            <w:shd w:val="clear" w:color="auto" w:fill="CCECFF"/>
          </w:tcPr>
          <w:p>
            <w:pPr>
              <w:spacing w:after="0"/>
              <w:rPr>
                <w:sz w:val="15"/>
                <w:szCs w:val="15"/>
                <w:color w:val="auto"/>
              </w:rPr>
            </w:pPr>
          </w:p>
        </w:tc>
      </w:tr>
      <w:tr>
        <w:trPr>
          <w:trHeight w:val="175"/>
        </w:trPr>
        <w:tc>
          <w:tcPr>
            <w:tcW w:w="63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Other Income</w:t>
            </w:r>
          </w:p>
        </w:tc>
        <w:tc>
          <w:tcPr>
            <w:tcW w:w="220" w:type="dxa"/>
            <w:vAlign w:val="bottom"/>
          </w:tcPr>
          <w:p>
            <w:pPr>
              <w:spacing w:after="0"/>
              <w:rPr>
                <w:sz w:val="15"/>
                <w:szCs w:val="15"/>
                <w:color w:val="auto"/>
              </w:rPr>
            </w:pPr>
          </w:p>
        </w:tc>
        <w:tc>
          <w:tcPr>
            <w:tcW w:w="1040" w:type="dxa"/>
            <w:vAlign w:val="bottom"/>
            <w:gridSpan w:val="2"/>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gridSpan w:val="2"/>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196</w:t>
            </w:r>
          </w:p>
        </w:tc>
        <w:tc>
          <w:tcPr>
            <w:tcW w:w="100" w:type="dxa"/>
            <w:vAlign w:val="bottom"/>
          </w:tcPr>
          <w:p>
            <w:pPr>
              <w:spacing w:after="0"/>
              <w:rPr>
                <w:sz w:val="15"/>
                <w:szCs w:val="15"/>
                <w:color w:val="auto"/>
              </w:rPr>
            </w:pPr>
          </w:p>
        </w:tc>
      </w:tr>
      <w:tr>
        <w:trPr>
          <w:trHeight w:val="169"/>
        </w:trPr>
        <w:tc>
          <w:tcPr>
            <w:tcW w:w="6380" w:type="dxa"/>
            <w:vAlign w:val="bottom"/>
            <w:tcBorders>
              <w:bottom w:val="single" w:sz="8" w:color="CCECFF"/>
            </w:tcBorders>
            <w:shd w:val="clear" w:color="auto" w:fill="CCECFF"/>
          </w:tcPr>
          <w:p>
            <w:pPr>
              <w:ind w:left="200"/>
              <w:spacing w:after="0"/>
              <w:rPr>
                <w:sz w:val="20"/>
                <w:szCs w:val="20"/>
                <w:color w:val="auto"/>
              </w:rPr>
            </w:pPr>
            <w:r>
              <w:rPr>
                <w:rFonts w:ascii="Times New Roman" w:cs="Times New Roman" w:eastAsia="Times New Roman" w:hAnsi="Times New Roman"/>
                <w:sz w:val="14"/>
                <w:szCs w:val="14"/>
                <w:b w:val="1"/>
                <w:bCs w:val="1"/>
                <w:color w:val="auto"/>
              </w:rPr>
              <w:t>Total investment income</w:t>
            </w:r>
          </w:p>
        </w:tc>
        <w:tc>
          <w:tcPr>
            <w:tcW w:w="220" w:type="dxa"/>
            <w:vAlign w:val="bottom"/>
            <w:tcBorders>
              <w:top w:val="single" w:sz="8" w:color="auto"/>
              <w:bottom w:val="single" w:sz="8" w:color="auto"/>
            </w:tcBorders>
            <w:shd w:val="clear" w:color="auto" w:fill="CCECFF"/>
          </w:tcPr>
          <w:p>
            <w:pPr>
              <w:spacing w:after="0"/>
              <w:rPr>
                <w:sz w:val="14"/>
                <w:szCs w:val="14"/>
                <w:color w:val="auto"/>
              </w:rPr>
            </w:pPr>
          </w:p>
        </w:tc>
        <w:tc>
          <w:tcPr>
            <w:tcW w:w="80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28,786</w:t>
            </w:r>
          </w:p>
        </w:tc>
        <w:tc>
          <w:tcPr>
            <w:tcW w:w="240" w:type="dxa"/>
            <w:vAlign w:val="bottom"/>
            <w:tcBorders>
              <w:bottom w:val="single" w:sz="8" w:color="CCECFF"/>
            </w:tcBorders>
            <w:shd w:val="clear" w:color="auto" w:fill="CCECFF"/>
          </w:tcPr>
          <w:p>
            <w:pPr>
              <w:spacing w:after="0"/>
              <w:rPr>
                <w:sz w:val="14"/>
                <w:szCs w:val="14"/>
                <w:color w:val="auto"/>
              </w:rPr>
            </w:pPr>
          </w:p>
        </w:tc>
        <w:tc>
          <w:tcPr>
            <w:tcW w:w="360" w:type="dxa"/>
            <w:vAlign w:val="bottom"/>
            <w:tcBorders>
              <w:top w:val="single" w:sz="8" w:color="auto"/>
              <w:bottom w:val="single" w:sz="8" w:color="auto"/>
            </w:tcBorders>
            <w:shd w:val="clear" w:color="auto" w:fill="CCECFF"/>
          </w:tcPr>
          <w:p>
            <w:pPr>
              <w:spacing w:after="0"/>
              <w:rPr>
                <w:sz w:val="14"/>
                <w:szCs w:val="14"/>
                <w:color w:val="auto"/>
              </w:rPr>
            </w:pPr>
          </w:p>
        </w:tc>
        <w:tc>
          <w:tcPr>
            <w:tcW w:w="68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21,620</w:t>
            </w:r>
          </w:p>
        </w:tc>
        <w:tc>
          <w:tcPr>
            <w:tcW w:w="220" w:type="dxa"/>
            <w:vAlign w:val="bottom"/>
            <w:tcBorders>
              <w:bottom w:val="single" w:sz="8" w:color="CCECFF"/>
            </w:tcBorders>
            <w:shd w:val="clear" w:color="auto" w:fill="CCECFF"/>
          </w:tcPr>
          <w:p>
            <w:pPr>
              <w:spacing w:after="0"/>
              <w:rPr>
                <w:sz w:val="14"/>
                <w:szCs w:val="14"/>
                <w:color w:val="auto"/>
              </w:rPr>
            </w:pPr>
          </w:p>
        </w:tc>
        <w:tc>
          <w:tcPr>
            <w:tcW w:w="220" w:type="dxa"/>
            <w:vAlign w:val="bottom"/>
            <w:tcBorders>
              <w:top w:val="single" w:sz="8" w:color="auto"/>
              <w:bottom w:val="single" w:sz="8" w:color="auto"/>
            </w:tcBorders>
            <w:shd w:val="clear" w:color="auto" w:fill="CCECFF"/>
          </w:tcPr>
          <w:p>
            <w:pPr>
              <w:spacing w:after="0"/>
              <w:rPr>
                <w:sz w:val="14"/>
                <w:szCs w:val="14"/>
                <w:color w:val="auto"/>
              </w:rPr>
            </w:pPr>
          </w:p>
        </w:tc>
        <w:tc>
          <w:tcPr>
            <w:tcW w:w="76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105,485</w:t>
            </w:r>
          </w:p>
        </w:tc>
        <w:tc>
          <w:tcPr>
            <w:tcW w:w="220" w:type="dxa"/>
            <w:vAlign w:val="bottom"/>
            <w:tcBorders>
              <w:bottom w:val="single" w:sz="8" w:color="CCECFF"/>
            </w:tcBorders>
            <w:shd w:val="clear" w:color="auto" w:fill="CCECFF"/>
          </w:tcPr>
          <w:p>
            <w:pPr>
              <w:spacing w:after="0"/>
              <w:rPr>
                <w:sz w:val="14"/>
                <w:szCs w:val="14"/>
                <w:color w:val="auto"/>
              </w:rPr>
            </w:pPr>
          </w:p>
        </w:tc>
        <w:tc>
          <w:tcPr>
            <w:tcW w:w="360" w:type="dxa"/>
            <w:vAlign w:val="bottom"/>
            <w:tcBorders>
              <w:top w:val="single" w:sz="8" w:color="auto"/>
              <w:bottom w:val="single" w:sz="8" w:color="auto"/>
            </w:tcBorders>
            <w:shd w:val="clear" w:color="auto" w:fill="CCECFF"/>
          </w:tcPr>
          <w:p>
            <w:pPr>
              <w:spacing w:after="0"/>
              <w:rPr>
                <w:sz w:val="14"/>
                <w:szCs w:val="14"/>
                <w:color w:val="auto"/>
              </w:rPr>
            </w:pPr>
          </w:p>
        </w:tc>
        <w:tc>
          <w:tcPr>
            <w:tcW w:w="68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82,694</w:t>
            </w:r>
          </w:p>
        </w:tc>
        <w:tc>
          <w:tcPr>
            <w:tcW w:w="100" w:type="dxa"/>
            <w:vAlign w:val="bottom"/>
            <w:tcBorders>
              <w:bottom w:val="single" w:sz="8" w:color="CCECFF"/>
            </w:tcBorders>
            <w:shd w:val="clear" w:color="auto" w:fill="CCECFF"/>
          </w:tcPr>
          <w:p>
            <w:pPr>
              <w:spacing w:after="0"/>
              <w:rPr>
                <w:sz w:val="14"/>
                <w:szCs w:val="14"/>
                <w:color w:val="auto"/>
              </w:rPr>
            </w:pPr>
          </w:p>
        </w:tc>
      </w:tr>
      <w:tr>
        <w:trPr>
          <w:trHeight w:val="169"/>
        </w:trPr>
        <w:tc>
          <w:tcPr>
            <w:tcW w:w="63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Expenses:</w:t>
            </w: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5"/>
        </w:trPr>
        <w:tc>
          <w:tcPr>
            <w:tcW w:w="6380" w:type="dxa"/>
            <w:vAlign w:val="bottom"/>
            <w:shd w:val="clear" w:color="auto" w:fill="CCECFF"/>
          </w:tcPr>
          <w:p>
            <w:pPr>
              <w:ind w:left="200"/>
              <w:spacing w:after="0"/>
              <w:rPr>
                <w:sz w:val="20"/>
                <w:szCs w:val="20"/>
                <w:color w:val="auto"/>
              </w:rPr>
            </w:pPr>
            <w:r>
              <w:rPr>
                <w:rFonts w:ascii="Times New Roman" w:cs="Times New Roman" w:eastAsia="Times New Roman" w:hAnsi="Times New Roman"/>
                <w:sz w:val="14"/>
                <w:szCs w:val="14"/>
                <w:color w:val="auto"/>
              </w:rPr>
              <w:t>Base management fee</w:t>
            </w:r>
          </w:p>
        </w:tc>
        <w:tc>
          <w:tcPr>
            <w:tcW w:w="220" w:type="dxa"/>
            <w:vAlign w:val="bottom"/>
            <w:shd w:val="clear" w:color="auto" w:fill="CCECFF"/>
          </w:tcPr>
          <w:p>
            <w:pPr>
              <w:spacing w:after="0"/>
              <w:rPr>
                <w:sz w:val="15"/>
                <w:szCs w:val="15"/>
                <w:color w:val="auto"/>
              </w:rPr>
            </w:pPr>
          </w:p>
        </w:tc>
        <w:tc>
          <w:tcPr>
            <w:tcW w:w="8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3,026</w:t>
            </w:r>
          </w:p>
        </w:tc>
        <w:tc>
          <w:tcPr>
            <w:tcW w:w="240" w:type="dxa"/>
            <w:vAlign w:val="bottom"/>
            <w:shd w:val="clear" w:color="auto" w:fill="CCECFF"/>
          </w:tcPr>
          <w:p>
            <w:pPr>
              <w:spacing w:after="0"/>
              <w:rPr>
                <w:sz w:val="15"/>
                <w:szCs w:val="15"/>
                <w:color w:val="auto"/>
              </w:rPr>
            </w:pPr>
          </w:p>
        </w:tc>
        <w:tc>
          <w:tcPr>
            <w:tcW w:w="360" w:type="dxa"/>
            <w:vAlign w:val="bottom"/>
            <w:shd w:val="clear" w:color="auto" w:fill="CCECFF"/>
          </w:tcPr>
          <w:p>
            <w:pPr>
              <w:spacing w:after="0"/>
              <w:rPr>
                <w:sz w:val="15"/>
                <w:szCs w:val="15"/>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2,706</w:t>
            </w:r>
          </w:p>
        </w:tc>
        <w:tc>
          <w:tcPr>
            <w:tcW w:w="220" w:type="dxa"/>
            <w:vAlign w:val="bottom"/>
            <w:shd w:val="clear" w:color="auto" w:fill="CCECFF"/>
          </w:tcPr>
          <w:p>
            <w:pPr>
              <w:spacing w:after="0"/>
              <w:rPr>
                <w:sz w:val="15"/>
                <w:szCs w:val="15"/>
                <w:color w:val="auto"/>
              </w:rPr>
            </w:pPr>
          </w:p>
        </w:tc>
        <w:tc>
          <w:tcPr>
            <w:tcW w:w="220" w:type="dxa"/>
            <w:vAlign w:val="bottom"/>
            <w:shd w:val="clear" w:color="auto" w:fill="CCECFF"/>
          </w:tcPr>
          <w:p>
            <w:pPr>
              <w:spacing w:after="0"/>
              <w:rPr>
                <w:sz w:val="15"/>
                <w:szCs w:val="15"/>
                <w:color w:val="auto"/>
              </w:rPr>
            </w:pP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11,930</w:t>
            </w:r>
          </w:p>
        </w:tc>
        <w:tc>
          <w:tcPr>
            <w:tcW w:w="220" w:type="dxa"/>
            <w:vAlign w:val="bottom"/>
            <w:shd w:val="clear" w:color="auto" w:fill="CCECFF"/>
          </w:tcPr>
          <w:p>
            <w:pPr>
              <w:spacing w:after="0"/>
              <w:rPr>
                <w:sz w:val="15"/>
                <w:szCs w:val="15"/>
                <w:color w:val="auto"/>
              </w:rPr>
            </w:pPr>
          </w:p>
        </w:tc>
        <w:tc>
          <w:tcPr>
            <w:tcW w:w="360" w:type="dxa"/>
            <w:vAlign w:val="bottom"/>
            <w:shd w:val="clear" w:color="auto" w:fill="CCECFF"/>
          </w:tcPr>
          <w:p>
            <w:pPr>
              <w:spacing w:after="0"/>
              <w:rPr>
                <w:sz w:val="15"/>
                <w:szCs w:val="15"/>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10,678</w:t>
            </w:r>
          </w:p>
        </w:tc>
        <w:tc>
          <w:tcPr>
            <w:tcW w:w="100" w:type="dxa"/>
            <w:vAlign w:val="bottom"/>
            <w:shd w:val="clear" w:color="auto" w:fill="CCECFF"/>
          </w:tcPr>
          <w:p>
            <w:pPr>
              <w:spacing w:after="0"/>
              <w:rPr>
                <w:sz w:val="15"/>
                <w:szCs w:val="15"/>
                <w:color w:val="auto"/>
              </w:rPr>
            </w:pPr>
          </w:p>
        </w:tc>
      </w:tr>
      <w:tr>
        <w:trPr>
          <w:trHeight w:val="176"/>
        </w:trPr>
        <w:tc>
          <w:tcPr>
            <w:tcW w:w="63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Performance-based incentive fee</w:t>
            </w:r>
          </w:p>
        </w:tc>
        <w:tc>
          <w:tcPr>
            <w:tcW w:w="2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3,164</w:t>
            </w:r>
          </w:p>
        </w:tc>
        <w:tc>
          <w:tcPr>
            <w:tcW w:w="2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625</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11,625</w:t>
            </w:r>
          </w:p>
        </w:tc>
        <w:tc>
          <w:tcPr>
            <w:tcW w:w="2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5,341</w:t>
            </w:r>
          </w:p>
        </w:tc>
        <w:tc>
          <w:tcPr>
            <w:tcW w:w="100" w:type="dxa"/>
            <w:vAlign w:val="bottom"/>
          </w:tcPr>
          <w:p>
            <w:pPr>
              <w:spacing w:after="0"/>
              <w:rPr>
                <w:sz w:val="15"/>
                <w:szCs w:val="15"/>
                <w:color w:val="auto"/>
              </w:rPr>
            </w:pPr>
          </w:p>
        </w:tc>
      </w:tr>
      <w:tr>
        <w:trPr>
          <w:trHeight w:val="176"/>
        </w:trPr>
        <w:tc>
          <w:tcPr>
            <w:tcW w:w="6380" w:type="dxa"/>
            <w:vAlign w:val="bottom"/>
            <w:shd w:val="clear" w:color="auto" w:fill="CCECFF"/>
          </w:tcPr>
          <w:p>
            <w:pPr>
              <w:ind w:left="200"/>
              <w:spacing w:after="0"/>
              <w:rPr>
                <w:sz w:val="20"/>
                <w:szCs w:val="20"/>
                <w:color w:val="auto"/>
              </w:rPr>
            </w:pPr>
            <w:r>
              <w:rPr>
                <w:rFonts w:ascii="Times New Roman" w:cs="Times New Roman" w:eastAsia="Times New Roman" w:hAnsi="Times New Roman"/>
                <w:sz w:val="14"/>
                <w:szCs w:val="14"/>
                <w:color w:val="auto"/>
              </w:rPr>
              <w:t>Interest and expenses on debt</w:t>
            </w:r>
          </w:p>
        </w:tc>
        <w:tc>
          <w:tcPr>
            <w:tcW w:w="220" w:type="dxa"/>
            <w:vAlign w:val="bottom"/>
            <w:shd w:val="clear" w:color="auto" w:fill="CCECFF"/>
          </w:tcPr>
          <w:p>
            <w:pPr>
              <w:spacing w:after="0"/>
              <w:rPr>
                <w:sz w:val="15"/>
                <w:szCs w:val="15"/>
                <w:color w:val="auto"/>
              </w:rPr>
            </w:pPr>
          </w:p>
        </w:tc>
        <w:tc>
          <w:tcPr>
            <w:tcW w:w="8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9,042</w:t>
            </w:r>
          </w:p>
        </w:tc>
        <w:tc>
          <w:tcPr>
            <w:tcW w:w="240" w:type="dxa"/>
            <w:vAlign w:val="bottom"/>
            <w:shd w:val="clear" w:color="auto" w:fill="CCECFF"/>
          </w:tcPr>
          <w:p>
            <w:pPr>
              <w:spacing w:after="0"/>
              <w:rPr>
                <w:sz w:val="15"/>
                <w:szCs w:val="15"/>
                <w:color w:val="auto"/>
              </w:rPr>
            </w:pPr>
          </w:p>
        </w:tc>
        <w:tc>
          <w:tcPr>
            <w:tcW w:w="360" w:type="dxa"/>
            <w:vAlign w:val="bottom"/>
            <w:shd w:val="clear" w:color="auto" w:fill="CCECFF"/>
          </w:tcPr>
          <w:p>
            <w:pPr>
              <w:spacing w:after="0"/>
              <w:rPr>
                <w:sz w:val="15"/>
                <w:szCs w:val="15"/>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5,625</w:t>
            </w:r>
          </w:p>
        </w:tc>
        <w:tc>
          <w:tcPr>
            <w:tcW w:w="220" w:type="dxa"/>
            <w:vAlign w:val="bottom"/>
            <w:shd w:val="clear" w:color="auto" w:fill="CCECFF"/>
          </w:tcPr>
          <w:p>
            <w:pPr>
              <w:spacing w:after="0"/>
              <w:rPr>
                <w:sz w:val="15"/>
                <w:szCs w:val="15"/>
                <w:color w:val="auto"/>
              </w:rPr>
            </w:pPr>
          </w:p>
        </w:tc>
        <w:tc>
          <w:tcPr>
            <w:tcW w:w="220" w:type="dxa"/>
            <w:vAlign w:val="bottom"/>
            <w:shd w:val="clear" w:color="auto" w:fill="CCECFF"/>
          </w:tcPr>
          <w:p>
            <w:pPr>
              <w:spacing w:after="0"/>
              <w:rPr>
                <w:sz w:val="15"/>
                <w:szCs w:val="15"/>
                <w:color w:val="auto"/>
              </w:rPr>
            </w:pP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29,755</w:t>
            </w:r>
          </w:p>
        </w:tc>
        <w:tc>
          <w:tcPr>
            <w:tcW w:w="220" w:type="dxa"/>
            <w:vAlign w:val="bottom"/>
            <w:shd w:val="clear" w:color="auto" w:fill="CCECFF"/>
          </w:tcPr>
          <w:p>
            <w:pPr>
              <w:spacing w:after="0"/>
              <w:rPr>
                <w:sz w:val="15"/>
                <w:szCs w:val="15"/>
                <w:color w:val="auto"/>
              </w:rPr>
            </w:pPr>
          </w:p>
        </w:tc>
        <w:tc>
          <w:tcPr>
            <w:tcW w:w="360" w:type="dxa"/>
            <w:vAlign w:val="bottom"/>
            <w:shd w:val="clear" w:color="auto" w:fill="CCECFF"/>
          </w:tcPr>
          <w:p>
            <w:pPr>
              <w:spacing w:after="0"/>
              <w:rPr>
                <w:sz w:val="15"/>
                <w:szCs w:val="15"/>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21,650</w:t>
            </w:r>
          </w:p>
        </w:tc>
        <w:tc>
          <w:tcPr>
            <w:tcW w:w="100" w:type="dxa"/>
            <w:vAlign w:val="bottom"/>
            <w:shd w:val="clear" w:color="auto" w:fill="CCECFF"/>
          </w:tcPr>
          <w:p>
            <w:pPr>
              <w:spacing w:after="0"/>
              <w:rPr>
                <w:sz w:val="15"/>
                <w:szCs w:val="15"/>
                <w:color w:val="auto"/>
              </w:rPr>
            </w:pPr>
          </w:p>
        </w:tc>
      </w:tr>
      <w:tr>
        <w:trPr>
          <w:trHeight w:val="175"/>
        </w:trPr>
        <w:tc>
          <w:tcPr>
            <w:tcW w:w="63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Administrative services expenses</w:t>
            </w:r>
          </w:p>
        </w:tc>
        <w:tc>
          <w:tcPr>
            <w:tcW w:w="2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144</w:t>
            </w:r>
          </w:p>
        </w:tc>
        <w:tc>
          <w:tcPr>
            <w:tcW w:w="2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575</w:t>
            </w:r>
          </w:p>
        </w:tc>
        <w:tc>
          <w:tcPr>
            <w:tcW w:w="2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900</w:t>
            </w:r>
          </w:p>
        </w:tc>
        <w:tc>
          <w:tcPr>
            <w:tcW w:w="100" w:type="dxa"/>
            <w:vAlign w:val="bottom"/>
          </w:tcPr>
          <w:p>
            <w:pPr>
              <w:spacing w:after="0"/>
              <w:rPr>
                <w:sz w:val="15"/>
                <w:szCs w:val="15"/>
                <w:color w:val="auto"/>
              </w:rPr>
            </w:pPr>
          </w:p>
        </w:tc>
      </w:tr>
      <w:tr>
        <w:trPr>
          <w:trHeight w:val="176"/>
        </w:trPr>
        <w:tc>
          <w:tcPr>
            <w:tcW w:w="6380" w:type="dxa"/>
            <w:vAlign w:val="bottom"/>
            <w:tcBorders>
              <w:bottom w:val="single" w:sz="8" w:color="CCECFF"/>
            </w:tcBorders>
            <w:shd w:val="clear" w:color="auto" w:fill="CCECFF"/>
          </w:tcPr>
          <w:p>
            <w:pPr>
              <w:ind w:left="200"/>
              <w:spacing w:after="0"/>
              <w:rPr>
                <w:sz w:val="20"/>
                <w:szCs w:val="20"/>
                <w:color w:val="auto"/>
              </w:rPr>
            </w:pPr>
            <w:r>
              <w:rPr>
                <w:rFonts w:ascii="Times New Roman" w:cs="Times New Roman" w:eastAsia="Times New Roman" w:hAnsi="Times New Roman"/>
                <w:sz w:val="14"/>
                <w:szCs w:val="14"/>
                <w:color w:val="auto"/>
              </w:rPr>
              <w:t>Other general and administrative expenses</w:t>
            </w:r>
          </w:p>
        </w:tc>
        <w:tc>
          <w:tcPr>
            <w:tcW w:w="220" w:type="dxa"/>
            <w:vAlign w:val="bottom"/>
            <w:tcBorders>
              <w:bottom w:val="single" w:sz="8" w:color="auto"/>
            </w:tcBorders>
            <w:shd w:val="clear" w:color="auto" w:fill="CCECFF"/>
          </w:tcPr>
          <w:p>
            <w:pPr>
              <w:spacing w:after="0"/>
              <w:rPr>
                <w:sz w:val="15"/>
                <w:szCs w:val="15"/>
                <w:color w:val="auto"/>
              </w:rPr>
            </w:pPr>
          </w:p>
        </w:tc>
        <w:tc>
          <w:tcPr>
            <w:tcW w:w="8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654</w:t>
            </w:r>
          </w:p>
        </w:tc>
        <w:tc>
          <w:tcPr>
            <w:tcW w:w="240" w:type="dxa"/>
            <w:vAlign w:val="bottom"/>
            <w:tcBorders>
              <w:bottom w:val="single" w:sz="8" w:color="CCECFF"/>
            </w:tcBorders>
            <w:shd w:val="clear" w:color="auto" w:fill="CCECFF"/>
          </w:tcPr>
          <w:p>
            <w:pPr>
              <w:spacing w:after="0"/>
              <w:rPr>
                <w:sz w:val="15"/>
                <w:szCs w:val="15"/>
                <w:color w:val="auto"/>
              </w:rPr>
            </w:pPr>
          </w:p>
        </w:tc>
        <w:tc>
          <w:tcPr>
            <w:tcW w:w="360" w:type="dxa"/>
            <w:vAlign w:val="bottom"/>
            <w:tcBorders>
              <w:bottom w:val="single" w:sz="8" w:color="auto"/>
            </w:tcBorders>
            <w:shd w:val="clear" w:color="auto" w:fill="CCECFF"/>
          </w:tcPr>
          <w:p>
            <w:pPr>
              <w:spacing w:after="0"/>
              <w:rPr>
                <w:sz w:val="15"/>
                <w:szCs w:val="15"/>
                <w:color w:val="auto"/>
              </w:rPr>
            </w:pPr>
          </w:p>
        </w:tc>
        <w:tc>
          <w:tcPr>
            <w:tcW w:w="68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201</w:t>
            </w:r>
          </w:p>
        </w:tc>
        <w:tc>
          <w:tcPr>
            <w:tcW w:w="220" w:type="dxa"/>
            <w:vAlign w:val="bottom"/>
            <w:tcBorders>
              <w:bottom w:val="single" w:sz="8" w:color="CCECFF"/>
            </w:tcBorders>
            <w:shd w:val="clear" w:color="auto" w:fill="CCECFF"/>
          </w:tcPr>
          <w:p>
            <w:pPr>
              <w:spacing w:after="0"/>
              <w:rPr>
                <w:sz w:val="15"/>
                <w:szCs w:val="15"/>
                <w:color w:val="auto"/>
              </w:rPr>
            </w:pPr>
          </w:p>
        </w:tc>
        <w:tc>
          <w:tcPr>
            <w:tcW w:w="220" w:type="dxa"/>
            <w:vAlign w:val="bottom"/>
            <w:tcBorders>
              <w:bottom w:val="single" w:sz="8" w:color="auto"/>
            </w:tcBorders>
            <w:shd w:val="clear" w:color="auto" w:fill="CCECFF"/>
          </w:tcPr>
          <w:p>
            <w:pPr>
              <w:spacing w:after="0"/>
              <w:rPr>
                <w:sz w:val="15"/>
                <w:szCs w:val="15"/>
                <w:color w:val="auto"/>
              </w:rPr>
            </w:pPr>
          </w:p>
        </w:tc>
        <w:tc>
          <w:tcPr>
            <w:tcW w:w="7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2,618</w:t>
            </w:r>
          </w:p>
        </w:tc>
        <w:tc>
          <w:tcPr>
            <w:tcW w:w="220" w:type="dxa"/>
            <w:vAlign w:val="bottom"/>
            <w:tcBorders>
              <w:bottom w:val="single" w:sz="8" w:color="CCECFF"/>
            </w:tcBorders>
            <w:shd w:val="clear" w:color="auto" w:fill="CCECFF"/>
          </w:tcPr>
          <w:p>
            <w:pPr>
              <w:spacing w:after="0"/>
              <w:rPr>
                <w:sz w:val="15"/>
                <w:szCs w:val="15"/>
                <w:color w:val="auto"/>
              </w:rPr>
            </w:pPr>
          </w:p>
        </w:tc>
        <w:tc>
          <w:tcPr>
            <w:tcW w:w="360" w:type="dxa"/>
            <w:vAlign w:val="bottom"/>
            <w:tcBorders>
              <w:bottom w:val="single" w:sz="8" w:color="auto"/>
            </w:tcBorders>
            <w:shd w:val="clear" w:color="auto" w:fill="CCECFF"/>
          </w:tcPr>
          <w:p>
            <w:pPr>
              <w:spacing w:after="0"/>
              <w:rPr>
                <w:sz w:val="15"/>
                <w:szCs w:val="15"/>
                <w:color w:val="auto"/>
              </w:rPr>
            </w:pPr>
          </w:p>
        </w:tc>
        <w:tc>
          <w:tcPr>
            <w:tcW w:w="68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1,201</w:t>
            </w:r>
          </w:p>
        </w:tc>
        <w:tc>
          <w:tcPr>
            <w:tcW w:w="100" w:type="dxa"/>
            <w:vAlign w:val="bottom"/>
            <w:tcBorders>
              <w:bottom w:val="single" w:sz="8" w:color="CCECFF"/>
            </w:tcBorders>
            <w:shd w:val="clear" w:color="auto" w:fill="CCECFF"/>
          </w:tcPr>
          <w:p>
            <w:pPr>
              <w:spacing w:after="0"/>
              <w:rPr>
                <w:sz w:val="15"/>
                <w:szCs w:val="15"/>
                <w:color w:val="auto"/>
              </w:rPr>
            </w:pPr>
          </w:p>
        </w:tc>
      </w:tr>
      <w:tr>
        <w:trPr>
          <w:trHeight w:val="169"/>
        </w:trPr>
        <w:tc>
          <w:tcPr>
            <w:tcW w:w="638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rPr>
              <w:t>Expenses before provision for taxes</w:t>
            </w: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16,030</w:t>
            </w:r>
          </w:p>
        </w:tc>
        <w:tc>
          <w:tcPr>
            <w:tcW w:w="24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9,307</w:t>
            </w:r>
          </w:p>
        </w:tc>
        <w:tc>
          <w:tcPr>
            <w:tcW w:w="2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56,503</w:t>
            </w:r>
          </w:p>
        </w:tc>
        <w:tc>
          <w:tcPr>
            <w:tcW w:w="22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39,770</w:t>
            </w:r>
          </w:p>
        </w:tc>
        <w:tc>
          <w:tcPr>
            <w:tcW w:w="100" w:type="dxa"/>
            <w:vAlign w:val="bottom"/>
          </w:tcPr>
          <w:p>
            <w:pPr>
              <w:spacing w:after="0"/>
              <w:rPr>
                <w:sz w:val="14"/>
                <w:szCs w:val="14"/>
                <w:color w:val="auto"/>
              </w:rPr>
            </w:pPr>
          </w:p>
        </w:tc>
      </w:tr>
      <w:tr>
        <w:trPr>
          <w:trHeight w:val="169"/>
        </w:trPr>
        <w:tc>
          <w:tcPr>
            <w:tcW w:w="6380" w:type="dxa"/>
            <w:vAlign w:val="bottom"/>
            <w:shd w:val="clear" w:color="auto" w:fill="CCECFF"/>
          </w:tcPr>
          <w:p>
            <w:pPr>
              <w:ind w:left="200"/>
              <w:spacing w:after="0"/>
              <w:rPr>
                <w:sz w:val="20"/>
                <w:szCs w:val="20"/>
                <w:color w:val="auto"/>
              </w:rPr>
            </w:pPr>
            <w:r>
              <w:rPr>
                <w:rFonts w:ascii="Times New Roman" w:cs="Times New Roman" w:eastAsia="Times New Roman" w:hAnsi="Times New Roman"/>
                <w:sz w:val="14"/>
                <w:szCs w:val="14"/>
                <w:color w:val="auto"/>
              </w:rPr>
              <w:t>Credit Facility amendment costs and debt issuance costs</w:t>
            </w:r>
          </w:p>
        </w:tc>
        <w:tc>
          <w:tcPr>
            <w:tcW w:w="220" w:type="dxa"/>
            <w:vAlign w:val="bottom"/>
            <w:shd w:val="clear" w:color="auto" w:fill="CCECFF"/>
          </w:tcPr>
          <w:p>
            <w:pPr>
              <w:spacing w:after="0"/>
              <w:rPr>
                <w:sz w:val="14"/>
                <w:szCs w:val="14"/>
                <w:color w:val="auto"/>
              </w:rPr>
            </w:pPr>
          </w:p>
        </w:tc>
        <w:tc>
          <w:tcPr>
            <w:tcW w:w="8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CFF"/>
          </w:tcPr>
          <w:p>
            <w:pPr>
              <w:spacing w:after="0"/>
              <w:rPr>
                <w:sz w:val="14"/>
                <w:szCs w:val="14"/>
                <w:color w:val="auto"/>
              </w:rPr>
            </w:pPr>
          </w:p>
        </w:tc>
        <w:tc>
          <w:tcPr>
            <w:tcW w:w="360" w:type="dxa"/>
            <w:vAlign w:val="bottom"/>
            <w:shd w:val="clear" w:color="auto" w:fill="CCECFF"/>
          </w:tcPr>
          <w:p>
            <w:pPr>
              <w:spacing w:after="0"/>
              <w:rPr>
                <w:sz w:val="14"/>
                <w:szCs w:val="14"/>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2,898</w:t>
            </w:r>
          </w:p>
        </w:tc>
        <w:tc>
          <w:tcPr>
            <w:tcW w:w="22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CFF"/>
          </w:tcPr>
          <w:p>
            <w:pPr>
              <w:spacing w:after="0"/>
              <w:rPr>
                <w:sz w:val="14"/>
                <w:szCs w:val="14"/>
                <w:color w:val="auto"/>
              </w:rPr>
            </w:pPr>
          </w:p>
        </w:tc>
        <w:tc>
          <w:tcPr>
            <w:tcW w:w="360" w:type="dxa"/>
            <w:vAlign w:val="bottom"/>
            <w:shd w:val="clear" w:color="auto" w:fill="CCECFF"/>
          </w:tcPr>
          <w:p>
            <w:pPr>
              <w:spacing w:after="0"/>
              <w:rPr>
                <w:sz w:val="14"/>
                <w:szCs w:val="14"/>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2,898</w:t>
            </w:r>
          </w:p>
        </w:tc>
        <w:tc>
          <w:tcPr>
            <w:tcW w:w="100" w:type="dxa"/>
            <w:vAlign w:val="bottom"/>
            <w:shd w:val="clear" w:color="auto" w:fill="CCECFF"/>
          </w:tcPr>
          <w:p>
            <w:pPr>
              <w:spacing w:after="0"/>
              <w:rPr>
                <w:sz w:val="14"/>
                <w:szCs w:val="14"/>
                <w:color w:val="auto"/>
              </w:rPr>
            </w:pPr>
          </w:p>
        </w:tc>
      </w:tr>
      <w:tr>
        <w:trPr>
          <w:trHeight w:val="176"/>
        </w:trPr>
        <w:tc>
          <w:tcPr>
            <w:tcW w:w="63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Provision for taxes</w:t>
            </w:r>
          </w:p>
        </w:tc>
        <w:tc>
          <w:tcPr>
            <w:tcW w:w="2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24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2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400</w:t>
            </w:r>
          </w:p>
        </w:tc>
        <w:tc>
          <w:tcPr>
            <w:tcW w:w="22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400</w:t>
            </w:r>
          </w:p>
        </w:tc>
        <w:tc>
          <w:tcPr>
            <w:tcW w:w="100" w:type="dxa"/>
            <w:vAlign w:val="bottom"/>
          </w:tcPr>
          <w:p>
            <w:pPr>
              <w:spacing w:after="0"/>
              <w:rPr>
                <w:sz w:val="15"/>
                <w:szCs w:val="15"/>
                <w:color w:val="auto"/>
              </w:rPr>
            </w:pPr>
          </w:p>
        </w:tc>
      </w:tr>
      <w:tr>
        <w:trPr>
          <w:trHeight w:val="169"/>
        </w:trPr>
        <w:tc>
          <w:tcPr>
            <w:tcW w:w="6380" w:type="dxa"/>
            <w:vAlign w:val="bottom"/>
            <w:tcBorders>
              <w:bottom w:val="single" w:sz="8" w:color="CCECFF"/>
            </w:tcBorders>
            <w:shd w:val="clear" w:color="auto" w:fill="CCECFF"/>
          </w:tcPr>
          <w:p>
            <w:pPr>
              <w:ind w:left="200"/>
              <w:spacing w:after="0"/>
              <w:rPr>
                <w:sz w:val="20"/>
                <w:szCs w:val="20"/>
                <w:color w:val="auto"/>
              </w:rPr>
            </w:pPr>
            <w:r>
              <w:rPr>
                <w:rFonts w:ascii="Times New Roman" w:cs="Times New Roman" w:eastAsia="Times New Roman" w:hAnsi="Times New Roman"/>
                <w:sz w:val="14"/>
                <w:szCs w:val="14"/>
                <w:b w:val="1"/>
                <w:bCs w:val="1"/>
                <w:color w:val="auto"/>
              </w:rPr>
              <w:t>Net expenses</w:t>
            </w:r>
          </w:p>
        </w:tc>
        <w:tc>
          <w:tcPr>
            <w:tcW w:w="220" w:type="dxa"/>
            <w:vAlign w:val="bottom"/>
            <w:tcBorders>
              <w:bottom w:val="single" w:sz="8" w:color="auto"/>
            </w:tcBorders>
            <w:shd w:val="clear" w:color="auto" w:fill="CCECFF"/>
          </w:tcPr>
          <w:p>
            <w:pPr>
              <w:spacing w:after="0"/>
              <w:rPr>
                <w:sz w:val="14"/>
                <w:szCs w:val="14"/>
                <w:color w:val="auto"/>
              </w:rPr>
            </w:pPr>
          </w:p>
        </w:tc>
        <w:tc>
          <w:tcPr>
            <w:tcW w:w="8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16,130</w:t>
            </w:r>
          </w:p>
        </w:tc>
        <w:tc>
          <w:tcPr>
            <w:tcW w:w="240" w:type="dxa"/>
            <w:vAlign w:val="bottom"/>
            <w:tcBorders>
              <w:bottom w:val="single" w:sz="8" w:color="CCECFF"/>
            </w:tcBorders>
            <w:shd w:val="clear" w:color="auto" w:fill="CCECFF"/>
          </w:tcPr>
          <w:p>
            <w:pPr>
              <w:spacing w:after="0"/>
              <w:rPr>
                <w:sz w:val="14"/>
                <w:szCs w:val="14"/>
                <w:color w:val="auto"/>
              </w:rPr>
            </w:pPr>
          </w:p>
        </w:tc>
        <w:tc>
          <w:tcPr>
            <w:tcW w:w="360" w:type="dxa"/>
            <w:vAlign w:val="bottom"/>
            <w:tcBorders>
              <w:bottom w:val="single" w:sz="8" w:color="auto"/>
            </w:tcBorders>
            <w:shd w:val="clear" w:color="auto" w:fill="CCECFF"/>
          </w:tcPr>
          <w:p>
            <w:pPr>
              <w:spacing w:after="0"/>
              <w:rPr>
                <w:sz w:val="14"/>
                <w:szCs w:val="14"/>
                <w:color w:val="auto"/>
              </w:rPr>
            </w:pPr>
          </w:p>
        </w:tc>
        <w:tc>
          <w:tcPr>
            <w:tcW w:w="68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12,305</w:t>
            </w:r>
          </w:p>
        </w:tc>
        <w:tc>
          <w:tcPr>
            <w:tcW w:w="220" w:type="dxa"/>
            <w:vAlign w:val="bottom"/>
            <w:tcBorders>
              <w:bottom w:val="single" w:sz="8" w:color="CCECFF"/>
            </w:tcBorders>
            <w:shd w:val="clear" w:color="auto" w:fill="CCECFF"/>
          </w:tcPr>
          <w:p>
            <w:pPr>
              <w:spacing w:after="0"/>
              <w:rPr>
                <w:sz w:val="14"/>
                <w:szCs w:val="14"/>
                <w:color w:val="auto"/>
              </w:rPr>
            </w:pPr>
          </w:p>
        </w:tc>
        <w:tc>
          <w:tcPr>
            <w:tcW w:w="220" w:type="dxa"/>
            <w:vAlign w:val="bottom"/>
            <w:tcBorders>
              <w:bottom w:val="single" w:sz="8" w:color="auto"/>
            </w:tcBorders>
            <w:shd w:val="clear" w:color="auto" w:fill="CCECFF"/>
          </w:tcPr>
          <w:p>
            <w:pPr>
              <w:spacing w:after="0"/>
              <w:rPr>
                <w:sz w:val="14"/>
                <w:szCs w:val="14"/>
                <w:color w:val="auto"/>
              </w:rPr>
            </w:pPr>
          </w:p>
        </w:tc>
        <w:tc>
          <w:tcPr>
            <w:tcW w:w="7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56,903</w:t>
            </w:r>
          </w:p>
        </w:tc>
        <w:tc>
          <w:tcPr>
            <w:tcW w:w="220" w:type="dxa"/>
            <w:vAlign w:val="bottom"/>
            <w:tcBorders>
              <w:bottom w:val="single" w:sz="8" w:color="CCECFF"/>
            </w:tcBorders>
            <w:shd w:val="clear" w:color="auto" w:fill="CCECFF"/>
          </w:tcPr>
          <w:p>
            <w:pPr>
              <w:spacing w:after="0"/>
              <w:rPr>
                <w:sz w:val="14"/>
                <w:szCs w:val="14"/>
                <w:color w:val="auto"/>
              </w:rPr>
            </w:pPr>
          </w:p>
        </w:tc>
        <w:tc>
          <w:tcPr>
            <w:tcW w:w="360" w:type="dxa"/>
            <w:vAlign w:val="bottom"/>
            <w:tcBorders>
              <w:bottom w:val="single" w:sz="8" w:color="auto"/>
            </w:tcBorders>
            <w:shd w:val="clear" w:color="auto" w:fill="CCECFF"/>
          </w:tcPr>
          <w:p>
            <w:pPr>
              <w:spacing w:after="0"/>
              <w:rPr>
                <w:sz w:val="14"/>
                <w:szCs w:val="14"/>
                <w:color w:val="auto"/>
              </w:rPr>
            </w:pPr>
          </w:p>
        </w:tc>
        <w:tc>
          <w:tcPr>
            <w:tcW w:w="68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43,068</w:t>
            </w:r>
          </w:p>
        </w:tc>
        <w:tc>
          <w:tcPr>
            <w:tcW w:w="100" w:type="dxa"/>
            <w:vAlign w:val="bottom"/>
            <w:tcBorders>
              <w:bottom w:val="single" w:sz="8" w:color="CCECFF"/>
            </w:tcBorders>
            <w:shd w:val="clear" w:color="auto" w:fill="CCECFF"/>
          </w:tcPr>
          <w:p>
            <w:pPr>
              <w:spacing w:after="0"/>
              <w:rPr>
                <w:sz w:val="14"/>
                <w:szCs w:val="14"/>
                <w:color w:val="auto"/>
              </w:rPr>
            </w:pPr>
          </w:p>
        </w:tc>
      </w:tr>
      <w:tr>
        <w:trPr>
          <w:trHeight w:val="169"/>
        </w:trPr>
        <w:tc>
          <w:tcPr>
            <w:tcW w:w="638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rPr>
              <w:t>Net investment income</w:t>
            </w: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12,656</w:t>
            </w:r>
          </w:p>
        </w:tc>
        <w:tc>
          <w:tcPr>
            <w:tcW w:w="24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9,315</w:t>
            </w:r>
          </w:p>
        </w:tc>
        <w:tc>
          <w:tcPr>
            <w:tcW w:w="2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48,582</w:t>
            </w:r>
          </w:p>
        </w:tc>
        <w:tc>
          <w:tcPr>
            <w:tcW w:w="22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39,626</w:t>
            </w:r>
          </w:p>
        </w:tc>
        <w:tc>
          <w:tcPr>
            <w:tcW w:w="100" w:type="dxa"/>
            <w:vAlign w:val="bottom"/>
          </w:tcPr>
          <w:p>
            <w:pPr>
              <w:spacing w:after="0"/>
              <w:rPr>
                <w:sz w:val="14"/>
                <w:szCs w:val="14"/>
                <w:color w:val="auto"/>
              </w:rPr>
            </w:pPr>
          </w:p>
        </w:tc>
      </w:tr>
      <w:tr>
        <w:trPr>
          <w:trHeight w:val="169"/>
        </w:trPr>
        <w:tc>
          <w:tcPr>
            <w:tcW w:w="63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4"/>
                <w:szCs w:val="14"/>
                <w:b w:val="1"/>
                <w:bCs w:val="1"/>
                <w:color w:val="auto"/>
              </w:rPr>
              <w:t>Realized and unrealized gain (loss) on investments and debt:</w:t>
            </w:r>
          </w:p>
        </w:tc>
        <w:tc>
          <w:tcPr>
            <w:tcW w:w="220" w:type="dxa"/>
            <w:vAlign w:val="bottom"/>
            <w:shd w:val="clear" w:color="auto" w:fill="CCECFF"/>
          </w:tcPr>
          <w:p>
            <w:pPr>
              <w:spacing w:after="0"/>
              <w:rPr>
                <w:sz w:val="14"/>
                <w:szCs w:val="14"/>
                <w:color w:val="auto"/>
              </w:rPr>
            </w:pPr>
          </w:p>
        </w:tc>
        <w:tc>
          <w:tcPr>
            <w:tcW w:w="80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360" w:type="dxa"/>
            <w:vAlign w:val="bottom"/>
            <w:shd w:val="clear" w:color="auto" w:fill="CCECFF"/>
          </w:tcPr>
          <w:p>
            <w:pPr>
              <w:spacing w:after="0"/>
              <w:rPr>
                <w:sz w:val="14"/>
                <w:szCs w:val="14"/>
                <w:color w:val="auto"/>
              </w:rPr>
            </w:pPr>
          </w:p>
        </w:tc>
        <w:tc>
          <w:tcPr>
            <w:tcW w:w="68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76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360" w:type="dxa"/>
            <w:vAlign w:val="bottom"/>
            <w:shd w:val="clear" w:color="auto" w:fill="CCECFF"/>
          </w:tcPr>
          <w:p>
            <w:pPr>
              <w:spacing w:after="0"/>
              <w:rPr>
                <w:sz w:val="14"/>
                <w:szCs w:val="14"/>
                <w:color w:val="auto"/>
              </w:rPr>
            </w:pPr>
          </w:p>
        </w:tc>
        <w:tc>
          <w:tcPr>
            <w:tcW w:w="68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r>
      <w:tr>
        <w:trPr>
          <w:trHeight w:val="176"/>
        </w:trPr>
        <w:tc>
          <w:tcPr>
            <w:tcW w:w="6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realized gain (loss) on investments and debt:</w:t>
            </w: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5"/>
        </w:trPr>
        <w:tc>
          <w:tcPr>
            <w:tcW w:w="6380" w:type="dxa"/>
            <w:vAlign w:val="bottom"/>
            <w:shd w:val="clear" w:color="auto" w:fill="CCECFF"/>
          </w:tcPr>
          <w:p>
            <w:pPr>
              <w:ind w:left="200"/>
              <w:spacing w:after="0"/>
              <w:rPr>
                <w:sz w:val="20"/>
                <w:szCs w:val="20"/>
                <w:color w:val="auto"/>
              </w:rPr>
            </w:pPr>
            <w:r>
              <w:rPr>
                <w:rFonts w:ascii="Times New Roman" w:cs="Times New Roman" w:eastAsia="Times New Roman" w:hAnsi="Times New Roman"/>
                <w:sz w:val="14"/>
                <w:szCs w:val="14"/>
                <w:color w:val="auto"/>
              </w:rPr>
              <w:t>Non-controlled, non-affiliated investments</w:t>
            </w:r>
          </w:p>
        </w:tc>
        <w:tc>
          <w:tcPr>
            <w:tcW w:w="220" w:type="dxa"/>
            <w:vAlign w:val="bottom"/>
            <w:shd w:val="clear" w:color="auto" w:fill="CCECFF"/>
          </w:tcPr>
          <w:p>
            <w:pPr>
              <w:spacing w:after="0"/>
              <w:rPr>
                <w:sz w:val="15"/>
                <w:szCs w:val="15"/>
                <w:color w:val="auto"/>
              </w:rPr>
            </w:pPr>
          </w:p>
        </w:tc>
        <w:tc>
          <w:tcPr>
            <w:tcW w:w="8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515</w:t>
            </w:r>
          </w:p>
        </w:tc>
        <w:tc>
          <w:tcPr>
            <w:tcW w:w="240" w:type="dxa"/>
            <w:vAlign w:val="bottom"/>
            <w:shd w:val="clear" w:color="auto" w:fill="CCECFF"/>
          </w:tcPr>
          <w:p>
            <w:pPr>
              <w:spacing w:after="0"/>
              <w:rPr>
                <w:sz w:val="15"/>
                <w:szCs w:val="15"/>
                <w:color w:val="auto"/>
              </w:rPr>
            </w:pPr>
          </w:p>
        </w:tc>
        <w:tc>
          <w:tcPr>
            <w:tcW w:w="360" w:type="dxa"/>
            <w:vAlign w:val="bottom"/>
            <w:shd w:val="clear" w:color="auto" w:fill="CCECFF"/>
          </w:tcPr>
          <w:p>
            <w:pPr>
              <w:spacing w:after="0"/>
              <w:rPr>
                <w:sz w:val="15"/>
                <w:szCs w:val="15"/>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18,233</w:t>
            </w:r>
          </w:p>
        </w:tc>
        <w:tc>
          <w:tcPr>
            <w:tcW w:w="220" w:type="dxa"/>
            <w:vAlign w:val="bottom"/>
            <w:shd w:val="clear" w:color="auto" w:fill="CCECFF"/>
          </w:tcPr>
          <w:p>
            <w:pPr>
              <w:spacing w:after="0"/>
              <w:rPr>
                <w:sz w:val="15"/>
                <w:szCs w:val="15"/>
                <w:color w:val="auto"/>
              </w:rPr>
            </w:pPr>
          </w:p>
        </w:tc>
        <w:tc>
          <w:tcPr>
            <w:tcW w:w="220" w:type="dxa"/>
            <w:vAlign w:val="bottom"/>
            <w:shd w:val="clear" w:color="auto" w:fill="CCECFF"/>
          </w:tcPr>
          <w:p>
            <w:pPr>
              <w:spacing w:after="0"/>
              <w:rPr>
                <w:sz w:val="15"/>
                <w:szCs w:val="15"/>
                <w:color w:val="auto"/>
              </w:rPr>
            </w:pP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11,209</w:t>
            </w:r>
          </w:p>
        </w:tc>
        <w:tc>
          <w:tcPr>
            <w:tcW w:w="220" w:type="dxa"/>
            <w:vAlign w:val="bottom"/>
            <w:shd w:val="clear" w:color="auto" w:fill="CCECFF"/>
          </w:tcPr>
          <w:p>
            <w:pPr>
              <w:spacing w:after="0"/>
              <w:rPr>
                <w:sz w:val="15"/>
                <w:szCs w:val="15"/>
                <w:color w:val="auto"/>
              </w:rPr>
            </w:pPr>
          </w:p>
        </w:tc>
        <w:tc>
          <w:tcPr>
            <w:tcW w:w="360" w:type="dxa"/>
            <w:vAlign w:val="bottom"/>
            <w:shd w:val="clear" w:color="auto" w:fill="CCECFF"/>
          </w:tcPr>
          <w:p>
            <w:pPr>
              <w:spacing w:after="0"/>
              <w:rPr>
                <w:sz w:val="15"/>
                <w:szCs w:val="15"/>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24,613</w:t>
            </w:r>
          </w:p>
        </w:tc>
        <w:tc>
          <w:tcPr>
            <w:tcW w:w="100" w:type="dxa"/>
            <w:vAlign w:val="bottom"/>
            <w:shd w:val="clear" w:color="auto" w:fill="CCECFF"/>
          </w:tcPr>
          <w:p>
            <w:pPr>
              <w:spacing w:after="0"/>
              <w:rPr>
                <w:sz w:val="15"/>
                <w:szCs w:val="15"/>
                <w:color w:val="auto"/>
              </w:rPr>
            </w:pPr>
          </w:p>
        </w:tc>
      </w:tr>
      <w:tr>
        <w:trPr>
          <w:trHeight w:val="176"/>
        </w:trPr>
        <w:tc>
          <w:tcPr>
            <w:tcW w:w="63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Non-controlled and controlled, affiliated investments</w:t>
            </w:r>
          </w:p>
        </w:tc>
        <w:tc>
          <w:tcPr>
            <w:tcW w:w="220" w:type="dxa"/>
            <w:vAlign w:val="bottom"/>
          </w:tcPr>
          <w:p>
            <w:pPr>
              <w:spacing w:after="0"/>
              <w:rPr>
                <w:sz w:val="15"/>
                <w:szCs w:val="15"/>
                <w:color w:val="auto"/>
              </w:rPr>
            </w:pPr>
          </w:p>
        </w:tc>
        <w:tc>
          <w:tcPr>
            <w:tcW w:w="1040" w:type="dxa"/>
            <w:vAlign w:val="bottom"/>
            <w:gridSpan w:val="2"/>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5"/>
                <w:szCs w:val="15"/>
                <w:color w:val="auto"/>
              </w:rPr>
            </w:pPr>
          </w:p>
        </w:tc>
        <w:tc>
          <w:tcPr>
            <w:tcW w:w="900" w:type="dxa"/>
            <w:vAlign w:val="bottom"/>
            <w:gridSpan w:val="2"/>
          </w:tcPr>
          <w:p>
            <w:pPr>
              <w:jc w:val="right"/>
              <w:ind w:right="68"/>
              <w:spacing w:after="0"/>
              <w:rPr>
                <w:sz w:val="20"/>
                <w:szCs w:val="20"/>
                <w:color w:val="auto"/>
              </w:rPr>
            </w:pPr>
            <w:r>
              <w:rPr>
                <w:rFonts w:ascii="Times New Roman" w:cs="Times New Roman" w:eastAsia="Times New Roman" w:hAnsi="Times New Roman"/>
                <w:sz w:val="14"/>
                <w:szCs w:val="14"/>
                <w:color w:val="auto"/>
              </w:rPr>
              <w:t>(15,769 )</w:t>
            </w:r>
          </w:p>
        </w:tc>
        <w:tc>
          <w:tcPr>
            <w:tcW w:w="220" w:type="dxa"/>
            <w:vAlign w:val="bottom"/>
          </w:tcPr>
          <w:p>
            <w:pPr>
              <w:spacing w:after="0"/>
              <w:rPr>
                <w:sz w:val="15"/>
                <w:szCs w:val="15"/>
                <w:color w:val="auto"/>
              </w:rPr>
            </w:pPr>
          </w:p>
        </w:tc>
        <w:tc>
          <w:tcPr>
            <w:tcW w:w="980" w:type="dxa"/>
            <w:vAlign w:val="bottom"/>
            <w:gridSpan w:val="2"/>
          </w:tcPr>
          <w:p>
            <w:pPr>
              <w:jc w:val="right"/>
              <w:ind w:right="68"/>
              <w:spacing w:after="0"/>
              <w:rPr>
                <w:sz w:val="20"/>
                <w:szCs w:val="20"/>
                <w:color w:val="auto"/>
              </w:rPr>
            </w:pPr>
            <w:r>
              <w:rPr>
                <w:rFonts w:ascii="Times New Roman" w:cs="Times New Roman" w:eastAsia="Times New Roman" w:hAnsi="Times New Roman"/>
                <w:sz w:val="14"/>
                <w:szCs w:val="14"/>
                <w:color w:val="auto"/>
              </w:rPr>
              <w:t>(22,315 )</w:t>
            </w:r>
          </w:p>
        </w:tc>
        <w:tc>
          <w:tcPr>
            <w:tcW w:w="360" w:type="dxa"/>
            <w:vAlign w:val="bottom"/>
          </w:tcPr>
          <w:p>
            <w:pPr>
              <w:spacing w:after="0"/>
              <w:rPr>
                <w:sz w:val="15"/>
                <w:szCs w:val="15"/>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(37,409 )</w:t>
            </w:r>
          </w:p>
        </w:tc>
      </w:tr>
      <w:tr>
        <w:trPr>
          <w:trHeight w:val="169"/>
        </w:trPr>
        <w:tc>
          <w:tcPr>
            <w:tcW w:w="6380" w:type="dxa"/>
            <w:vAlign w:val="bottom"/>
            <w:tcBorders>
              <w:bottom w:val="single" w:sz="8" w:color="CCECFF"/>
            </w:tcBorders>
            <w:shd w:val="clear" w:color="auto" w:fill="CCECFF"/>
          </w:tcPr>
          <w:p>
            <w:pPr>
              <w:ind w:left="200"/>
              <w:spacing w:after="0"/>
              <w:rPr>
                <w:sz w:val="20"/>
                <w:szCs w:val="20"/>
                <w:color w:val="auto"/>
              </w:rPr>
            </w:pPr>
            <w:r>
              <w:rPr>
                <w:rFonts w:ascii="Times New Roman" w:cs="Times New Roman" w:eastAsia="Times New Roman" w:hAnsi="Times New Roman"/>
                <w:sz w:val="14"/>
                <w:szCs w:val="14"/>
                <w:b w:val="1"/>
                <w:bCs w:val="1"/>
                <w:color w:val="auto"/>
              </w:rPr>
              <w:t>Net realized gain (loss) on investments and debt</w:t>
            </w:r>
          </w:p>
        </w:tc>
        <w:tc>
          <w:tcPr>
            <w:tcW w:w="220" w:type="dxa"/>
            <w:vAlign w:val="bottom"/>
            <w:tcBorders>
              <w:top w:val="single" w:sz="8" w:color="auto"/>
              <w:bottom w:val="single" w:sz="8" w:color="auto"/>
            </w:tcBorders>
            <w:shd w:val="clear" w:color="auto" w:fill="CCECFF"/>
          </w:tcPr>
          <w:p>
            <w:pPr>
              <w:spacing w:after="0"/>
              <w:rPr>
                <w:sz w:val="14"/>
                <w:szCs w:val="14"/>
                <w:color w:val="auto"/>
              </w:rPr>
            </w:pPr>
          </w:p>
        </w:tc>
        <w:tc>
          <w:tcPr>
            <w:tcW w:w="80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515</w:t>
            </w:r>
          </w:p>
        </w:tc>
        <w:tc>
          <w:tcPr>
            <w:tcW w:w="240" w:type="dxa"/>
            <w:vAlign w:val="bottom"/>
            <w:tcBorders>
              <w:bottom w:val="single" w:sz="8" w:color="CCECFF"/>
            </w:tcBorders>
            <w:shd w:val="clear" w:color="auto" w:fill="CCECFF"/>
          </w:tcPr>
          <w:p>
            <w:pPr>
              <w:spacing w:after="0"/>
              <w:rPr>
                <w:sz w:val="14"/>
                <w:szCs w:val="14"/>
                <w:color w:val="auto"/>
              </w:rPr>
            </w:pPr>
          </w:p>
        </w:tc>
        <w:tc>
          <w:tcPr>
            <w:tcW w:w="360" w:type="dxa"/>
            <w:vAlign w:val="bottom"/>
            <w:tcBorders>
              <w:top w:val="single" w:sz="8" w:color="auto"/>
              <w:bottom w:val="single" w:sz="8" w:color="auto"/>
            </w:tcBorders>
            <w:shd w:val="clear" w:color="auto" w:fill="CCECFF"/>
          </w:tcPr>
          <w:p>
            <w:pPr>
              <w:spacing w:after="0"/>
              <w:rPr>
                <w:sz w:val="14"/>
                <w:szCs w:val="14"/>
                <w:color w:val="auto"/>
              </w:rPr>
            </w:pPr>
          </w:p>
        </w:tc>
        <w:tc>
          <w:tcPr>
            <w:tcW w:w="68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2,464</w:t>
            </w:r>
          </w:p>
        </w:tc>
        <w:tc>
          <w:tcPr>
            <w:tcW w:w="220" w:type="dxa"/>
            <w:vAlign w:val="bottom"/>
            <w:tcBorders>
              <w:bottom w:val="single" w:sz="8" w:color="CCECFF"/>
            </w:tcBorders>
            <w:shd w:val="clear" w:color="auto" w:fill="CCECFF"/>
          </w:tcPr>
          <w:p>
            <w:pPr>
              <w:spacing w:after="0"/>
              <w:rPr>
                <w:sz w:val="14"/>
                <w:szCs w:val="14"/>
                <w:color w:val="auto"/>
              </w:rPr>
            </w:pPr>
          </w:p>
        </w:tc>
        <w:tc>
          <w:tcPr>
            <w:tcW w:w="220" w:type="dxa"/>
            <w:vAlign w:val="bottom"/>
            <w:tcBorders>
              <w:top w:val="single" w:sz="8" w:color="auto"/>
              <w:bottom w:val="single" w:sz="8" w:color="auto"/>
            </w:tcBorders>
            <w:shd w:val="clear" w:color="auto" w:fill="CCECFF"/>
          </w:tcPr>
          <w:p>
            <w:pPr>
              <w:spacing w:after="0"/>
              <w:rPr>
                <w:sz w:val="14"/>
                <w:szCs w:val="14"/>
                <w:color w:val="auto"/>
              </w:rPr>
            </w:pPr>
          </w:p>
        </w:tc>
        <w:tc>
          <w:tcPr>
            <w:tcW w:w="76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(11,106</w:t>
            </w:r>
          </w:p>
        </w:tc>
        <w:tc>
          <w:tcPr>
            <w:tcW w:w="220" w:type="dxa"/>
            <w:vAlign w:val="bottom"/>
            <w:tcBorders>
              <w:bottom w:val="single" w:sz="8" w:color="CCECFF"/>
            </w:tcBorders>
            <w:shd w:val="clear" w:color="auto" w:fill="CCEC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Borders>
              <w:top w:val="single" w:sz="8" w:color="auto"/>
              <w:bottom w:val="single" w:sz="8" w:color="auto"/>
            </w:tcBorders>
            <w:shd w:val="clear" w:color="auto" w:fill="CCECFF"/>
          </w:tcPr>
          <w:p>
            <w:pPr>
              <w:spacing w:after="0"/>
              <w:rPr>
                <w:sz w:val="14"/>
                <w:szCs w:val="14"/>
                <w:color w:val="auto"/>
              </w:rPr>
            </w:pPr>
          </w:p>
        </w:tc>
        <w:tc>
          <w:tcPr>
            <w:tcW w:w="68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(12,796</w:t>
            </w:r>
          </w:p>
        </w:tc>
        <w:tc>
          <w:tcPr>
            <w:tcW w:w="10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w w:val="84"/>
              </w:rPr>
              <w:t>)</w:t>
            </w:r>
          </w:p>
        </w:tc>
      </w:tr>
      <w:tr>
        <w:trPr>
          <w:trHeight w:val="169"/>
        </w:trPr>
        <w:tc>
          <w:tcPr>
            <w:tcW w:w="6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change in unrealized appreciation (depreciation) on:</w:t>
            </w: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5"/>
        </w:trPr>
        <w:tc>
          <w:tcPr>
            <w:tcW w:w="6380" w:type="dxa"/>
            <w:vAlign w:val="bottom"/>
            <w:shd w:val="clear" w:color="auto" w:fill="CCECFF"/>
          </w:tcPr>
          <w:p>
            <w:pPr>
              <w:ind w:left="200"/>
              <w:spacing w:after="0"/>
              <w:rPr>
                <w:sz w:val="20"/>
                <w:szCs w:val="20"/>
                <w:color w:val="auto"/>
              </w:rPr>
            </w:pPr>
            <w:r>
              <w:rPr>
                <w:rFonts w:ascii="Times New Roman" w:cs="Times New Roman" w:eastAsia="Times New Roman" w:hAnsi="Times New Roman"/>
                <w:sz w:val="14"/>
                <w:szCs w:val="14"/>
                <w:color w:val="auto"/>
              </w:rPr>
              <w:t>Non-controlled, non-affiliated investments</w:t>
            </w:r>
          </w:p>
        </w:tc>
        <w:tc>
          <w:tcPr>
            <w:tcW w:w="220" w:type="dxa"/>
            <w:vAlign w:val="bottom"/>
            <w:shd w:val="clear" w:color="auto" w:fill="CCECFF"/>
          </w:tcPr>
          <w:p>
            <w:pPr>
              <w:spacing w:after="0"/>
              <w:rPr>
                <w:sz w:val="15"/>
                <w:szCs w:val="15"/>
                <w:color w:val="auto"/>
              </w:rPr>
            </w:pPr>
          </w:p>
        </w:tc>
        <w:tc>
          <w:tcPr>
            <w:tcW w:w="1040" w:type="dxa"/>
            <w:vAlign w:val="bottom"/>
            <w:gridSpan w:val="2"/>
            <w:shd w:val="clear" w:color="auto" w:fill="CCECFF"/>
          </w:tcPr>
          <w:p>
            <w:pPr>
              <w:jc w:val="right"/>
              <w:ind w:right="108"/>
              <w:spacing w:after="0"/>
              <w:rPr>
                <w:sz w:val="20"/>
                <w:szCs w:val="20"/>
                <w:color w:val="auto"/>
              </w:rPr>
            </w:pPr>
            <w:r>
              <w:rPr>
                <w:rFonts w:ascii="Times New Roman" w:cs="Times New Roman" w:eastAsia="Times New Roman" w:hAnsi="Times New Roman"/>
                <w:sz w:val="14"/>
                <w:szCs w:val="14"/>
                <w:color w:val="auto"/>
              </w:rPr>
              <w:t>(9,766 )</w:t>
            </w:r>
          </w:p>
        </w:tc>
        <w:tc>
          <w:tcPr>
            <w:tcW w:w="360" w:type="dxa"/>
            <w:vAlign w:val="bottom"/>
            <w:shd w:val="clear" w:color="auto" w:fill="CCECFF"/>
          </w:tcPr>
          <w:p>
            <w:pPr>
              <w:spacing w:after="0"/>
              <w:rPr>
                <w:sz w:val="15"/>
                <w:szCs w:val="15"/>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2,474</w:t>
            </w:r>
          </w:p>
        </w:tc>
        <w:tc>
          <w:tcPr>
            <w:tcW w:w="220" w:type="dxa"/>
            <w:vAlign w:val="bottom"/>
            <w:shd w:val="clear" w:color="auto" w:fill="CCECFF"/>
          </w:tcPr>
          <w:p>
            <w:pPr>
              <w:spacing w:after="0"/>
              <w:rPr>
                <w:sz w:val="15"/>
                <w:szCs w:val="15"/>
                <w:color w:val="auto"/>
              </w:rPr>
            </w:pPr>
          </w:p>
        </w:tc>
        <w:tc>
          <w:tcPr>
            <w:tcW w:w="220" w:type="dxa"/>
            <w:vAlign w:val="bottom"/>
            <w:shd w:val="clear" w:color="auto" w:fill="CCECFF"/>
          </w:tcPr>
          <w:p>
            <w:pPr>
              <w:spacing w:after="0"/>
              <w:rPr>
                <w:sz w:val="15"/>
                <w:szCs w:val="15"/>
                <w:color w:val="auto"/>
              </w:rPr>
            </w:pPr>
          </w:p>
        </w:tc>
        <w:tc>
          <w:tcPr>
            <w:tcW w:w="980" w:type="dxa"/>
            <w:vAlign w:val="bottom"/>
            <w:gridSpan w:val="2"/>
            <w:shd w:val="clear" w:color="auto" w:fill="CCECFF"/>
          </w:tcPr>
          <w:p>
            <w:pPr>
              <w:jc w:val="right"/>
              <w:ind w:right="68"/>
              <w:spacing w:after="0"/>
              <w:rPr>
                <w:sz w:val="20"/>
                <w:szCs w:val="20"/>
                <w:color w:val="auto"/>
              </w:rPr>
            </w:pPr>
            <w:r>
              <w:rPr>
                <w:rFonts w:ascii="Times New Roman" w:cs="Times New Roman" w:eastAsia="Times New Roman" w:hAnsi="Times New Roman"/>
                <w:sz w:val="14"/>
                <w:szCs w:val="14"/>
                <w:color w:val="auto"/>
              </w:rPr>
              <w:t>(22,009 )</w:t>
            </w:r>
          </w:p>
        </w:tc>
        <w:tc>
          <w:tcPr>
            <w:tcW w:w="360" w:type="dxa"/>
            <w:vAlign w:val="bottom"/>
            <w:shd w:val="clear" w:color="auto" w:fill="CCECFF"/>
          </w:tcPr>
          <w:p>
            <w:pPr>
              <w:spacing w:after="0"/>
              <w:rPr>
                <w:sz w:val="15"/>
                <w:szCs w:val="15"/>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30,881</w:t>
            </w:r>
          </w:p>
        </w:tc>
        <w:tc>
          <w:tcPr>
            <w:tcW w:w="100" w:type="dxa"/>
            <w:vAlign w:val="bottom"/>
            <w:shd w:val="clear" w:color="auto" w:fill="CCECFF"/>
          </w:tcPr>
          <w:p>
            <w:pPr>
              <w:spacing w:after="0"/>
              <w:rPr>
                <w:sz w:val="15"/>
                <w:szCs w:val="15"/>
                <w:color w:val="auto"/>
              </w:rPr>
            </w:pPr>
          </w:p>
        </w:tc>
      </w:tr>
      <w:tr>
        <w:trPr>
          <w:trHeight w:val="175"/>
        </w:trPr>
        <w:tc>
          <w:tcPr>
            <w:tcW w:w="63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Non-controlled and controlled, affiliated investments</w:t>
            </w:r>
          </w:p>
        </w:tc>
        <w:tc>
          <w:tcPr>
            <w:tcW w:w="220" w:type="dxa"/>
            <w:vAlign w:val="bottom"/>
          </w:tcPr>
          <w:p>
            <w:pPr>
              <w:spacing w:after="0"/>
              <w:rPr>
                <w:sz w:val="15"/>
                <w:szCs w:val="15"/>
                <w:color w:val="auto"/>
              </w:rPr>
            </w:pPr>
          </w:p>
        </w:tc>
        <w:tc>
          <w:tcPr>
            <w:tcW w:w="104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color w:val="auto"/>
              </w:rPr>
              <w:t>(11,100 )</w:t>
            </w:r>
          </w:p>
        </w:tc>
        <w:tc>
          <w:tcPr>
            <w:tcW w:w="360" w:type="dxa"/>
            <w:vAlign w:val="bottom"/>
          </w:tcPr>
          <w:p>
            <w:pPr>
              <w:spacing w:after="0"/>
              <w:rPr>
                <w:sz w:val="15"/>
                <w:szCs w:val="15"/>
                <w:color w:val="auto"/>
              </w:rPr>
            </w:pPr>
          </w:p>
        </w:tc>
        <w:tc>
          <w:tcPr>
            <w:tcW w:w="900" w:type="dxa"/>
            <w:vAlign w:val="bottom"/>
            <w:gridSpan w:val="2"/>
          </w:tcPr>
          <w:p>
            <w:pPr>
              <w:jc w:val="right"/>
              <w:ind w:right="68"/>
              <w:spacing w:after="0"/>
              <w:rPr>
                <w:sz w:val="20"/>
                <w:szCs w:val="20"/>
                <w:color w:val="auto"/>
              </w:rPr>
            </w:pPr>
            <w:r>
              <w:rPr>
                <w:rFonts w:ascii="Times New Roman" w:cs="Times New Roman" w:eastAsia="Times New Roman" w:hAnsi="Times New Roman"/>
                <w:sz w:val="14"/>
                <w:szCs w:val="14"/>
                <w:color w:val="auto"/>
              </w:rPr>
              <w:t>(9,956 )</w:t>
            </w:r>
          </w:p>
        </w:tc>
        <w:tc>
          <w:tcPr>
            <w:tcW w:w="220" w:type="dxa"/>
            <w:vAlign w:val="bottom"/>
          </w:tcPr>
          <w:p>
            <w:pPr>
              <w:spacing w:after="0"/>
              <w:rPr>
                <w:sz w:val="15"/>
                <w:szCs w:val="15"/>
                <w:color w:val="auto"/>
              </w:rPr>
            </w:pPr>
          </w:p>
        </w:tc>
        <w:tc>
          <w:tcPr>
            <w:tcW w:w="980" w:type="dxa"/>
            <w:vAlign w:val="bottom"/>
            <w:gridSpan w:val="2"/>
          </w:tcPr>
          <w:p>
            <w:pPr>
              <w:jc w:val="right"/>
              <w:ind w:right="68"/>
              <w:spacing w:after="0"/>
              <w:rPr>
                <w:sz w:val="20"/>
                <w:szCs w:val="20"/>
                <w:color w:val="auto"/>
              </w:rPr>
            </w:pPr>
            <w:r>
              <w:rPr>
                <w:rFonts w:ascii="Times New Roman" w:cs="Times New Roman" w:eastAsia="Times New Roman" w:hAnsi="Times New Roman"/>
                <w:sz w:val="14"/>
                <w:szCs w:val="14"/>
                <w:color w:val="auto"/>
              </w:rPr>
              <w:t>(2,503 )</w:t>
            </w:r>
          </w:p>
        </w:tc>
        <w:tc>
          <w:tcPr>
            <w:tcW w:w="3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10,414</w:t>
            </w:r>
          </w:p>
        </w:tc>
        <w:tc>
          <w:tcPr>
            <w:tcW w:w="100" w:type="dxa"/>
            <w:vAlign w:val="bottom"/>
          </w:tcPr>
          <w:p>
            <w:pPr>
              <w:spacing w:after="0"/>
              <w:rPr>
                <w:sz w:val="15"/>
                <w:szCs w:val="15"/>
                <w:color w:val="auto"/>
              </w:rPr>
            </w:pPr>
          </w:p>
        </w:tc>
      </w:tr>
      <w:tr>
        <w:trPr>
          <w:trHeight w:val="176"/>
        </w:trPr>
        <w:tc>
          <w:tcPr>
            <w:tcW w:w="6380" w:type="dxa"/>
            <w:vAlign w:val="bottom"/>
            <w:shd w:val="clear" w:color="auto" w:fill="CCECFF"/>
          </w:tcPr>
          <w:p>
            <w:pPr>
              <w:ind w:left="200"/>
              <w:spacing w:after="0"/>
              <w:rPr>
                <w:sz w:val="20"/>
                <w:szCs w:val="20"/>
                <w:color w:val="auto"/>
              </w:rPr>
            </w:pPr>
            <w:r>
              <w:rPr>
                <w:rFonts w:ascii="Times New Roman" w:cs="Times New Roman" w:eastAsia="Times New Roman" w:hAnsi="Times New Roman"/>
                <w:sz w:val="14"/>
                <w:szCs w:val="14"/>
                <w:color w:val="auto"/>
              </w:rPr>
              <w:t>Provision for taxes on unrealized appreciation on investments</w:t>
            </w:r>
          </w:p>
        </w:tc>
        <w:tc>
          <w:tcPr>
            <w:tcW w:w="220" w:type="dxa"/>
            <w:vAlign w:val="bottom"/>
            <w:shd w:val="clear" w:color="auto" w:fill="CCECFF"/>
          </w:tcPr>
          <w:p>
            <w:pPr>
              <w:spacing w:after="0"/>
              <w:rPr>
                <w:sz w:val="15"/>
                <w:szCs w:val="15"/>
                <w:color w:val="auto"/>
              </w:rPr>
            </w:pPr>
          </w:p>
        </w:tc>
        <w:tc>
          <w:tcPr>
            <w:tcW w:w="8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772</w:t>
            </w:r>
          </w:p>
        </w:tc>
        <w:tc>
          <w:tcPr>
            <w:tcW w:w="240" w:type="dxa"/>
            <w:vAlign w:val="bottom"/>
            <w:shd w:val="clear" w:color="auto" w:fill="CCECFF"/>
          </w:tcPr>
          <w:p>
            <w:pPr>
              <w:spacing w:after="0"/>
              <w:rPr>
                <w:sz w:val="15"/>
                <w:szCs w:val="15"/>
                <w:color w:val="auto"/>
              </w:rPr>
            </w:pPr>
          </w:p>
        </w:tc>
        <w:tc>
          <w:tcPr>
            <w:tcW w:w="360" w:type="dxa"/>
            <w:vAlign w:val="bottom"/>
            <w:shd w:val="clear" w:color="auto" w:fill="CCECFF"/>
          </w:tcPr>
          <w:p>
            <w:pPr>
              <w:spacing w:after="0"/>
              <w:rPr>
                <w:sz w:val="15"/>
                <w:szCs w:val="15"/>
                <w:color w:val="auto"/>
              </w:rPr>
            </w:pPr>
          </w:p>
        </w:tc>
        <w:tc>
          <w:tcPr>
            <w:tcW w:w="900" w:type="dxa"/>
            <w:vAlign w:val="bottom"/>
            <w:gridSpan w:val="2"/>
            <w:shd w:val="clear" w:color="auto" w:fill="CCEC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CFF"/>
          </w:tcPr>
          <w:p>
            <w:pPr>
              <w:spacing w:after="0"/>
              <w:rPr>
                <w:sz w:val="15"/>
                <w:szCs w:val="15"/>
                <w:color w:val="auto"/>
              </w:rPr>
            </w:pPr>
          </w:p>
        </w:tc>
        <w:tc>
          <w:tcPr>
            <w:tcW w:w="980" w:type="dxa"/>
            <w:vAlign w:val="bottom"/>
            <w:gridSpan w:val="2"/>
            <w:shd w:val="clear" w:color="auto" w:fill="CCECFF"/>
          </w:tcPr>
          <w:p>
            <w:pPr>
              <w:jc w:val="right"/>
              <w:ind w:right="68"/>
              <w:spacing w:after="0"/>
              <w:rPr>
                <w:sz w:val="20"/>
                <w:szCs w:val="20"/>
                <w:color w:val="auto"/>
              </w:rPr>
            </w:pPr>
            <w:r>
              <w:rPr>
                <w:rFonts w:ascii="Times New Roman" w:cs="Times New Roman" w:eastAsia="Times New Roman" w:hAnsi="Times New Roman"/>
                <w:sz w:val="14"/>
                <w:szCs w:val="14"/>
                <w:color w:val="auto"/>
              </w:rPr>
              <w:t>(4,568 )</w:t>
            </w:r>
          </w:p>
        </w:tc>
        <w:tc>
          <w:tcPr>
            <w:tcW w:w="360" w:type="dxa"/>
            <w:vAlign w:val="bottom"/>
            <w:shd w:val="clear" w:color="auto" w:fill="CCECFF"/>
          </w:tcPr>
          <w:p>
            <w:pPr>
              <w:spacing w:after="0"/>
              <w:rPr>
                <w:sz w:val="15"/>
                <w:szCs w:val="15"/>
                <w:color w:val="auto"/>
              </w:rPr>
            </w:pPr>
          </w:p>
        </w:tc>
        <w:tc>
          <w:tcPr>
            <w:tcW w:w="780" w:type="dxa"/>
            <w:vAlign w:val="bottom"/>
            <w:gridSpan w:val="2"/>
            <w:shd w:val="clear" w:color="auto" w:fill="CCEC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r>
      <w:tr>
        <w:trPr>
          <w:trHeight w:val="175"/>
        </w:trPr>
        <w:tc>
          <w:tcPr>
            <w:tcW w:w="63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Debt (appreciation) depreciation</w:t>
            </w:r>
          </w:p>
        </w:tc>
        <w:tc>
          <w:tcPr>
            <w:tcW w:w="220" w:type="dxa"/>
            <w:vAlign w:val="bottom"/>
          </w:tcPr>
          <w:p>
            <w:pPr>
              <w:spacing w:after="0"/>
              <w:rPr>
                <w:sz w:val="15"/>
                <w:szCs w:val="15"/>
                <w:color w:val="auto"/>
              </w:rPr>
            </w:pPr>
          </w:p>
        </w:tc>
        <w:tc>
          <w:tcPr>
            <w:tcW w:w="104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color w:val="auto"/>
              </w:rPr>
              <w:t>(6,216 )</w:t>
            </w:r>
          </w:p>
        </w:tc>
        <w:tc>
          <w:tcPr>
            <w:tcW w:w="360" w:type="dxa"/>
            <w:vAlign w:val="bottom"/>
          </w:tcPr>
          <w:p>
            <w:pPr>
              <w:spacing w:after="0"/>
              <w:rPr>
                <w:sz w:val="15"/>
                <w:szCs w:val="15"/>
                <w:color w:val="auto"/>
              </w:rPr>
            </w:pPr>
          </w:p>
        </w:tc>
        <w:tc>
          <w:tcPr>
            <w:tcW w:w="900" w:type="dxa"/>
            <w:vAlign w:val="bottom"/>
            <w:gridSpan w:val="2"/>
          </w:tcPr>
          <w:p>
            <w:pPr>
              <w:jc w:val="right"/>
              <w:ind w:right="68"/>
              <w:spacing w:after="0"/>
              <w:rPr>
                <w:sz w:val="20"/>
                <w:szCs w:val="20"/>
                <w:color w:val="auto"/>
              </w:rPr>
            </w:pPr>
            <w:r>
              <w:rPr>
                <w:rFonts w:ascii="Times New Roman" w:cs="Times New Roman" w:eastAsia="Times New Roman" w:hAnsi="Times New Roman"/>
                <w:sz w:val="14"/>
                <w:szCs w:val="14"/>
                <w:color w:val="auto"/>
              </w:rPr>
              <w:t>(292 )</w:t>
            </w:r>
          </w:p>
        </w:tc>
        <w:tc>
          <w:tcPr>
            <w:tcW w:w="220" w:type="dxa"/>
            <w:vAlign w:val="bottom"/>
          </w:tcPr>
          <w:p>
            <w:pPr>
              <w:spacing w:after="0"/>
              <w:rPr>
                <w:sz w:val="15"/>
                <w:szCs w:val="15"/>
                <w:color w:val="auto"/>
              </w:rPr>
            </w:pPr>
          </w:p>
        </w:tc>
        <w:tc>
          <w:tcPr>
            <w:tcW w:w="980" w:type="dxa"/>
            <w:vAlign w:val="bottom"/>
            <w:gridSpan w:val="2"/>
          </w:tcPr>
          <w:p>
            <w:pPr>
              <w:jc w:val="right"/>
              <w:ind w:right="68"/>
              <w:spacing w:after="0"/>
              <w:rPr>
                <w:sz w:val="20"/>
                <w:szCs w:val="20"/>
                <w:color w:val="auto"/>
              </w:rPr>
            </w:pPr>
            <w:r>
              <w:rPr>
                <w:rFonts w:ascii="Times New Roman" w:cs="Times New Roman" w:eastAsia="Times New Roman" w:hAnsi="Times New Roman"/>
                <w:sz w:val="14"/>
                <w:szCs w:val="14"/>
                <w:color w:val="auto"/>
              </w:rPr>
              <w:t>(4,943 )</w:t>
            </w:r>
          </w:p>
        </w:tc>
        <w:tc>
          <w:tcPr>
            <w:tcW w:w="360" w:type="dxa"/>
            <w:vAlign w:val="bottom"/>
          </w:tcPr>
          <w:p>
            <w:pPr>
              <w:spacing w:after="0"/>
              <w:rPr>
                <w:sz w:val="15"/>
                <w:szCs w:val="15"/>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(11,609 )</w:t>
            </w:r>
          </w:p>
        </w:tc>
      </w:tr>
      <w:tr>
        <w:trPr>
          <w:trHeight w:val="169"/>
        </w:trPr>
        <w:tc>
          <w:tcPr>
            <w:tcW w:w="6380" w:type="dxa"/>
            <w:vAlign w:val="bottom"/>
            <w:tcBorders>
              <w:bottom w:val="single" w:sz="8" w:color="CCECFF"/>
            </w:tcBorders>
            <w:shd w:val="clear" w:color="auto" w:fill="CCECFF"/>
          </w:tcPr>
          <w:p>
            <w:pPr>
              <w:ind w:left="200"/>
              <w:spacing w:after="0"/>
              <w:rPr>
                <w:sz w:val="20"/>
                <w:szCs w:val="20"/>
                <w:color w:val="auto"/>
              </w:rPr>
            </w:pPr>
            <w:r>
              <w:rPr>
                <w:rFonts w:ascii="Times New Roman" w:cs="Times New Roman" w:eastAsia="Times New Roman" w:hAnsi="Times New Roman"/>
                <w:sz w:val="14"/>
                <w:szCs w:val="14"/>
                <w:b w:val="1"/>
                <w:bCs w:val="1"/>
                <w:color w:val="auto"/>
              </w:rPr>
              <w:t>Net change in unrealized appreciation (depreciation) on investments and debt</w:t>
            </w:r>
          </w:p>
        </w:tc>
        <w:tc>
          <w:tcPr>
            <w:tcW w:w="220" w:type="dxa"/>
            <w:vAlign w:val="bottom"/>
            <w:tcBorders>
              <w:top w:val="single" w:sz="8" w:color="auto"/>
              <w:bottom w:val="single" w:sz="8" w:color="auto"/>
            </w:tcBorders>
            <w:shd w:val="clear" w:color="auto" w:fill="CCECFF"/>
          </w:tcPr>
          <w:p>
            <w:pPr>
              <w:spacing w:after="0"/>
              <w:rPr>
                <w:sz w:val="14"/>
                <w:szCs w:val="14"/>
                <w:color w:val="auto"/>
              </w:rPr>
            </w:pPr>
          </w:p>
        </w:tc>
        <w:tc>
          <w:tcPr>
            <w:tcW w:w="80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(26,310</w:t>
            </w:r>
          </w:p>
        </w:tc>
        <w:tc>
          <w:tcPr>
            <w:tcW w:w="240" w:type="dxa"/>
            <w:vAlign w:val="bottom"/>
            <w:tcBorders>
              <w:bottom w:val="single" w:sz="8" w:color="CCECFF"/>
            </w:tcBorders>
            <w:shd w:val="clear" w:color="auto" w:fill="CCECFF"/>
          </w:tcPr>
          <w:p>
            <w:pPr>
              <w:jc w:val="right"/>
              <w:ind w:right="108"/>
              <w:spacing w:after="0"/>
              <w:rPr>
                <w:sz w:val="20"/>
                <w:szCs w:val="20"/>
                <w:color w:val="auto"/>
              </w:rPr>
            </w:pPr>
            <w:r>
              <w:rPr>
                <w:rFonts w:ascii="Times New Roman" w:cs="Times New Roman" w:eastAsia="Times New Roman" w:hAnsi="Times New Roman"/>
                <w:sz w:val="14"/>
                <w:szCs w:val="14"/>
                <w:color w:val="auto"/>
                <w:w w:val="84"/>
              </w:rPr>
              <w:t>)</w:t>
            </w:r>
          </w:p>
        </w:tc>
        <w:tc>
          <w:tcPr>
            <w:tcW w:w="360" w:type="dxa"/>
            <w:vAlign w:val="bottom"/>
            <w:tcBorders>
              <w:top w:val="single" w:sz="8" w:color="auto"/>
              <w:bottom w:val="single" w:sz="8" w:color="auto"/>
            </w:tcBorders>
            <w:shd w:val="clear" w:color="auto" w:fill="CCECFF"/>
          </w:tcPr>
          <w:p>
            <w:pPr>
              <w:spacing w:after="0"/>
              <w:rPr>
                <w:sz w:val="14"/>
                <w:szCs w:val="14"/>
                <w:color w:val="auto"/>
              </w:rPr>
            </w:pPr>
          </w:p>
        </w:tc>
        <w:tc>
          <w:tcPr>
            <w:tcW w:w="68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(7,774</w:t>
            </w:r>
          </w:p>
        </w:tc>
        <w:tc>
          <w:tcPr>
            <w:tcW w:w="220" w:type="dxa"/>
            <w:vAlign w:val="bottom"/>
            <w:tcBorders>
              <w:bottom w:val="single" w:sz="8" w:color="CCECFF"/>
            </w:tcBorders>
            <w:shd w:val="clear" w:color="auto" w:fill="CCEC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top w:val="single" w:sz="8" w:color="auto"/>
              <w:bottom w:val="single" w:sz="8" w:color="auto"/>
            </w:tcBorders>
            <w:shd w:val="clear" w:color="auto" w:fill="CCECFF"/>
          </w:tcPr>
          <w:p>
            <w:pPr>
              <w:spacing w:after="0"/>
              <w:rPr>
                <w:sz w:val="14"/>
                <w:szCs w:val="14"/>
                <w:color w:val="auto"/>
              </w:rPr>
            </w:pPr>
          </w:p>
        </w:tc>
        <w:tc>
          <w:tcPr>
            <w:tcW w:w="76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(34,023</w:t>
            </w:r>
          </w:p>
        </w:tc>
        <w:tc>
          <w:tcPr>
            <w:tcW w:w="220" w:type="dxa"/>
            <w:vAlign w:val="bottom"/>
            <w:tcBorders>
              <w:bottom w:val="single" w:sz="8" w:color="CCECFF"/>
            </w:tcBorders>
            <w:shd w:val="clear" w:color="auto" w:fill="CCEC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Borders>
              <w:top w:val="single" w:sz="8" w:color="auto"/>
              <w:bottom w:val="single" w:sz="8" w:color="auto"/>
            </w:tcBorders>
            <w:shd w:val="clear" w:color="auto" w:fill="CCECFF"/>
          </w:tcPr>
          <w:p>
            <w:pPr>
              <w:spacing w:after="0"/>
              <w:rPr>
                <w:sz w:val="14"/>
                <w:szCs w:val="14"/>
                <w:color w:val="auto"/>
              </w:rPr>
            </w:pPr>
          </w:p>
        </w:tc>
        <w:tc>
          <w:tcPr>
            <w:tcW w:w="68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29,686</w:t>
            </w:r>
          </w:p>
        </w:tc>
        <w:tc>
          <w:tcPr>
            <w:tcW w:w="100" w:type="dxa"/>
            <w:vAlign w:val="bottom"/>
            <w:tcBorders>
              <w:bottom w:val="single" w:sz="8" w:color="CCECFF"/>
            </w:tcBorders>
            <w:shd w:val="clear" w:color="auto" w:fill="CCECFF"/>
          </w:tcPr>
          <w:p>
            <w:pPr>
              <w:spacing w:after="0"/>
              <w:rPr>
                <w:sz w:val="14"/>
                <w:szCs w:val="14"/>
                <w:color w:val="auto"/>
              </w:rPr>
            </w:pPr>
          </w:p>
        </w:tc>
      </w:tr>
      <w:tr>
        <w:trPr>
          <w:trHeight w:val="169"/>
        </w:trPr>
        <w:tc>
          <w:tcPr>
            <w:tcW w:w="63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Net realized and unrealized gain (loss) from investments and debt</w:t>
            </w:r>
          </w:p>
        </w:tc>
        <w:tc>
          <w:tcPr>
            <w:tcW w:w="220" w:type="dxa"/>
            <w:vAlign w:val="bottom"/>
          </w:tcPr>
          <w:p>
            <w:pPr>
              <w:spacing w:after="0"/>
              <w:rPr>
                <w:sz w:val="14"/>
                <w:szCs w:val="14"/>
                <w:color w:val="auto"/>
              </w:rPr>
            </w:pPr>
          </w:p>
        </w:tc>
        <w:tc>
          <w:tcPr>
            <w:tcW w:w="104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color w:val="auto"/>
              </w:rPr>
              <w:t>(25,795 )</w:t>
            </w:r>
          </w:p>
        </w:tc>
        <w:tc>
          <w:tcPr>
            <w:tcW w:w="360" w:type="dxa"/>
            <w:vAlign w:val="bottom"/>
          </w:tcPr>
          <w:p>
            <w:pPr>
              <w:spacing w:after="0"/>
              <w:rPr>
                <w:sz w:val="14"/>
                <w:szCs w:val="14"/>
                <w:color w:val="auto"/>
              </w:rPr>
            </w:pPr>
          </w:p>
        </w:tc>
        <w:tc>
          <w:tcPr>
            <w:tcW w:w="900" w:type="dxa"/>
            <w:vAlign w:val="bottom"/>
            <w:gridSpan w:val="2"/>
          </w:tcPr>
          <w:p>
            <w:pPr>
              <w:jc w:val="right"/>
              <w:ind w:right="68"/>
              <w:spacing w:after="0"/>
              <w:rPr>
                <w:sz w:val="20"/>
                <w:szCs w:val="20"/>
                <w:color w:val="auto"/>
              </w:rPr>
            </w:pPr>
            <w:r>
              <w:rPr>
                <w:rFonts w:ascii="Times New Roman" w:cs="Times New Roman" w:eastAsia="Times New Roman" w:hAnsi="Times New Roman"/>
                <w:sz w:val="14"/>
                <w:szCs w:val="14"/>
                <w:color w:val="auto"/>
              </w:rPr>
              <w:t>(5,310 )</w:t>
            </w:r>
          </w:p>
        </w:tc>
        <w:tc>
          <w:tcPr>
            <w:tcW w:w="220" w:type="dxa"/>
            <w:vAlign w:val="bottom"/>
          </w:tcPr>
          <w:p>
            <w:pPr>
              <w:spacing w:after="0"/>
              <w:rPr>
                <w:sz w:val="14"/>
                <w:szCs w:val="14"/>
                <w:color w:val="auto"/>
              </w:rPr>
            </w:pPr>
          </w:p>
        </w:tc>
        <w:tc>
          <w:tcPr>
            <w:tcW w:w="980" w:type="dxa"/>
            <w:vAlign w:val="bottom"/>
            <w:gridSpan w:val="2"/>
          </w:tcPr>
          <w:p>
            <w:pPr>
              <w:jc w:val="right"/>
              <w:ind w:right="68"/>
              <w:spacing w:after="0"/>
              <w:rPr>
                <w:sz w:val="20"/>
                <w:szCs w:val="20"/>
                <w:color w:val="auto"/>
              </w:rPr>
            </w:pPr>
            <w:r>
              <w:rPr>
                <w:rFonts w:ascii="Times New Roman" w:cs="Times New Roman" w:eastAsia="Times New Roman" w:hAnsi="Times New Roman"/>
                <w:sz w:val="14"/>
                <w:szCs w:val="14"/>
                <w:color w:val="auto"/>
              </w:rPr>
              <w:t>(45,129 )</w:t>
            </w:r>
          </w:p>
        </w:tc>
        <w:tc>
          <w:tcPr>
            <w:tcW w:w="3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16,890</w:t>
            </w:r>
          </w:p>
        </w:tc>
        <w:tc>
          <w:tcPr>
            <w:tcW w:w="100" w:type="dxa"/>
            <w:vAlign w:val="bottom"/>
          </w:tcPr>
          <w:p>
            <w:pPr>
              <w:spacing w:after="0"/>
              <w:rPr>
                <w:sz w:val="14"/>
                <w:szCs w:val="14"/>
                <w:color w:val="auto"/>
              </w:rPr>
            </w:pPr>
          </w:p>
        </w:tc>
      </w:tr>
      <w:tr>
        <w:trPr>
          <w:trHeight w:val="209"/>
        </w:trPr>
        <w:tc>
          <w:tcPr>
            <w:tcW w:w="6380" w:type="dxa"/>
            <w:vAlign w:val="bottom"/>
            <w:tcBorders>
              <w:bottom w:val="single" w:sz="8" w:color="CCECFF"/>
            </w:tcBorders>
            <w:shd w:val="clear" w:color="auto" w:fill="CCECFF"/>
          </w:tcPr>
          <w:p>
            <w:pPr>
              <w:ind w:left="20"/>
              <w:spacing w:after="0" w:line="155" w:lineRule="exact"/>
              <w:rPr>
                <w:sz w:val="20"/>
                <w:szCs w:val="20"/>
                <w:color w:val="auto"/>
              </w:rPr>
            </w:pPr>
            <w:r>
              <w:rPr>
                <w:rFonts w:ascii="Times New Roman" w:cs="Times New Roman" w:eastAsia="Times New Roman" w:hAnsi="Times New Roman"/>
                <w:sz w:val="14"/>
                <w:szCs w:val="14"/>
                <w:b w:val="1"/>
                <w:bCs w:val="1"/>
                <w:color w:val="auto"/>
              </w:rPr>
              <w:t>Net increase (decrease) in net assets resulting from operations</w:t>
            </w:r>
          </w:p>
        </w:tc>
        <w:tc>
          <w:tcPr>
            <w:tcW w:w="220" w:type="dxa"/>
            <w:vAlign w:val="bottom"/>
            <w:tcBorders>
              <w:top w:val="single" w:sz="8" w:color="auto"/>
              <w:bottom w:val="single" w:sz="8" w:color="auto"/>
            </w:tcBorders>
            <w:shd w:val="clear" w:color="auto" w:fill="CCECFF"/>
          </w:tcPr>
          <w:p>
            <w:pPr>
              <w:spacing w:after="0"/>
              <w:rPr>
                <w:sz w:val="18"/>
                <w:szCs w:val="18"/>
                <w:color w:val="auto"/>
              </w:rPr>
            </w:pPr>
          </w:p>
        </w:tc>
        <w:tc>
          <w:tcPr>
            <w:tcW w:w="80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Times New Roman" w:cs="Times New Roman" w:eastAsia="Times New Roman" w:hAnsi="Times New Roman"/>
                <w:sz w:val="14"/>
                <w:szCs w:val="14"/>
                <w:color w:val="auto"/>
              </w:rPr>
              <w:t>(13,139</w:t>
            </w:r>
          </w:p>
        </w:tc>
        <w:tc>
          <w:tcPr>
            <w:tcW w:w="240" w:type="dxa"/>
            <w:vAlign w:val="bottom"/>
            <w:tcBorders>
              <w:bottom w:val="single" w:sz="8" w:color="CCECFF"/>
            </w:tcBorders>
            <w:shd w:val="clear" w:color="auto" w:fill="CCECFF"/>
          </w:tcPr>
          <w:p>
            <w:pPr>
              <w:jc w:val="right"/>
              <w:ind w:right="108"/>
              <w:spacing w:after="0" w:line="155" w:lineRule="exact"/>
              <w:rPr>
                <w:sz w:val="20"/>
                <w:szCs w:val="20"/>
                <w:color w:val="auto"/>
              </w:rPr>
            </w:pPr>
            <w:r>
              <w:rPr>
                <w:rFonts w:ascii="Times New Roman" w:cs="Times New Roman" w:eastAsia="Times New Roman" w:hAnsi="Times New Roman"/>
                <w:sz w:val="14"/>
                <w:szCs w:val="14"/>
                <w:color w:val="auto"/>
                <w:w w:val="84"/>
              </w:rPr>
              <w:t>)</w:t>
            </w:r>
          </w:p>
        </w:tc>
        <w:tc>
          <w:tcPr>
            <w:tcW w:w="360" w:type="dxa"/>
            <w:vAlign w:val="bottom"/>
            <w:tcBorders>
              <w:top w:val="single" w:sz="8" w:color="auto"/>
              <w:bottom w:val="single" w:sz="8" w:color="auto"/>
            </w:tcBorders>
            <w:shd w:val="clear" w:color="auto" w:fill="CCECFF"/>
          </w:tcPr>
          <w:p>
            <w:pPr>
              <w:spacing w:after="0"/>
              <w:rPr>
                <w:sz w:val="18"/>
                <w:szCs w:val="18"/>
                <w:color w:val="auto"/>
              </w:rPr>
            </w:pPr>
          </w:p>
        </w:tc>
        <w:tc>
          <w:tcPr>
            <w:tcW w:w="68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Times New Roman" w:cs="Times New Roman" w:eastAsia="Times New Roman" w:hAnsi="Times New Roman"/>
                <w:sz w:val="14"/>
                <w:szCs w:val="14"/>
                <w:color w:val="auto"/>
              </w:rPr>
              <w:t>4,005</w:t>
            </w:r>
          </w:p>
        </w:tc>
        <w:tc>
          <w:tcPr>
            <w:tcW w:w="220" w:type="dxa"/>
            <w:vAlign w:val="bottom"/>
            <w:tcBorders>
              <w:bottom w:val="single" w:sz="8" w:color="CCECFF"/>
            </w:tcBorders>
            <w:shd w:val="clear" w:color="auto" w:fill="CCECFF"/>
          </w:tcPr>
          <w:p>
            <w:pPr>
              <w:spacing w:after="0"/>
              <w:rPr>
                <w:sz w:val="18"/>
                <w:szCs w:val="18"/>
                <w:color w:val="auto"/>
              </w:rPr>
            </w:pPr>
          </w:p>
        </w:tc>
        <w:tc>
          <w:tcPr>
            <w:tcW w:w="220" w:type="dxa"/>
            <w:vAlign w:val="bottom"/>
            <w:tcBorders>
              <w:top w:val="single" w:sz="8" w:color="auto"/>
              <w:bottom w:val="single" w:sz="8" w:color="auto"/>
            </w:tcBorders>
            <w:shd w:val="clear" w:color="auto" w:fill="CCECFF"/>
          </w:tcPr>
          <w:p>
            <w:pPr>
              <w:jc w:val="right"/>
              <w:ind w:right="48"/>
              <w:spacing w:after="0" w:line="155"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Times New Roman" w:cs="Times New Roman" w:eastAsia="Times New Roman" w:hAnsi="Times New Roman"/>
                <w:sz w:val="14"/>
                <w:szCs w:val="14"/>
                <w:color w:val="auto"/>
              </w:rPr>
              <w:t>3,453</w:t>
            </w:r>
          </w:p>
        </w:tc>
        <w:tc>
          <w:tcPr>
            <w:tcW w:w="220" w:type="dxa"/>
            <w:vAlign w:val="bottom"/>
            <w:tcBorders>
              <w:bottom w:val="single" w:sz="8" w:color="CCECFF"/>
            </w:tcBorders>
            <w:shd w:val="clear" w:color="auto" w:fill="CCECFF"/>
          </w:tcPr>
          <w:p>
            <w:pPr>
              <w:spacing w:after="0"/>
              <w:rPr>
                <w:sz w:val="18"/>
                <w:szCs w:val="18"/>
                <w:color w:val="auto"/>
              </w:rPr>
            </w:pPr>
          </w:p>
        </w:tc>
        <w:tc>
          <w:tcPr>
            <w:tcW w:w="360" w:type="dxa"/>
            <w:vAlign w:val="bottom"/>
            <w:tcBorders>
              <w:top w:val="single" w:sz="8" w:color="auto"/>
              <w:bottom w:val="single" w:sz="8" w:color="auto"/>
            </w:tcBorders>
            <w:shd w:val="clear" w:color="auto" w:fill="CCECFF"/>
          </w:tcPr>
          <w:p>
            <w:pPr>
              <w:spacing w:after="0"/>
              <w:rPr>
                <w:sz w:val="18"/>
                <w:szCs w:val="18"/>
                <w:color w:val="auto"/>
              </w:rPr>
            </w:pPr>
          </w:p>
        </w:tc>
        <w:tc>
          <w:tcPr>
            <w:tcW w:w="68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Times New Roman" w:cs="Times New Roman" w:eastAsia="Times New Roman" w:hAnsi="Times New Roman"/>
                <w:sz w:val="14"/>
                <w:szCs w:val="14"/>
                <w:color w:val="auto"/>
              </w:rPr>
              <w:t>56,516</w:t>
            </w:r>
          </w:p>
        </w:tc>
        <w:tc>
          <w:tcPr>
            <w:tcW w:w="100" w:type="dxa"/>
            <w:vAlign w:val="bottom"/>
            <w:tcBorders>
              <w:bottom w:val="single" w:sz="8" w:color="CCECFF"/>
            </w:tcBorders>
            <w:shd w:val="clear" w:color="auto" w:fill="CCECFF"/>
          </w:tcPr>
          <w:p>
            <w:pPr>
              <w:spacing w:after="0"/>
              <w:rPr>
                <w:sz w:val="18"/>
                <w:szCs w:val="18"/>
                <w:color w:val="auto"/>
              </w:rPr>
            </w:pPr>
          </w:p>
        </w:tc>
      </w:tr>
      <w:tr>
        <w:trPr>
          <w:trHeight w:val="156"/>
        </w:trPr>
        <w:tc>
          <w:tcPr>
            <w:tcW w:w="6380" w:type="dxa"/>
            <w:vAlign w:val="bottom"/>
          </w:tcPr>
          <w:p>
            <w:pPr>
              <w:ind w:left="20"/>
              <w:spacing w:after="0" w:line="155" w:lineRule="exact"/>
              <w:rPr>
                <w:sz w:val="20"/>
                <w:szCs w:val="20"/>
                <w:color w:val="auto"/>
              </w:rPr>
            </w:pPr>
            <w:r>
              <w:rPr>
                <w:rFonts w:ascii="Times New Roman" w:cs="Times New Roman" w:eastAsia="Times New Roman" w:hAnsi="Times New Roman"/>
                <w:sz w:val="14"/>
                <w:szCs w:val="14"/>
                <w:color w:val="auto"/>
              </w:rPr>
              <w:t>Net increase (decrease) in net assets resulting from operations per common share</w:t>
            </w:r>
          </w:p>
        </w:tc>
        <w:tc>
          <w:tcPr>
            <w:tcW w:w="220" w:type="dxa"/>
            <w:vAlign w:val="bottom"/>
          </w:tcPr>
          <w:p>
            <w:pPr>
              <w:jc w:val="right"/>
              <w:ind w:right="6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gridSpan w:val="2"/>
          </w:tcPr>
          <w:p>
            <w:pPr>
              <w:jc w:val="right"/>
              <w:ind w:right="108"/>
              <w:spacing w:after="0" w:line="155" w:lineRule="exact"/>
              <w:rPr>
                <w:sz w:val="20"/>
                <w:szCs w:val="20"/>
                <w:color w:val="auto"/>
              </w:rPr>
            </w:pPr>
            <w:r>
              <w:rPr>
                <w:rFonts w:ascii="Times New Roman" w:cs="Times New Roman" w:eastAsia="Times New Roman" w:hAnsi="Times New Roman"/>
                <w:sz w:val="14"/>
                <w:szCs w:val="14"/>
                <w:color w:val="auto"/>
              </w:rPr>
              <w:t>(0.34 )</w:t>
            </w:r>
          </w:p>
        </w:tc>
        <w:tc>
          <w:tcPr>
            <w:tcW w:w="360" w:type="dxa"/>
            <w:vAlign w:val="bottom"/>
          </w:tcPr>
          <w:p>
            <w:pPr>
              <w:jc w:val="right"/>
              <w:ind w:right="20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0.10</w:t>
            </w:r>
          </w:p>
        </w:tc>
        <w:tc>
          <w:tcPr>
            <w:tcW w:w="220" w:type="dxa"/>
            <w:vAlign w:val="bottom"/>
          </w:tcPr>
          <w:p>
            <w:pPr>
              <w:spacing w:after="0"/>
              <w:rPr>
                <w:sz w:val="13"/>
                <w:szCs w:val="13"/>
                <w:color w:val="auto"/>
              </w:rPr>
            </w:pPr>
          </w:p>
        </w:tc>
        <w:tc>
          <w:tcPr>
            <w:tcW w:w="220" w:type="dxa"/>
            <w:vAlign w:val="bottom"/>
          </w:tcPr>
          <w:p>
            <w:pPr>
              <w:jc w:val="right"/>
              <w:ind w:right="48"/>
              <w:spacing w:after="0" w:line="155"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0.08</w:t>
            </w:r>
          </w:p>
        </w:tc>
        <w:tc>
          <w:tcPr>
            <w:tcW w:w="220" w:type="dxa"/>
            <w:vAlign w:val="bottom"/>
          </w:tcPr>
          <w:p>
            <w:pPr>
              <w:spacing w:after="0"/>
              <w:rPr>
                <w:sz w:val="13"/>
                <w:szCs w:val="13"/>
                <w:color w:val="auto"/>
              </w:rPr>
            </w:pPr>
          </w:p>
        </w:tc>
        <w:tc>
          <w:tcPr>
            <w:tcW w:w="360" w:type="dxa"/>
            <w:vAlign w:val="bottom"/>
          </w:tcPr>
          <w:p>
            <w:pPr>
              <w:jc w:val="right"/>
              <w:ind w:right="188"/>
              <w:spacing w:after="0" w:line="155"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1.46</w:t>
            </w:r>
          </w:p>
        </w:tc>
        <w:tc>
          <w:tcPr>
            <w:tcW w:w="100" w:type="dxa"/>
            <w:vAlign w:val="bottom"/>
          </w:tcPr>
          <w:p>
            <w:pPr>
              <w:spacing w:after="0"/>
              <w:rPr>
                <w:sz w:val="13"/>
                <w:szCs w:val="13"/>
                <w:color w:val="auto"/>
              </w:rPr>
            </w:pPr>
          </w:p>
        </w:tc>
      </w:tr>
      <w:tr>
        <w:trPr>
          <w:trHeight w:val="20"/>
        </w:trPr>
        <w:tc>
          <w:tcPr>
            <w:tcW w:w="63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6380" w:type="dxa"/>
            <w:vAlign w:val="bottom"/>
            <w:tcBorders>
              <w:bottom w:val="single" w:sz="8" w:color="CCECFF"/>
            </w:tcBorders>
            <w:shd w:val="clear" w:color="auto" w:fill="CCECFF"/>
          </w:tcPr>
          <w:p>
            <w:pPr>
              <w:ind w:left="20"/>
              <w:spacing w:after="0" w:line="155" w:lineRule="exact"/>
              <w:rPr>
                <w:sz w:val="20"/>
                <w:szCs w:val="20"/>
                <w:color w:val="auto"/>
              </w:rPr>
            </w:pPr>
            <w:r>
              <w:rPr>
                <w:rFonts w:ascii="Times New Roman" w:cs="Times New Roman" w:eastAsia="Times New Roman" w:hAnsi="Times New Roman"/>
                <w:sz w:val="14"/>
                <w:szCs w:val="14"/>
                <w:color w:val="auto"/>
              </w:rPr>
              <w:t>Net investment income per common share</w:t>
            </w:r>
          </w:p>
        </w:tc>
        <w:tc>
          <w:tcPr>
            <w:tcW w:w="220" w:type="dxa"/>
            <w:vAlign w:val="bottom"/>
            <w:tcBorders>
              <w:bottom w:val="single" w:sz="8" w:color="auto"/>
            </w:tcBorders>
            <w:shd w:val="clear" w:color="auto" w:fill="CCECFF"/>
          </w:tcPr>
          <w:p>
            <w:pPr>
              <w:jc w:val="right"/>
              <w:ind w:right="6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auto"/>
            </w:tcBorders>
            <w:shd w:val="clear" w:color="auto" w:fill="CCECFF"/>
          </w:tcPr>
          <w:p>
            <w:pPr>
              <w:jc w:val="right"/>
              <w:spacing w:after="0" w:line="155" w:lineRule="exact"/>
              <w:rPr>
                <w:sz w:val="20"/>
                <w:szCs w:val="20"/>
                <w:color w:val="auto"/>
              </w:rPr>
            </w:pPr>
            <w:r>
              <w:rPr>
                <w:rFonts w:ascii="Times New Roman" w:cs="Times New Roman" w:eastAsia="Times New Roman" w:hAnsi="Times New Roman"/>
                <w:sz w:val="14"/>
                <w:szCs w:val="14"/>
                <w:color w:val="auto"/>
              </w:rPr>
              <w:t>0.29</w:t>
            </w:r>
          </w:p>
        </w:tc>
        <w:tc>
          <w:tcPr>
            <w:tcW w:w="240" w:type="dxa"/>
            <w:vAlign w:val="bottom"/>
            <w:tcBorders>
              <w:bottom w:val="single" w:sz="8" w:color="CCECFF"/>
            </w:tcBorders>
            <w:shd w:val="clear" w:color="auto" w:fill="CCECFF"/>
          </w:tcPr>
          <w:p>
            <w:pPr>
              <w:spacing w:after="0"/>
              <w:rPr>
                <w:sz w:val="17"/>
                <w:szCs w:val="17"/>
                <w:color w:val="auto"/>
              </w:rPr>
            </w:pPr>
          </w:p>
        </w:tc>
        <w:tc>
          <w:tcPr>
            <w:tcW w:w="360" w:type="dxa"/>
            <w:vAlign w:val="bottom"/>
            <w:tcBorders>
              <w:bottom w:val="single" w:sz="8" w:color="auto"/>
            </w:tcBorders>
            <w:shd w:val="clear" w:color="auto" w:fill="CCECFF"/>
          </w:tcPr>
          <w:p>
            <w:pPr>
              <w:jc w:val="right"/>
              <w:ind w:right="20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bottom w:val="single" w:sz="8" w:color="auto"/>
            </w:tcBorders>
            <w:shd w:val="clear" w:color="auto" w:fill="CCECFF"/>
          </w:tcPr>
          <w:p>
            <w:pPr>
              <w:jc w:val="right"/>
              <w:spacing w:after="0" w:line="155" w:lineRule="exact"/>
              <w:rPr>
                <w:sz w:val="20"/>
                <w:szCs w:val="20"/>
                <w:color w:val="auto"/>
              </w:rPr>
            </w:pPr>
            <w:r>
              <w:rPr>
                <w:rFonts w:ascii="Times New Roman" w:cs="Times New Roman" w:eastAsia="Times New Roman" w:hAnsi="Times New Roman"/>
                <w:sz w:val="14"/>
                <w:szCs w:val="14"/>
                <w:color w:val="auto"/>
              </w:rPr>
              <w:t>0.24</w:t>
            </w:r>
          </w:p>
        </w:tc>
        <w:tc>
          <w:tcPr>
            <w:tcW w:w="220" w:type="dxa"/>
            <w:vAlign w:val="bottom"/>
            <w:tcBorders>
              <w:bottom w:val="single" w:sz="8" w:color="CCECFF"/>
            </w:tcBorders>
            <w:shd w:val="clear" w:color="auto" w:fill="CCECFF"/>
          </w:tcPr>
          <w:p>
            <w:pPr>
              <w:spacing w:after="0"/>
              <w:rPr>
                <w:sz w:val="17"/>
                <w:szCs w:val="17"/>
                <w:color w:val="auto"/>
              </w:rPr>
            </w:pPr>
          </w:p>
        </w:tc>
        <w:tc>
          <w:tcPr>
            <w:tcW w:w="220" w:type="dxa"/>
            <w:vAlign w:val="bottom"/>
            <w:tcBorders>
              <w:bottom w:val="single" w:sz="8" w:color="auto"/>
            </w:tcBorders>
            <w:shd w:val="clear" w:color="auto" w:fill="CCECFF"/>
          </w:tcPr>
          <w:p>
            <w:pPr>
              <w:jc w:val="right"/>
              <w:ind w:right="48"/>
              <w:spacing w:after="0" w:line="155"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shd w:val="clear" w:color="auto" w:fill="CCECFF"/>
          </w:tcPr>
          <w:p>
            <w:pPr>
              <w:jc w:val="right"/>
              <w:spacing w:after="0" w:line="155" w:lineRule="exact"/>
              <w:rPr>
                <w:sz w:val="20"/>
                <w:szCs w:val="20"/>
                <w:color w:val="auto"/>
              </w:rPr>
            </w:pPr>
            <w:r>
              <w:rPr>
                <w:rFonts w:ascii="Times New Roman" w:cs="Times New Roman" w:eastAsia="Times New Roman" w:hAnsi="Times New Roman"/>
                <w:sz w:val="14"/>
                <w:szCs w:val="14"/>
                <w:color w:val="auto"/>
              </w:rPr>
              <w:t>1.18</w:t>
            </w:r>
          </w:p>
        </w:tc>
        <w:tc>
          <w:tcPr>
            <w:tcW w:w="220" w:type="dxa"/>
            <w:vAlign w:val="bottom"/>
            <w:tcBorders>
              <w:bottom w:val="single" w:sz="8" w:color="CCECFF"/>
            </w:tcBorders>
            <w:shd w:val="clear" w:color="auto" w:fill="CCECFF"/>
          </w:tcPr>
          <w:p>
            <w:pPr>
              <w:spacing w:after="0"/>
              <w:rPr>
                <w:sz w:val="17"/>
                <w:szCs w:val="17"/>
                <w:color w:val="auto"/>
              </w:rPr>
            </w:pPr>
          </w:p>
        </w:tc>
        <w:tc>
          <w:tcPr>
            <w:tcW w:w="360" w:type="dxa"/>
            <w:vAlign w:val="bottom"/>
            <w:tcBorders>
              <w:bottom w:val="single" w:sz="8" w:color="auto"/>
            </w:tcBorders>
            <w:shd w:val="clear" w:color="auto" w:fill="CCECFF"/>
          </w:tcPr>
          <w:p>
            <w:pPr>
              <w:jc w:val="right"/>
              <w:ind w:right="188"/>
              <w:spacing w:after="0" w:line="155"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auto"/>
            </w:tcBorders>
            <w:shd w:val="clear" w:color="auto" w:fill="CCECFF"/>
          </w:tcPr>
          <w:p>
            <w:pPr>
              <w:jc w:val="right"/>
              <w:spacing w:after="0" w:line="155" w:lineRule="exact"/>
              <w:rPr>
                <w:sz w:val="20"/>
                <w:szCs w:val="20"/>
                <w:color w:val="auto"/>
              </w:rPr>
            </w:pPr>
            <w:r>
              <w:rPr>
                <w:rFonts w:ascii="Times New Roman" w:cs="Times New Roman" w:eastAsia="Times New Roman" w:hAnsi="Times New Roman"/>
                <w:sz w:val="14"/>
                <w:szCs w:val="14"/>
                <w:color w:val="auto"/>
              </w:rPr>
              <w:t>1.02</w:t>
            </w:r>
          </w:p>
        </w:tc>
        <w:tc>
          <w:tcPr>
            <w:tcW w:w="100" w:type="dxa"/>
            <w:vAlign w:val="bottom"/>
            <w:tcBorders>
              <w:bottom w:val="single" w:sz="8" w:color="CCECFF"/>
            </w:tcBorders>
            <w:shd w:val="clear" w:color="auto" w:fill="CCECFF"/>
          </w:tcPr>
          <w:p>
            <w:pPr>
              <w:spacing w:after="0"/>
              <w:rPr>
                <w:sz w:val="17"/>
                <w:szCs w:val="17"/>
                <w:color w:val="auto"/>
              </w:rPr>
            </w:pPr>
          </w:p>
        </w:tc>
      </w:tr>
      <w:tr>
        <w:trPr>
          <w:trHeight w:val="730"/>
        </w:trPr>
        <w:tc>
          <w:tcPr>
            <w:tcW w:w="63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4693920</wp:posOffset>
            </wp:positionH>
            <wp:positionV relativeFrom="paragraph">
              <wp:posOffset>-3556635</wp:posOffset>
            </wp:positionV>
            <wp:extent cx="76835" cy="1200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6835" cy="120015"/>
                    </a:xfrm>
                    <a:prstGeom prst="rect">
                      <a:avLst/>
                    </a:prstGeom>
                    <a:noFill/>
                  </pic:spPr>
                </pic:pic>
              </a:graphicData>
            </a:graphic>
          </wp:anchor>
        </w:drawing>
        <w:drawing>
          <wp:anchor simplePos="0" relativeHeight="251657728" behindDoc="1" locked="0" layoutInCell="0" allowOverlap="1">
            <wp:simplePos x="0" y="0"/>
            <wp:positionH relativeFrom="column">
              <wp:posOffset>5516880</wp:posOffset>
            </wp:positionH>
            <wp:positionV relativeFrom="paragraph">
              <wp:posOffset>-3556635</wp:posOffset>
            </wp:positionV>
            <wp:extent cx="68580" cy="1200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-3556635</wp:posOffset>
            </wp:positionV>
            <wp:extent cx="68580" cy="1200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-3556635</wp:posOffset>
            </wp:positionV>
            <wp:extent cx="68580" cy="12001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-2879725</wp:posOffset>
            </wp:positionV>
            <wp:extent cx="76835" cy="1289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6835" cy="128905"/>
                    </a:xfrm>
                    <a:prstGeom prst="rect">
                      <a:avLst/>
                    </a:prstGeom>
                    <a:noFill/>
                  </pic:spPr>
                </pic:pic>
              </a:graphicData>
            </a:graphic>
          </wp:anchor>
        </w:drawing>
        <w:drawing>
          <wp:anchor simplePos="0" relativeHeight="251657728" behindDoc="1" locked="0" layoutInCell="0" allowOverlap="1">
            <wp:simplePos x="0" y="0"/>
            <wp:positionH relativeFrom="column">
              <wp:posOffset>5516880</wp:posOffset>
            </wp:positionH>
            <wp:positionV relativeFrom="paragraph">
              <wp:posOffset>-2879725</wp:posOffset>
            </wp:positionV>
            <wp:extent cx="68580" cy="1289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-2879725</wp:posOffset>
            </wp:positionV>
            <wp:extent cx="68580" cy="12890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-2879725</wp:posOffset>
            </wp:positionV>
            <wp:extent cx="68580" cy="1289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-2407920</wp:posOffset>
            </wp:positionV>
            <wp:extent cx="76835" cy="1289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6835" cy="128905"/>
                    </a:xfrm>
                    <a:prstGeom prst="rect">
                      <a:avLst/>
                    </a:prstGeom>
                    <a:noFill/>
                  </pic:spPr>
                </pic:pic>
              </a:graphicData>
            </a:graphic>
          </wp:anchor>
        </w:drawing>
        <w:drawing>
          <wp:anchor simplePos="0" relativeHeight="251657728" behindDoc="1" locked="0" layoutInCell="0" allowOverlap="1">
            <wp:simplePos x="0" y="0"/>
            <wp:positionH relativeFrom="column">
              <wp:posOffset>5516880</wp:posOffset>
            </wp:positionH>
            <wp:positionV relativeFrom="paragraph">
              <wp:posOffset>-2407920</wp:posOffset>
            </wp:positionV>
            <wp:extent cx="68580" cy="12890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-2407920</wp:posOffset>
            </wp:positionV>
            <wp:extent cx="68580" cy="12890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-2407920</wp:posOffset>
            </wp:positionV>
            <wp:extent cx="68580" cy="1289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-1713865</wp:posOffset>
            </wp:positionV>
            <wp:extent cx="76835" cy="12001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6835" cy="120015"/>
                    </a:xfrm>
                    <a:prstGeom prst="rect">
                      <a:avLst/>
                    </a:prstGeom>
                    <a:noFill/>
                  </pic:spPr>
                </pic:pic>
              </a:graphicData>
            </a:graphic>
          </wp:anchor>
        </w:drawing>
        <w:drawing>
          <wp:anchor simplePos="0" relativeHeight="251657728" behindDoc="1" locked="0" layoutInCell="0" allowOverlap="1">
            <wp:simplePos x="0" y="0"/>
            <wp:positionH relativeFrom="column">
              <wp:posOffset>5516880</wp:posOffset>
            </wp:positionH>
            <wp:positionV relativeFrom="paragraph">
              <wp:posOffset>-1713865</wp:posOffset>
            </wp:positionV>
            <wp:extent cx="68580" cy="12001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-1713865</wp:posOffset>
            </wp:positionV>
            <wp:extent cx="68580" cy="12001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-1713865</wp:posOffset>
            </wp:positionV>
            <wp:extent cx="68580" cy="12001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-1028065</wp:posOffset>
            </wp:positionV>
            <wp:extent cx="76835" cy="12890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6835" cy="128905"/>
                    </a:xfrm>
                    <a:prstGeom prst="rect">
                      <a:avLst/>
                    </a:prstGeom>
                    <a:noFill/>
                  </pic:spPr>
                </pic:pic>
              </a:graphicData>
            </a:graphic>
          </wp:anchor>
        </w:drawing>
        <w:drawing>
          <wp:anchor simplePos="0" relativeHeight="251657728" behindDoc="1" locked="0" layoutInCell="0" allowOverlap="1">
            <wp:simplePos x="0" y="0"/>
            <wp:positionH relativeFrom="column">
              <wp:posOffset>5516880</wp:posOffset>
            </wp:positionH>
            <wp:positionV relativeFrom="paragraph">
              <wp:posOffset>-1028065</wp:posOffset>
            </wp:positionV>
            <wp:extent cx="68580" cy="12890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-1028065</wp:posOffset>
            </wp:positionV>
            <wp:extent cx="68580" cy="12890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-1028065</wp:posOffset>
            </wp:positionV>
            <wp:extent cx="68580" cy="12890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-788035</wp:posOffset>
            </wp:positionV>
            <wp:extent cx="2442845" cy="16256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442845" cy="162560"/>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-513715</wp:posOffset>
            </wp:positionV>
            <wp:extent cx="7683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-496570</wp:posOffset>
            </wp:positionV>
            <wp:extent cx="7683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5516880</wp:posOffset>
            </wp:positionH>
            <wp:positionV relativeFrom="paragraph">
              <wp:posOffset>-513715</wp:posOffset>
            </wp:positionV>
            <wp:extent cx="6858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5516880</wp:posOffset>
            </wp:positionH>
            <wp:positionV relativeFrom="paragraph">
              <wp:posOffset>-496570</wp:posOffset>
            </wp:positionV>
            <wp:extent cx="6858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-513715</wp:posOffset>
            </wp:positionV>
            <wp:extent cx="6858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-496570</wp:posOffset>
            </wp:positionV>
            <wp:extent cx="6858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-513715</wp:posOffset>
            </wp:positionV>
            <wp:extent cx="6858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-496570</wp:posOffset>
            </wp:positionV>
            <wp:extent cx="6858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0"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t>ABOUT PENNANTPARK FLOATING RATE CAPITAL LTD.</w:t>
      </w:r>
    </w:p>
    <w:p>
      <w:pPr>
        <w:spacing w:after="0" w:line="21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PennantPark Floating Rate Capital Ltd. is a business development company which primarily invests in U.S. middle-market companies in the form of floating rate senior secured loans, including first lien secured debt, second lien secured debt and subordinated debt. From time to time, the Company may also invest in equity investments. PennantPark Floating Rate Capital Ltd. is managed by PennantPark Investment Advisers, LLC.</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PENNANTPARK INVESTMENT ADVISERS, LLC</w:t>
      </w:r>
    </w:p>
    <w:p>
      <w:pPr>
        <w:spacing w:after="0" w:line="216"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PennantPark Investment Advisers, LLC is a leading middle-market credit platform, managing $6.4 billion of investable capital, including potential leverage. Since its inception in 2007, PennantPark Investment Advisers, LLC has provided investors access to middle-market credit by offering private equity firms and their portfolio companies as well as other middle-market borrowers a comprehensive range of creative and flexible financing solutions. PennantPark Investment Advisers, LLC is headquartered in Miami and has offices in New York, Chicago, Houston, and Los Angeles.</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94"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This press release may contain “forward-looking statements” within the meaning of the Private Securities Litigation Reform Act of 1995. You should understand that under Section 27A(b)(2)(B) of the Securities Act of 1933, as amended, and Section 21E(b)(2)(B) of the Securities Exchange Act of 1934, as amended, or the Exchange Act, the “safe harbor” provisions of the Private Securities Litigation Reform Act of 1995 do not apply to forward-looking statements made in periodic reports we file under the Exchange Act.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as well as changes in the economy and risks associated with possible disruption in the Company’s operations or the economy generally due to terrorism, natural disasters or pandemics such as COVID-19. PennantPark Floating Rate Capital Ltd. undertakes no duty to update any forward-looking statement made herein. You should not place undue influence on such forward-looking statements as such statements speak only as of the date on which they are made.</w:t>
      </w:r>
    </w:p>
    <w:p>
      <w:pPr>
        <w:spacing w:after="0" w:line="6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We may use words such as “anticipates,” “believes,” “expects,” “intends,” “seeks,” “plans,” “estimates” and similar expressions to identify forward-looking statements. Such statements are based on currently available operating, financial and competitive information and are subject to various risks and uncertainties that could cause actual results to differ materially from our historical experience and our present expectations.</w:t>
      </w:r>
    </w:p>
    <w:p>
      <w:pPr>
        <w:spacing w:after="0" w:line="177" w:lineRule="exact"/>
        <w:rPr>
          <w:sz w:val="20"/>
          <w:szCs w:val="20"/>
          <w:color w:val="auto"/>
        </w:rPr>
      </w:pPr>
    </w:p>
    <w:p>
      <w:pPr>
        <w:ind w:left="20"/>
        <w:spacing w:after="0"/>
        <w:tabs>
          <w:tab w:leader="none" w:pos="1140" w:val="left"/>
        </w:tabs>
        <w:rPr>
          <w:sz w:val="20"/>
          <w:szCs w:val="20"/>
          <w:color w:val="auto"/>
        </w:rPr>
      </w:pPr>
      <w:r>
        <w:rPr>
          <w:rFonts w:ascii="Times New Roman" w:cs="Times New Roman" w:eastAsia="Times New Roman" w:hAnsi="Times New Roman"/>
          <w:sz w:val="18"/>
          <w:szCs w:val="18"/>
          <w:color w:val="auto"/>
        </w:rPr>
        <w:t>CONTACT:</w:t>
        <w:tab/>
        <w:t>Richard T. Allorto, Jr.</w:t>
      </w:r>
    </w:p>
    <w:p>
      <w:pPr>
        <w:spacing w:after="0" w:line="4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color w:val="auto"/>
        </w:rPr>
        <w:t>PennantPark Floating Rate Capital Ltd.</w:t>
      </w:r>
    </w:p>
    <w:p>
      <w:pPr>
        <w:spacing w:after="0" w:line="23" w:lineRule="exact"/>
        <w:rPr>
          <w:sz w:val="20"/>
          <w:szCs w:val="20"/>
          <w:color w:val="auto"/>
        </w:rPr>
      </w:pPr>
    </w:p>
    <w:p>
      <w:pPr>
        <w:ind w:left="1160" w:right="8420" w:hanging="5"/>
        <w:spacing w:after="0" w:line="290" w:lineRule="auto"/>
        <w:tabs>
          <w:tab w:leader="none" w:pos="1595"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905-1000 </w:t>
      </w:r>
      <w:r>
        <w:rPr>
          <w:rFonts w:ascii="Times New Roman" w:cs="Times New Roman" w:eastAsia="Times New Roman" w:hAnsi="Times New Roman"/>
          <w:sz w:val="17"/>
          <w:szCs w:val="17"/>
          <w:u w:val="single" w:color="auto"/>
          <w:color w:val="auto"/>
        </w:rPr>
        <w:t>www.pennantpark.com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1" w:name="page12"/>
    <w:bookmarkEnd w:id="11"/>
    <w:p>
      <w:pPr>
        <w:ind w:left="9220"/>
        <w:spacing w:after="0"/>
        <w:rPr>
          <w:sz w:val="20"/>
          <w:szCs w:val="20"/>
          <w:color w:val="auto"/>
        </w:rPr>
      </w:pPr>
      <w:r>
        <w:rPr>
          <w:rFonts w:ascii="Times New Roman" w:cs="Times New Roman" w:eastAsia="Times New Roman" w:hAnsi="Times New Roman"/>
          <w:sz w:val="14"/>
          <w:szCs w:val="14"/>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14" w:right="339" w:bottom="1440" w:gutter="0" w:footer="0" w:header="0"/>
        </w:sectPr>
      </w:pPr>
    </w:p>
    <w:bookmarkStart w:id="12" w:name="page13"/>
    <w:bookmarkEnd w:id="12"/>
    <w:p>
      <w:pPr>
        <w:ind w:left="3260"/>
        <w:spacing w:after="0"/>
        <w:rPr>
          <w:sz w:val="20"/>
          <w:szCs w:val="20"/>
          <w:color w:val="auto"/>
        </w:rPr>
      </w:pPr>
      <w:r>
        <w:rPr>
          <w:rFonts w:ascii="Times New Roman" w:cs="Times New Roman" w:eastAsia="Times New Roman" w:hAnsi="Times New Roman"/>
          <w:sz w:val="14"/>
          <w:szCs w:val="14"/>
          <w:b w:val="1"/>
          <w:bCs w:val="1"/>
          <w:color w:val="auto"/>
        </w:rPr>
        <w:t>PENNANTPARK FLOATING RATE CAPITAL LTD. AND SUBSIDIARIES</w:t>
      </w:r>
    </w:p>
    <w:p>
      <w:pPr>
        <w:spacing w:after="0" w:line="8"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4"/>
          <w:szCs w:val="14"/>
          <w:b w:val="1"/>
          <w:bCs w:val="1"/>
          <w:color w:val="auto"/>
        </w:rPr>
        <w:t>CONSOLIDATED SCHEDULE OF INVESTMENTS</w:t>
      </w:r>
    </w:p>
    <w:p>
      <w:pPr>
        <w:jc w:val="center"/>
        <w:spacing w:after="0"/>
        <w:rPr>
          <w:sz w:val="20"/>
          <w:szCs w:val="20"/>
          <w:color w:val="auto"/>
        </w:rPr>
      </w:pPr>
      <w:r>
        <w:rPr>
          <w:rFonts w:ascii="Times New Roman" w:cs="Times New Roman" w:eastAsia="Times New Roman" w:hAnsi="Times New Roman"/>
          <w:sz w:val="14"/>
          <w:szCs w:val="14"/>
          <w:b w:val="1"/>
          <w:bCs w:val="1"/>
          <w:color w:val="auto"/>
        </w:rPr>
        <w:t>SEPTEMBER 30, 2022</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(in thousands, except share data)</w:t>
      </w:r>
    </w:p>
    <w:tbl>
      <w:tblPr>
        <w:tblLayout w:type="fixed"/>
        <w:tblInd w:w="0" w:type="dxa"/>
        <w:tblCellMar>
          <w:top w:w="0" w:type="dxa"/>
          <w:left w:w="0" w:type="dxa"/>
          <w:bottom w:w="0" w:type="dxa"/>
          <w:right w:w="0" w:type="dxa"/>
        </w:tblCellMar>
      </w:tblPr>
      <w:tr>
        <w:trPr>
          <w:trHeight w:val="106"/>
        </w:trPr>
        <w:tc>
          <w:tcPr>
            <w:tcW w:w="2880" w:type="dxa"/>
            <w:vAlign w:val="bottom"/>
          </w:tcPr>
          <w:p>
            <w:pPr>
              <w:spacing w:after="0"/>
              <w:rPr>
                <w:sz w:val="9"/>
                <w:szCs w:val="9"/>
                <w:color w:val="auto"/>
              </w:rPr>
            </w:pPr>
          </w:p>
        </w:tc>
        <w:tc>
          <w:tcPr>
            <w:tcW w:w="90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20" w:type="dxa"/>
            <w:vAlign w:val="bottom"/>
          </w:tcPr>
          <w:p>
            <w:pPr>
              <w:jc w:val="center"/>
              <w:spacing w:after="0" w:line="106" w:lineRule="exact"/>
              <w:rPr>
                <w:sz w:val="20"/>
                <w:szCs w:val="20"/>
                <w:color w:val="auto"/>
              </w:rPr>
            </w:pPr>
            <w:r>
              <w:rPr>
                <w:rFonts w:ascii="Times New Roman" w:cs="Times New Roman" w:eastAsia="Times New Roman" w:hAnsi="Times New Roman"/>
                <w:sz w:val="11"/>
                <w:szCs w:val="11"/>
                <w:b w:val="1"/>
                <w:bCs w:val="1"/>
                <w:color w:val="auto"/>
                <w:w w:val="99"/>
              </w:rPr>
              <w:t>Basis Point</w:t>
            </w:r>
          </w:p>
        </w:tc>
        <w:tc>
          <w:tcPr>
            <w:tcW w:w="220" w:type="dxa"/>
            <w:vAlign w:val="bottom"/>
          </w:tcPr>
          <w:p>
            <w:pPr>
              <w:spacing w:after="0"/>
              <w:rPr>
                <w:sz w:val="9"/>
                <w:szCs w:val="9"/>
                <w:color w:val="auto"/>
              </w:rPr>
            </w:pPr>
          </w:p>
        </w:tc>
        <w:tc>
          <w:tcPr>
            <w:tcW w:w="8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9"/>
        </w:trPr>
        <w:tc>
          <w:tcPr>
            <w:tcW w:w="28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tcPr>
          <w:p>
            <w:pPr>
              <w:jc w:val="center"/>
              <w:spacing w:after="0" w:line="120" w:lineRule="exact"/>
              <w:rPr>
                <w:sz w:val="20"/>
                <w:szCs w:val="20"/>
                <w:color w:val="auto"/>
              </w:rPr>
            </w:pPr>
            <w:r>
              <w:rPr>
                <w:rFonts w:ascii="Times New Roman" w:cs="Times New Roman" w:eastAsia="Times New Roman" w:hAnsi="Times New Roman"/>
                <w:sz w:val="11"/>
                <w:szCs w:val="11"/>
                <w:b w:val="1"/>
                <w:bCs w:val="1"/>
                <w:color w:val="auto"/>
              </w:rPr>
              <w:t>Spread</w:t>
            </w:r>
          </w:p>
        </w:tc>
        <w:tc>
          <w:tcPr>
            <w:tcW w:w="2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0"/>
        </w:trPr>
        <w:tc>
          <w:tcPr>
            <w:tcW w:w="2880" w:type="dxa"/>
            <w:vAlign w:val="bottom"/>
          </w:tcPr>
          <w:p>
            <w:pPr>
              <w:spacing w:after="0"/>
              <w:rPr>
                <w:sz w:val="9"/>
                <w:szCs w:val="9"/>
                <w:color w:val="auto"/>
              </w:rPr>
            </w:pPr>
          </w:p>
        </w:tc>
        <w:tc>
          <w:tcPr>
            <w:tcW w:w="90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20" w:type="dxa"/>
            <w:vAlign w:val="bottom"/>
          </w:tcPr>
          <w:p>
            <w:pPr>
              <w:spacing w:after="0"/>
              <w:rPr>
                <w:sz w:val="9"/>
                <w:szCs w:val="9"/>
                <w:color w:val="auto"/>
              </w:rPr>
            </w:pPr>
          </w:p>
        </w:tc>
        <w:tc>
          <w:tcPr>
            <w:tcW w:w="120" w:type="dxa"/>
            <w:vAlign w:val="bottom"/>
          </w:tcPr>
          <w:p>
            <w:pPr>
              <w:spacing w:after="0"/>
              <w:rPr>
                <w:sz w:val="9"/>
                <w:szCs w:val="9"/>
                <w:color w:val="auto"/>
              </w:rPr>
            </w:pPr>
          </w:p>
        </w:tc>
        <w:tc>
          <w:tcPr>
            <w:tcW w:w="980" w:type="dxa"/>
            <w:vAlign w:val="bottom"/>
            <w:gridSpan w:val="2"/>
          </w:tcPr>
          <w:p>
            <w:pPr>
              <w:jc w:val="right"/>
              <w:ind w:right="360"/>
              <w:spacing w:after="0" w:line="111" w:lineRule="exact"/>
              <w:rPr>
                <w:sz w:val="20"/>
                <w:szCs w:val="20"/>
                <w:color w:val="auto"/>
              </w:rPr>
            </w:pPr>
            <w:r>
              <w:rPr>
                <w:rFonts w:ascii="Times New Roman" w:cs="Times New Roman" w:eastAsia="Times New Roman" w:hAnsi="Times New Roman"/>
                <w:sz w:val="11"/>
                <w:szCs w:val="11"/>
                <w:b w:val="1"/>
                <w:bCs w:val="1"/>
                <w:color w:val="auto"/>
              </w:rPr>
              <w:t>Current</w:t>
            </w:r>
          </w:p>
        </w:tc>
        <w:tc>
          <w:tcPr>
            <w:tcW w:w="140" w:type="dxa"/>
            <w:vAlign w:val="bottom"/>
          </w:tcPr>
          <w:p>
            <w:pPr>
              <w:spacing w:after="0"/>
              <w:rPr>
                <w:sz w:val="9"/>
                <w:szCs w:val="9"/>
                <w:color w:val="auto"/>
              </w:rPr>
            </w:pPr>
          </w:p>
        </w:tc>
        <w:tc>
          <w:tcPr>
            <w:tcW w:w="820" w:type="dxa"/>
            <w:vAlign w:val="bottom"/>
          </w:tcPr>
          <w:p>
            <w:pPr>
              <w:jc w:val="center"/>
              <w:spacing w:after="0" w:line="111" w:lineRule="exact"/>
              <w:rPr>
                <w:sz w:val="20"/>
                <w:szCs w:val="20"/>
                <w:color w:val="auto"/>
              </w:rPr>
            </w:pPr>
            <w:r>
              <w:rPr>
                <w:rFonts w:ascii="Times New Roman" w:cs="Times New Roman" w:eastAsia="Times New Roman" w:hAnsi="Times New Roman"/>
                <w:sz w:val="11"/>
                <w:szCs w:val="11"/>
                <w:b w:val="1"/>
                <w:bCs w:val="1"/>
                <w:color w:val="auto"/>
              </w:rPr>
              <w:t>Above</w:t>
            </w:r>
          </w:p>
        </w:tc>
        <w:tc>
          <w:tcPr>
            <w:tcW w:w="220" w:type="dxa"/>
            <w:vAlign w:val="bottom"/>
          </w:tcPr>
          <w:p>
            <w:pPr>
              <w:spacing w:after="0"/>
              <w:rPr>
                <w:sz w:val="9"/>
                <w:szCs w:val="9"/>
                <w:color w:val="auto"/>
              </w:rPr>
            </w:pPr>
          </w:p>
        </w:tc>
        <w:tc>
          <w:tcPr>
            <w:tcW w:w="840" w:type="dxa"/>
            <w:vAlign w:val="bottom"/>
          </w:tcPr>
          <w:p>
            <w:pPr>
              <w:jc w:val="right"/>
              <w:ind w:right="246"/>
              <w:spacing w:after="0" w:line="111" w:lineRule="exact"/>
              <w:rPr>
                <w:sz w:val="20"/>
                <w:szCs w:val="20"/>
                <w:color w:val="auto"/>
              </w:rPr>
            </w:pPr>
            <w:r>
              <w:rPr>
                <w:rFonts w:ascii="Times New Roman" w:cs="Times New Roman" w:eastAsia="Times New Roman" w:hAnsi="Times New Roman"/>
                <w:sz w:val="11"/>
                <w:szCs w:val="11"/>
                <w:b w:val="1"/>
                <w:bCs w:val="1"/>
                <w:color w:val="auto"/>
              </w:rPr>
              <w:t>Par /</w:t>
            </w: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1"/>
                <w:szCs w:val="11"/>
                <w:b w:val="1"/>
                <w:bCs w:val="1"/>
                <w:color w:val="auto"/>
                <w:w w:val="93"/>
              </w:rPr>
              <w:t xml:space="preserve">Fair Value </w:t>
            </w:r>
            <w:r>
              <w:rPr>
                <w:rFonts w:ascii="Times New Roman" w:cs="Times New Roman" w:eastAsia="Times New Roman" w:hAnsi="Times New Roman"/>
                <w:sz w:val="14"/>
                <w:szCs w:val="14"/>
                <w:b w:val="1"/>
                <w:bCs w:val="1"/>
                <w:color w:val="auto"/>
                <w:w w:val="93"/>
                <w:vertAlign w:val="superscript"/>
              </w:rPr>
              <w:t>(2)</w:t>
            </w:r>
          </w:p>
        </w:tc>
        <w:tc>
          <w:tcPr>
            <w:tcW w:w="0" w:type="dxa"/>
            <w:vAlign w:val="bottom"/>
          </w:tcPr>
          <w:p>
            <w:pPr>
              <w:spacing w:after="0"/>
              <w:rPr>
                <w:sz w:val="1"/>
                <w:szCs w:val="1"/>
                <w:color w:val="auto"/>
              </w:rPr>
            </w:pPr>
          </w:p>
        </w:tc>
      </w:tr>
      <w:tr>
        <w:trPr>
          <w:trHeight w:val="155"/>
        </w:trPr>
        <w:tc>
          <w:tcPr>
            <w:tcW w:w="288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Issuer Name</w:t>
            </w:r>
          </w:p>
        </w:tc>
        <w:tc>
          <w:tcPr>
            <w:tcW w:w="1040" w:type="dxa"/>
            <w:vAlign w:val="bottom"/>
            <w:gridSpan w:val="2"/>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Maturity</w:t>
            </w:r>
          </w:p>
        </w:tc>
        <w:tc>
          <w:tcPr>
            <w:tcW w:w="20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Industry</w:t>
            </w:r>
          </w:p>
        </w:tc>
        <w:tc>
          <w:tcPr>
            <w:tcW w:w="120" w:type="dxa"/>
            <w:vAlign w:val="bottom"/>
          </w:tcPr>
          <w:p>
            <w:pPr>
              <w:spacing w:after="0"/>
              <w:rPr>
                <w:sz w:val="13"/>
                <w:szCs w:val="13"/>
                <w:color w:val="auto"/>
              </w:rPr>
            </w:pPr>
          </w:p>
        </w:tc>
        <w:tc>
          <w:tcPr>
            <w:tcW w:w="980" w:type="dxa"/>
            <w:vAlign w:val="bottom"/>
            <w:gridSpan w:val="2"/>
          </w:tcPr>
          <w:p>
            <w:pPr>
              <w:jc w:val="right"/>
              <w:ind w:right="360"/>
              <w:spacing w:after="0"/>
              <w:rPr>
                <w:sz w:val="20"/>
                <w:szCs w:val="20"/>
                <w:color w:val="auto"/>
              </w:rPr>
            </w:pPr>
            <w:r>
              <w:rPr>
                <w:rFonts w:ascii="Times New Roman" w:cs="Times New Roman" w:eastAsia="Times New Roman" w:hAnsi="Times New Roman"/>
                <w:sz w:val="11"/>
                <w:szCs w:val="11"/>
                <w:b w:val="1"/>
                <w:bCs w:val="1"/>
                <w:color w:val="auto"/>
              </w:rPr>
              <w:t>Coupon</w:t>
            </w:r>
          </w:p>
        </w:tc>
        <w:tc>
          <w:tcPr>
            <w:tcW w:w="140" w:type="dxa"/>
            <w:vAlign w:val="bottom"/>
          </w:tcPr>
          <w:p>
            <w:pPr>
              <w:spacing w:after="0"/>
              <w:rPr>
                <w:sz w:val="13"/>
                <w:szCs w:val="13"/>
                <w:color w:val="auto"/>
              </w:rPr>
            </w:pPr>
          </w:p>
        </w:tc>
        <w:tc>
          <w:tcPr>
            <w:tcW w:w="820" w:type="dxa"/>
            <w:vAlign w:val="bottom"/>
          </w:tcPr>
          <w:p>
            <w:pPr>
              <w:jc w:val="center"/>
              <w:spacing w:after="0" w:line="143" w:lineRule="exact"/>
              <w:rPr>
                <w:sz w:val="20"/>
                <w:szCs w:val="20"/>
                <w:color w:val="auto"/>
              </w:rPr>
            </w:pPr>
            <w:r>
              <w:rPr>
                <w:rFonts w:ascii="Times New Roman" w:cs="Times New Roman" w:eastAsia="Times New Roman" w:hAnsi="Times New Roman"/>
                <w:sz w:val="11"/>
                <w:szCs w:val="11"/>
                <w:b w:val="1"/>
                <w:bCs w:val="1"/>
                <w:color w:val="auto"/>
                <w:w w:val="93"/>
              </w:rPr>
              <w:t xml:space="preserve">Index </w:t>
            </w:r>
            <w:r>
              <w:rPr>
                <w:rFonts w:ascii="Times New Roman" w:cs="Times New Roman" w:eastAsia="Times New Roman" w:hAnsi="Times New Roman"/>
                <w:sz w:val="14"/>
                <w:szCs w:val="14"/>
                <w:b w:val="1"/>
                <w:bCs w:val="1"/>
                <w:color w:val="auto"/>
                <w:w w:val="93"/>
                <w:vertAlign w:val="superscript"/>
              </w:rPr>
              <w:t>(1)</w:t>
            </w:r>
          </w:p>
        </w:tc>
        <w:tc>
          <w:tcPr>
            <w:tcW w:w="220" w:type="dxa"/>
            <w:vAlign w:val="bottom"/>
          </w:tcPr>
          <w:p>
            <w:pPr>
              <w:spacing w:after="0"/>
              <w:rPr>
                <w:sz w:val="13"/>
                <w:szCs w:val="13"/>
                <w:color w:val="auto"/>
              </w:rPr>
            </w:pPr>
          </w:p>
        </w:tc>
        <w:tc>
          <w:tcPr>
            <w:tcW w:w="840" w:type="dxa"/>
            <w:vAlign w:val="bottom"/>
          </w:tcPr>
          <w:p>
            <w:pPr>
              <w:ind w:left="28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jc w:val="right"/>
              <w:ind w:right="246"/>
              <w:spacing w:after="0"/>
              <w:rPr>
                <w:sz w:val="20"/>
                <w:szCs w:val="20"/>
                <w:color w:val="auto"/>
              </w:rPr>
            </w:pPr>
            <w:r>
              <w:rPr>
                <w:rFonts w:ascii="Times New Roman" w:cs="Times New Roman" w:eastAsia="Times New Roman" w:hAnsi="Times New Roman"/>
                <w:sz w:val="11"/>
                <w:szCs w:val="11"/>
                <w:b w:val="1"/>
                <w:bCs w:val="1"/>
                <w:color w:val="auto"/>
              </w:rPr>
              <w:t>Cost</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9"/>
        </w:trPr>
        <w:tc>
          <w:tcPr>
            <w:tcW w:w="3920" w:type="dxa"/>
            <w:vAlign w:val="bottom"/>
            <w:gridSpan w:val="3"/>
          </w:tcPr>
          <w:p>
            <w:pPr>
              <w:ind w:left="20"/>
              <w:spacing w:after="0" w:line="119" w:lineRule="exact"/>
              <w:rPr>
                <w:sz w:val="20"/>
                <w:szCs w:val="20"/>
                <w:color w:val="auto"/>
              </w:rPr>
            </w:pPr>
            <w:r>
              <w:rPr>
                <w:rFonts w:ascii="Times New Roman" w:cs="Times New Roman" w:eastAsia="Times New Roman" w:hAnsi="Times New Roman"/>
                <w:sz w:val="10"/>
                <w:szCs w:val="10"/>
                <w:b w:val="1"/>
                <w:bCs w:val="1"/>
                <w:color w:val="auto"/>
              </w:rPr>
              <w:t xml:space="preserve">Investments in Non-Controlled, Non-Affiliated Portfolio Companies—169.5% </w:t>
            </w:r>
            <w:r>
              <w:rPr>
                <w:rFonts w:ascii="Times New Roman" w:cs="Times New Roman" w:eastAsia="Times New Roman" w:hAnsi="Times New Roman"/>
                <w:sz w:val="13"/>
                <w:szCs w:val="13"/>
                <w:b w:val="1"/>
                <w:bCs w:val="1"/>
                <w:color w:val="auto"/>
                <w:vertAlign w:val="superscript"/>
              </w:rPr>
              <w:t>(3), (4)</w:t>
            </w:r>
          </w:p>
        </w:tc>
        <w:tc>
          <w:tcPr>
            <w:tcW w:w="202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84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7"/>
        </w:trPr>
        <w:tc>
          <w:tcPr>
            <w:tcW w:w="288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First Lien Secured Debt—149.7%</w:t>
            </w: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2880" w:type="dxa"/>
            <w:vAlign w:val="bottom"/>
          </w:tcPr>
          <w:p>
            <w:pPr>
              <w:ind w:left="20"/>
              <w:spacing w:after="0" w:line="117" w:lineRule="exact"/>
              <w:rPr>
                <w:sz w:val="20"/>
                <w:szCs w:val="20"/>
                <w:color w:val="auto"/>
              </w:rPr>
            </w:pPr>
            <w:r>
              <w:rPr>
                <w:rFonts w:ascii="Times New Roman" w:cs="Times New Roman" w:eastAsia="Times New Roman" w:hAnsi="Times New Roman"/>
                <w:sz w:val="11"/>
                <w:szCs w:val="11"/>
                <w:color w:val="auto"/>
              </w:rPr>
              <w:t>Ad.net Acquisition, LLC</w:t>
            </w:r>
          </w:p>
        </w:tc>
        <w:tc>
          <w:tcPr>
            <w:tcW w:w="900" w:type="dxa"/>
            <w:vAlign w:val="bottom"/>
          </w:tcPr>
          <w:p>
            <w:pPr>
              <w:jc w:val="center"/>
              <w:ind w:left="86"/>
              <w:spacing w:after="0" w:line="117" w:lineRule="exact"/>
              <w:rPr>
                <w:sz w:val="20"/>
                <w:szCs w:val="20"/>
                <w:color w:val="auto"/>
              </w:rPr>
            </w:pPr>
            <w:r>
              <w:rPr>
                <w:rFonts w:ascii="Times New Roman" w:cs="Times New Roman" w:eastAsia="Times New Roman" w:hAnsi="Times New Roman"/>
                <w:sz w:val="11"/>
                <w:szCs w:val="11"/>
                <w:color w:val="auto"/>
                <w:w w:val="95"/>
              </w:rPr>
              <w:t>05/06/2026</w:t>
            </w:r>
          </w:p>
        </w:tc>
        <w:tc>
          <w:tcPr>
            <w:tcW w:w="140" w:type="dxa"/>
            <w:vAlign w:val="bottom"/>
          </w:tcPr>
          <w:p>
            <w:pPr>
              <w:spacing w:after="0"/>
              <w:rPr>
                <w:sz w:val="10"/>
                <w:szCs w:val="10"/>
                <w:color w:val="auto"/>
              </w:rPr>
            </w:pPr>
          </w:p>
        </w:tc>
        <w:tc>
          <w:tcPr>
            <w:tcW w:w="202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color w:val="auto"/>
                <w:w w:val="92"/>
              </w:rPr>
              <w:t>Media</w:t>
            </w:r>
          </w:p>
        </w:tc>
        <w:tc>
          <w:tcPr>
            <w:tcW w:w="1100" w:type="dxa"/>
            <w:vAlign w:val="bottom"/>
            <w:gridSpan w:val="3"/>
          </w:tcPr>
          <w:p>
            <w:pPr>
              <w:jc w:val="right"/>
              <w:ind w:right="20"/>
              <w:spacing w:after="0" w:line="117" w:lineRule="exact"/>
              <w:rPr>
                <w:sz w:val="20"/>
                <w:szCs w:val="20"/>
                <w:color w:val="auto"/>
              </w:rPr>
            </w:pPr>
            <w:r>
              <w:rPr>
                <w:rFonts w:ascii="Times New Roman" w:cs="Times New Roman" w:eastAsia="Times New Roman" w:hAnsi="Times New Roman"/>
                <w:sz w:val="11"/>
                <w:szCs w:val="11"/>
                <w:color w:val="auto"/>
              </w:rPr>
              <w:t>9.67 %</w:t>
            </w:r>
          </w:p>
        </w:tc>
        <w:tc>
          <w:tcPr>
            <w:tcW w:w="140" w:type="dxa"/>
            <w:vAlign w:val="bottom"/>
          </w:tcPr>
          <w:p>
            <w:pPr>
              <w:spacing w:after="0"/>
              <w:rPr>
                <w:sz w:val="10"/>
                <w:szCs w:val="10"/>
                <w:color w:val="auto"/>
              </w:rPr>
            </w:pPr>
          </w:p>
        </w:tc>
        <w:tc>
          <w:tcPr>
            <w:tcW w:w="82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3M L+600</w:t>
            </w:r>
          </w:p>
        </w:tc>
        <w:tc>
          <w:tcPr>
            <w:tcW w:w="106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1"/>
                <w:szCs w:val="11"/>
                <w:color w:val="auto"/>
              </w:rPr>
              <w:t>4,938</w:t>
            </w:r>
          </w:p>
        </w:tc>
        <w:tc>
          <w:tcPr>
            <w:tcW w:w="400" w:type="dxa"/>
            <w:vAlign w:val="bottom"/>
            <w:gridSpan w:val="2"/>
          </w:tcPr>
          <w:p>
            <w:pPr>
              <w:jc w:val="right"/>
              <w:ind w:right="100"/>
              <w:spacing w:after="0" w:line="117" w:lineRule="exact"/>
              <w:rPr>
                <w:sz w:val="20"/>
                <w:szCs w:val="20"/>
                <w:color w:val="auto"/>
              </w:rPr>
            </w:pPr>
            <w:r>
              <w:rPr>
                <w:rFonts w:ascii="Times New Roman" w:cs="Times New Roman" w:eastAsia="Times New Roman" w:hAnsi="Times New Roman"/>
                <w:sz w:val="11"/>
                <w:szCs w:val="11"/>
                <w:color w:val="auto"/>
              </w:rPr>
              <w:t>$</w:t>
            </w:r>
          </w:p>
        </w:tc>
        <w:tc>
          <w:tcPr>
            <w:tcW w:w="64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4,882</w:t>
            </w:r>
          </w:p>
        </w:tc>
        <w:tc>
          <w:tcPr>
            <w:tcW w:w="300" w:type="dxa"/>
            <w:vAlign w:val="bottom"/>
            <w:gridSpan w:val="2"/>
          </w:tcPr>
          <w:p>
            <w:pPr>
              <w:jc w:val="right"/>
              <w:ind w:right="20"/>
              <w:spacing w:after="0" w:line="117" w:lineRule="exact"/>
              <w:rPr>
                <w:sz w:val="20"/>
                <w:szCs w:val="20"/>
                <w:color w:val="auto"/>
              </w:rPr>
            </w:pPr>
            <w:r>
              <w:rPr>
                <w:rFonts w:ascii="Times New Roman" w:cs="Times New Roman" w:eastAsia="Times New Roman" w:hAnsi="Times New Roman"/>
                <w:sz w:val="11"/>
                <w:szCs w:val="11"/>
                <w:color w:val="auto"/>
              </w:rPr>
              <w:t>$</w:t>
            </w:r>
          </w:p>
        </w:tc>
        <w:tc>
          <w:tcPr>
            <w:tcW w:w="74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4,900</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880" w:type="dxa"/>
            <w:vAlign w:val="bottom"/>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Ad.net Acquisition, LLC (Revolver) </w:t>
            </w:r>
            <w:r>
              <w:rPr>
                <w:rFonts w:ascii="Times New Roman" w:cs="Times New Roman" w:eastAsia="Times New Roman" w:hAnsi="Times New Roman"/>
                <w:sz w:val="14"/>
                <w:szCs w:val="14"/>
                <w:color w:val="auto"/>
                <w:vertAlign w:val="superscript"/>
              </w:rPr>
              <w:t>(7), (9)</w:t>
            </w:r>
          </w:p>
        </w:tc>
        <w:tc>
          <w:tcPr>
            <w:tcW w:w="900" w:type="dxa"/>
            <w:vAlign w:val="bottom"/>
          </w:tcPr>
          <w:p>
            <w:pPr>
              <w:jc w:val="center"/>
              <w:ind w:left="86"/>
              <w:spacing w:after="0"/>
              <w:rPr>
                <w:sz w:val="20"/>
                <w:szCs w:val="20"/>
                <w:color w:val="auto"/>
              </w:rPr>
            </w:pPr>
            <w:r>
              <w:rPr>
                <w:rFonts w:ascii="Times New Roman" w:cs="Times New Roman" w:eastAsia="Times New Roman" w:hAnsi="Times New Roman"/>
                <w:sz w:val="11"/>
                <w:szCs w:val="11"/>
                <w:color w:val="auto"/>
                <w:w w:val="95"/>
              </w:rPr>
              <w:t>05/06/2026</w:t>
            </w:r>
          </w:p>
        </w:tc>
        <w:tc>
          <w:tcPr>
            <w:tcW w:w="140" w:type="dxa"/>
            <w:vAlign w:val="bottom"/>
          </w:tcPr>
          <w:p>
            <w:pPr>
              <w:spacing w:after="0"/>
              <w:rPr>
                <w:sz w:val="13"/>
                <w:szCs w:val="13"/>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2"/>
              </w:rPr>
              <w:t>Media</w:t>
            </w:r>
          </w:p>
        </w:tc>
        <w:tc>
          <w:tcPr>
            <w:tcW w:w="120" w:type="dxa"/>
            <w:vAlign w:val="bottom"/>
          </w:tcPr>
          <w:p>
            <w:pPr>
              <w:spacing w:after="0"/>
              <w:rPr>
                <w:sz w:val="13"/>
                <w:szCs w:val="13"/>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1,244</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(9 )</w:t>
            </w:r>
          </w:p>
        </w:tc>
        <w:tc>
          <w:tcPr>
            <w:tcW w:w="0" w:type="dxa"/>
            <w:vAlign w:val="bottom"/>
          </w:tcPr>
          <w:p>
            <w:pPr>
              <w:spacing w:after="0"/>
              <w:rPr>
                <w:sz w:val="1"/>
                <w:szCs w:val="1"/>
                <w:color w:val="auto"/>
              </w:rPr>
            </w:pPr>
          </w:p>
        </w:tc>
      </w:tr>
      <w:tr>
        <w:trPr>
          <w:trHeight w:val="117"/>
        </w:trPr>
        <w:tc>
          <w:tcPr>
            <w:tcW w:w="2880" w:type="dxa"/>
            <w:vAlign w:val="bottom"/>
          </w:tcPr>
          <w:p>
            <w:pPr>
              <w:ind w:left="20"/>
              <w:spacing w:after="0" w:line="117" w:lineRule="exact"/>
              <w:rPr>
                <w:sz w:val="20"/>
                <w:szCs w:val="20"/>
                <w:color w:val="auto"/>
              </w:rPr>
            </w:pPr>
            <w:r>
              <w:rPr>
                <w:rFonts w:ascii="Times New Roman" w:cs="Times New Roman" w:eastAsia="Times New Roman" w:hAnsi="Times New Roman"/>
                <w:sz w:val="11"/>
                <w:szCs w:val="11"/>
                <w:color w:val="auto"/>
              </w:rPr>
              <w:t>Altamira Technologies, LLC</w:t>
            </w:r>
          </w:p>
        </w:tc>
        <w:tc>
          <w:tcPr>
            <w:tcW w:w="900" w:type="dxa"/>
            <w:vAlign w:val="bottom"/>
          </w:tcPr>
          <w:p>
            <w:pPr>
              <w:jc w:val="center"/>
              <w:ind w:left="86"/>
              <w:spacing w:after="0" w:line="117" w:lineRule="exact"/>
              <w:rPr>
                <w:sz w:val="20"/>
                <w:szCs w:val="20"/>
                <w:color w:val="auto"/>
              </w:rPr>
            </w:pPr>
            <w:r>
              <w:rPr>
                <w:rFonts w:ascii="Times New Roman" w:cs="Times New Roman" w:eastAsia="Times New Roman" w:hAnsi="Times New Roman"/>
                <w:sz w:val="11"/>
                <w:szCs w:val="11"/>
                <w:color w:val="auto"/>
                <w:w w:val="95"/>
              </w:rPr>
              <w:t>07/24/2025</w:t>
            </w:r>
          </w:p>
        </w:tc>
        <w:tc>
          <w:tcPr>
            <w:tcW w:w="140" w:type="dxa"/>
            <w:vAlign w:val="bottom"/>
          </w:tcPr>
          <w:p>
            <w:pPr>
              <w:spacing w:after="0"/>
              <w:rPr>
                <w:sz w:val="10"/>
                <w:szCs w:val="10"/>
                <w:color w:val="auto"/>
              </w:rPr>
            </w:pPr>
          </w:p>
        </w:tc>
        <w:tc>
          <w:tcPr>
            <w:tcW w:w="202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color w:val="auto"/>
                <w:w w:val="99"/>
              </w:rPr>
              <w:t>IT Services</w:t>
            </w:r>
          </w:p>
        </w:tc>
        <w:tc>
          <w:tcPr>
            <w:tcW w:w="1100" w:type="dxa"/>
            <w:vAlign w:val="bottom"/>
            <w:gridSpan w:val="3"/>
          </w:tcPr>
          <w:p>
            <w:pPr>
              <w:jc w:val="right"/>
              <w:ind w:right="20"/>
              <w:spacing w:after="0" w:line="117" w:lineRule="exact"/>
              <w:rPr>
                <w:sz w:val="20"/>
                <w:szCs w:val="20"/>
                <w:color w:val="auto"/>
              </w:rPr>
            </w:pPr>
            <w:r>
              <w:rPr>
                <w:rFonts w:ascii="Times New Roman" w:cs="Times New Roman" w:eastAsia="Times New Roman" w:hAnsi="Times New Roman"/>
                <w:sz w:val="11"/>
                <w:szCs w:val="11"/>
                <w:color w:val="auto"/>
              </w:rPr>
              <w:t>10.81 %</w:t>
            </w:r>
          </w:p>
        </w:tc>
        <w:tc>
          <w:tcPr>
            <w:tcW w:w="140" w:type="dxa"/>
            <w:vAlign w:val="bottom"/>
          </w:tcPr>
          <w:p>
            <w:pPr>
              <w:spacing w:after="0"/>
              <w:rPr>
                <w:sz w:val="10"/>
                <w:szCs w:val="10"/>
                <w:color w:val="auto"/>
              </w:rPr>
            </w:pPr>
          </w:p>
        </w:tc>
        <w:tc>
          <w:tcPr>
            <w:tcW w:w="82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3M L+800</w:t>
            </w:r>
          </w:p>
        </w:tc>
        <w:tc>
          <w:tcPr>
            <w:tcW w:w="106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1"/>
                <w:szCs w:val="11"/>
                <w:color w:val="auto"/>
              </w:rPr>
              <w:t>4,794</w:t>
            </w: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4,756</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4,626</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88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Altamira Technologies, LLC (Revolver) </w:t>
            </w:r>
            <w:r>
              <w:rPr>
                <w:rFonts w:ascii="Times New Roman" w:cs="Times New Roman" w:eastAsia="Times New Roman" w:hAnsi="Times New Roman"/>
                <w:sz w:val="14"/>
                <w:szCs w:val="14"/>
                <w:color w:val="auto"/>
                <w:vertAlign w:val="superscript"/>
              </w:rPr>
              <w:t>(7)</w:t>
            </w:r>
          </w:p>
        </w:tc>
        <w:tc>
          <w:tcPr>
            <w:tcW w:w="900" w:type="dxa"/>
            <w:vAlign w:val="bottom"/>
          </w:tcPr>
          <w:p>
            <w:pPr>
              <w:jc w:val="center"/>
              <w:ind w:left="86"/>
              <w:spacing w:after="0"/>
              <w:rPr>
                <w:sz w:val="20"/>
                <w:szCs w:val="20"/>
                <w:color w:val="auto"/>
              </w:rPr>
            </w:pPr>
            <w:r>
              <w:rPr>
                <w:rFonts w:ascii="Times New Roman" w:cs="Times New Roman" w:eastAsia="Times New Roman" w:hAnsi="Times New Roman"/>
                <w:sz w:val="11"/>
                <w:szCs w:val="11"/>
                <w:color w:val="auto"/>
                <w:w w:val="95"/>
              </w:rPr>
              <w:t>07/24/2025</w:t>
            </w:r>
          </w:p>
        </w:tc>
        <w:tc>
          <w:tcPr>
            <w:tcW w:w="140" w:type="dxa"/>
            <w:vAlign w:val="bottom"/>
          </w:tcPr>
          <w:p>
            <w:pPr>
              <w:spacing w:after="0"/>
              <w:rPr>
                <w:sz w:val="11"/>
                <w:szCs w:val="11"/>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IT Services</w:t>
            </w:r>
          </w:p>
        </w:tc>
        <w:tc>
          <w:tcPr>
            <w:tcW w:w="1100" w:type="dxa"/>
            <w:vAlign w:val="bottom"/>
            <w:gridSpan w:val="3"/>
          </w:tcPr>
          <w:p>
            <w:pPr>
              <w:jc w:val="right"/>
              <w:ind w:right="20"/>
              <w:spacing w:after="0"/>
              <w:rPr>
                <w:sz w:val="20"/>
                <w:szCs w:val="20"/>
                <w:color w:val="auto"/>
              </w:rPr>
            </w:pPr>
            <w:r>
              <w:rPr>
                <w:rFonts w:ascii="Times New Roman" w:cs="Times New Roman" w:eastAsia="Times New Roman" w:hAnsi="Times New Roman"/>
                <w:sz w:val="11"/>
                <w:szCs w:val="11"/>
                <w:color w:val="auto"/>
              </w:rPr>
              <w:t>11.67 %</w:t>
            </w:r>
          </w:p>
        </w:tc>
        <w:tc>
          <w:tcPr>
            <w:tcW w:w="140" w:type="dxa"/>
            <w:vAlign w:val="bottom"/>
          </w:tcPr>
          <w:p>
            <w:pPr>
              <w:spacing w:after="0"/>
              <w:rPr>
                <w:sz w:val="11"/>
                <w:szCs w:val="1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L+800</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575</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575</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555</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880" w:type="dxa"/>
            <w:vAlign w:val="bottom"/>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Altamira Technologies, LLC (Revolver) </w:t>
            </w:r>
            <w:r>
              <w:rPr>
                <w:rFonts w:ascii="Times New Roman" w:cs="Times New Roman" w:eastAsia="Times New Roman" w:hAnsi="Times New Roman"/>
                <w:sz w:val="14"/>
                <w:szCs w:val="14"/>
                <w:color w:val="auto"/>
                <w:vertAlign w:val="superscript"/>
              </w:rPr>
              <w:t>(7), (9)</w:t>
            </w:r>
          </w:p>
        </w:tc>
        <w:tc>
          <w:tcPr>
            <w:tcW w:w="900" w:type="dxa"/>
            <w:vAlign w:val="bottom"/>
          </w:tcPr>
          <w:p>
            <w:pPr>
              <w:jc w:val="center"/>
              <w:ind w:left="86"/>
              <w:spacing w:after="0"/>
              <w:rPr>
                <w:sz w:val="20"/>
                <w:szCs w:val="20"/>
                <w:color w:val="auto"/>
              </w:rPr>
            </w:pPr>
            <w:r>
              <w:rPr>
                <w:rFonts w:ascii="Times New Roman" w:cs="Times New Roman" w:eastAsia="Times New Roman" w:hAnsi="Times New Roman"/>
                <w:sz w:val="11"/>
                <w:szCs w:val="11"/>
                <w:color w:val="auto"/>
                <w:w w:val="95"/>
              </w:rPr>
              <w:t>07/24/2025</w:t>
            </w:r>
          </w:p>
        </w:tc>
        <w:tc>
          <w:tcPr>
            <w:tcW w:w="140" w:type="dxa"/>
            <w:vAlign w:val="bottom"/>
          </w:tcPr>
          <w:p>
            <w:pPr>
              <w:spacing w:after="0"/>
              <w:rPr>
                <w:sz w:val="13"/>
                <w:szCs w:val="13"/>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IT Services</w:t>
            </w:r>
          </w:p>
        </w:tc>
        <w:tc>
          <w:tcPr>
            <w:tcW w:w="120" w:type="dxa"/>
            <w:vAlign w:val="bottom"/>
          </w:tcPr>
          <w:p>
            <w:pPr>
              <w:spacing w:after="0"/>
              <w:rPr>
                <w:sz w:val="13"/>
                <w:szCs w:val="13"/>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1,581</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(55 )</w:t>
            </w:r>
          </w:p>
        </w:tc>
        <w:tc>
          <w:tcPr>
            <w:tcW w:w="0" w:type="dxa"/>
            <w:vAlign w:val="bottom"/>
          </w:tcPr>
          <w:p>
            <w:pPr>
              <w:spacing w:after="0"/>
              <w:rPr>
                <w:sz w:val="1"/>
                <w:szCs w:val="1"/>
                <w:color w:val="auto"/>
              </w:rPr>
            </w:pPr>
          </w:p>
        </w:tc>
      </w:tr>
      <w:tr>
        <w:trPr>
          <w:trHeight w:val="125"/>
        </w:trPr>
        <w:tc>
          <w:tcPr>
            <w:tcW w:w="2880" w:type="dxa"/>
            <w:vAlign w:val="bottom"/>
          </w:tcPr>
          <w:p>
            <w:pPr>
              <w:ind w:left="20"/>
              <w:spacing w:after="0" w:line="125" w:lineRule="exact"/>
              <w:rPr>
                <w:sz w:val="20"/>
                <w:szCs w:val="20"/>
                <w:color w:val="auto"/>
              </w:rPr>
            </w:pPr>
            <w:r>
              <w:rPr>
                <w:rFonts w:ascii="Times New Roman" w:cs="Times New Roman" w:eastAsia="Times New Roman" w:hAnsi="Times New Roman"/>
                <w:sz w:val="11"/>
                <w:szCs w:val="11"/>
                <w:color w:val="auto"/>
              </w:rPr>
              <w:t>American Insulated Glass, LLC</w:t>
            </w:r>
          </w:p>
        </w:tc>
        <w:tc>
          <w:tcPr>
            <w:tcW w:w="900" w:type="dxa"/>
            <w:vAlign w:val="bottom"/>
          </w:tcPr>
          <w:p>
            <w:pPr>
              <w:jc w:val="center"/>
              <w:ind w:left="86"/>
              <w:spacing w:after="0" w:line="125" w:lineRule="exact"/>
              <w:rPr>
                <w:sz w:val="20"/>
                <w:szCs w:val="20"/>
                <w:color w:val="auto"/>
              </w:rPr>
            </w:pPr>
            <w:r>
              <w:rPr>
                <w:rFonts w:ascii="Times New Roman" w:cs="Times New Roman" w:eastAsia="Times New Roman" w:hAnsi="Times New Roman"/>
                <w:sz w:val="11"/>
                <w:szCs w:val="11"/>
                <w:color w:val="auto"/>
                <w:w w:val="95"/>
              </w:rPr>
              <w:t>12/21/2023</w:t>
            </w:r>
          </w:p>
        </w:tc>
        <w:tc>
          <w:tcPr>
            <w:tcW w:w="140" w:type="dxa"/>
            <w:vAlign w:val="bottom"/>
          </w:tcPr>
          <w:p>
            <w:pPr>
              <w:spacing w:after="0"/>
              <w:rPr>
                <w:sz w:val="10"/>
                <w:szCs w:val="10"/>
                <w:color w:val="auto"/>
              </w:rPr>
            </w:pPr>
          </w:p>
        </w:tc>
        <w:tc>
          <w:tcPr>
            <w:tcW w:w="2020" w:type="dxa"/>
            <w:vAlign w:val="bottom"/>
          </w:tcPr>
          <w:p>
            <w:pPr>
              <w:jc w:val="center"/>
              <w:spacing w:after="0" w:line="125" w:lineRule="exact"/>
              <w:rPr>
                <w:sz w:val="20"/>
                <w:szCs w:val="20"/>
                <w:color w:val="auto"/>
              </w:rPr>
            </w:pPr>
            <w:r>
              <w:rPr>
                <w:rFonts w:ascii="Times New Roman" w:cs="Times New Roman" w:eastAsia="Times New Roman" w:hAnsi="Times New Roman"/>
                <w:sz w:val="11"/>
                <w:szCs w:val="11"/>
                <w:color w:val="auto"/>
                <w:w w:val="97"/>
              </w:rPr>
              <w:t>Building Products</w:t>
            </w:r>
          </w:p>
        </w:tc>
        <w:tc>
          <w:tcPr>
            <w:tcW w:w="1100" w:type="dxa"/>
            <w:vAlign w:val="bottom"/>
            <w:gridSpan w:val="3"/>
          </w:tcPr>
          <w:p>
            <w:pPr>
              <w:jc w:val="right"/>
              <w:ind w:right="20"/>
              <w:spacing w:after="0" w:line="125" w:lineRule="exact"/>
              <w:rPr>
                <w:sz w:val="20"/>
                <w:szCs w:val="20"/>
                <w:color w:val="auto"/>
              </w:rPr>
            </w:pPr>
            <w:r>
              <w:rPr>
                <w:rFonts w:ascii="Times New Roman" w:cs="Times New Roman" w:eastAsia="Times New Roman" w:hAnsi="Times New Roman"/>
                <w:sz w:val="11"/>
                <w:szCs w:val="11"/>
                <w:color w:val="auto"/>
              </w:rPr>
              <w:t>7.79 %</w:t>
            </w:r>
          </w:p>
        </w:tc>
        <w:tc>
          <w:tcPr>
            <w:tcW w:w="140" w:type="dxa"/>
            <w:vAlign w:val="bottom"/>
          </w:tcPr>
          <w:p>
            <w:pPr>
              <w:jc w:val="right"/>
              <w:ind w:right="4"/>
              <w:spacing w:after="0"/>
              <w:rPr>
                <w:sz w:val="20"/>
                <w:szCs w:val="20"/>
                <w:color w:val="auto"/>
              </w:rPr>
            </w:pPr>
            <w:r>
              <w:rPr>
                <w:rFonts w:ascii="Times New Roman" w:cs="Times New Roman" w:eastAsia="Times New Roman" w:hAnsi="Times New Roman"/>
                <w:sz w:val="7"/>
                <w:szCs w:val="7"/>
                <w:color w:val="auto"/>
                <w:w w:val="97"/>
              </w:rPr>
              <w:t>(6)</w:t>
            </w:r>
          </w:p>
        </w:tc>
        <w:tc>
          <w:tcPr>
            <w:tcW w:w="820" w:type="dxa"/>
            <w:vAlign w:val="bottom"/>
          </w:tcPr>
          <w:p>
            <w:pPr>
              <w:jc w:val="right"/>
              <w:spacing w:after="0" w:line="125" w:lineRule="exact"/>
              <w:rPr>
                <w:sz w:val="20"/>
                <w:szCs w:val="20"/>
                <w:color w:val="auto"/>
              </w:rPr>
            </w:pPr>
            <w:r>
              <w:rPr>
                <w:rFonts w:ascii="Times New Roman" w:cs="Times New Roman" w:eastAsia="Times New Roman" w:hAnsi="Times New Roman"/>
                <w:sz w:val="11"/>
                <w:szCs w:val="11"/>
                <w:color w:val="auto"/>
              </w:rPr>
              <w:t>3M L+550</w:t>
            </w:r>
          </w:p>
        </w:tc>
        <w:tc>
          <w:tcPr>
            <w:tcW w:w="1060" w:type="dxa"/>
            <w:vAlign w:val="bottom"/>
            <w:gridSpan w:val="2"/>
          </w:tcPr>
          <w:p>
            <w:pPr>
              <w:jc w:val="right"/>
              <w:spacing w:after="0" w:line="125" w:lineRule="exact"/>
              <w:rPr>
                <w:sz w:val="20"/>
                <w:szCs w:val="20"/>
                <w:color w:val="auto"/>
              </w:rPr>
            </w:pPr>
            <w:r>
              <w:rPr>
                <w:rFonts w:ascii="Times New Roman" w:cs="Times New Roman" w:eastAsia="Times New Roman" w:hAnsi="Times New Roman"/>
                <w:sz w:val="11"/>
                <w:szCs w:val="11"/>
                <w:color w:val="auto"/>
              </w:rPr>
              <w:t>7,601</w:t>
            </w: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jc w:val="right"/>
              <w:spacing w:after="0" w:line="125" w:lineRule="exact"/>
              <w:rPr>
                <w:sz w:val="20"/>
                <w:szCs w:val="20"/>
                <w:color w:val="auto"/>
              </w:rPr>
            </w:pPr>
            <w:r>
              <w:rPr>
                <w:rFonts w:ascii="Times New Roman" w:cs="Times New Roman" w:eastAsia="Times New Roman" w:hAnsi="Times New Roman"/>
                <w:sz w:val="11"/>
                <w:szCs w:val="11"/>
                <w:color w:val="auto"/>
              </w:rPr>
              <w:t>7,559</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jc w:val="right"/>
              <w:spacing w:after="0" w:line="125" w:lineRule="exact"/>
              <w:rPr>
                <w:sz w:val="20"/>
                <w:szCs w:val="20"/>
                <w:color w:val="auto"/>
              </w:rPr>
            </w:pPr>
            <w:r>
              <w:rPr>
                <w:rFonts w:ascii="Times New Roman" w:cs="Times New Roman" w:eastAsia="Times New Roman" w:hAnsi="Times New Roman"/>
                <w:sz w:val="11"/>
                <w:szCs w:val="11"/>
                <w:color w:val="auto"/>
              </w:rPr>
              <w:t>7,601</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7"/>
        </w:trPr>
        <w:tc>
          <w:tcPr>
            <w:tcW w:w="2880" w:type="dxa"/>
            <w:vAlign w:val="bottom"/>
          </w:tcPr>
          <w:p>
            <w:pPr>
              <w:ind w:left="20"/>
              <w:spacing w:after="0" w:line="127" w:lineRule="exact"/>
              <w:rPr>
                <w:sz w:val="20"/>
                <w:szCs w:val="20"/>
                <w:color w:val="auto"/>
              </w:rPr>
            </w:pPr>
            <w:r>
              <w:rPr>
                <w:rFonts w:ascii="Times New Roman" w:cs="Times New Roman" w:eastAsia="Times New Roman" w:hAnsi="Times New Roman"/>
                <w:sz w:val="11"/>
                <w:szCs w:val="11"/>
                <w:color w:val="auto"/>
              </w:rPr>
              <w:t>American Teleconferencing Services, Ltd.</w:t>
            </w:r>
            <w:r>
              <w:rPr>
                <w:rFonts w:ascii="Times New Roman" w:cs="Times New Roman" w:eastAsia="Times New Roman" w:hAnsi="Times New Roman"/>
                <w:sz w:val="14"/>
                <w:szCs w:val="14"/>
                <w:color w:val="auto"/>
                <w:vertAlign w:val="superscript"/>
              </w:rPr>
              <w:t>(7)</w:t>
            </w:r>
          </w:p>
        </w:tc>
        <w:tc>
          <w:tcPr>
            <w:tcW w:w="900" w:type="dxa"/>
            <w:vAlign w:val="bottom"/>
          </w:tcPr>
          <w:p>
            <w:pPr>
              <w:jc w:val="center"/>
              <w:ind w:left="86"/>
              <w:spacing w:after="0"/>
              <w:rPr>
                <w:sz w:val="20"/>
                <w:szCs w:val="20"/>
                <w:color w:val="auto"/>
              </w:rPr>
            </w:pPr>
            <w:r>
              <w:rPr>
                <w:rFonts w:ascii="Times New Roman" w:cs="Times New Roman" w:eastAsia="Times New Roman" w:hAnsi="Times New Roman"/>
                <w:sz w:val="11"/>
                <w:szCs w:val="11"/>
                <w:color w:val="auto"/>
                <w:w w:val="95"/>
              </w:rPr>
              <w:t>06/08/2023</w:t>
            </w:r>
          </w:p>
        </w:tc>
        <w:tc>
          <w:tcPr>
            <w:tcW w:w="140" w:type="dxa"/>
            <w:vAlign w:val="bottom"/>
          </w:tcPr>
          <w:p>
            <w:pPr>
              <w:spacing w:after="0"/>
              <w:rPr>
                <w:sz w:val="11"/>
                <w:szCs w:val="11"/>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Telecommunications</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0.00%</w:t>
            </w:r>
          </w:p>
        </w:tc>
        <w:tc>
          <w:tcPr>
            <w:tcW w:w="120" w:type="dxa"/>
            <w:vAlign w:val="bottom"/>
          </w:tcPr>
          <w:p>
            <w:pPr>
              <w:spacing w:after="0"/>
              <w:rPr>
                <w:sz w:val="11"/>
                <w:szCs w:val="11"/>
                <w:color w:val="auto"/>
              </w:rPr>
            </w:pPr>
          </w:p>
        </w:tc>
        <w:tc>
          <w:tcPr>
            <w:tcW w:w="140" w:type="dxa"/>
            <w:vAlign w:val="bottom"/>
            <w:vMerge w:val="restart"/>
          </w:tcPr>
          <w:p>
            <w:pPr>
              <w:jc w:val="right"/>
              <w:ind w:right="4"/>
              <w:spacing w:after="0"/>
              <w:rPr>
                <w:sz w:val="20"/>
                <w:szCs w:val="20"/>
                <w:color w:val="auto"/>
              </w:rPr>
            </w:pPr>
            <w:r>
              <w:rPr>
                <w:rFonts w:ascii="Times New Roman" w:cs="Times New Roman" w:eastAsia="Times New Roman" w:hAnsi="Times New Roman"/>
                <w:sz w:val="7"/>
                <w:szCs w:val="7"/>
                <w:color w:val="auto"/>
                <w:w w:val="97"/>
              </w:rPr>
              <w:t>(6)</w:t>
            </w: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7,986</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7,915</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7"/>
        </w:trPr>
        <w:tc>
          <w:tcPr>
            <w:tcW w:w="2880" w:type="dxa"/>
            <w:vAlign w:val="bottom"/>
            <w:vMerge w:val="restart"/>
          </w:tcPr>
          <w:p>
            <w:pPr>
              <w:ind w:left="20"/>
              <w:spacing w:after="0"/>
              <w:rPr>
                <w:sz w:val="20"/>
                <w:szCs w:val="20"/>
                <w:color w:val="auto"/>
              </w:rPr>
            </w:pPr>
            <w:r>
              <w:rPr>
                <w:rFonts w:ascii="Times New Roman" w:cs="Times New Roman" w:eastAsia="Times New Roman" w:hAnsi="Times New Roman"/>
                <w:sz w:val="11"/>
                <w:szCs w:val="11"/>
                <w:color w:val="auto"/>
              </w:rPr>
              <w:t xml:space="preserve">American Teleconferencing Services, Ltd. (Revolver) </w:t>
            </w:r>
            <w:r>
              <w:rPr>
                <w:rFonts w:ascii="Times New Roman" w:cs="Times New Roman" w:eastAsia="Times New Roman" w:hAnsi="Times New Roman"/>
                <w:sz w:val="14"/>
                <w:szCs w:val="14"/>
                <w:color w:val="auto"/>
                <w:vertAlign w:val="superscript"/>
              </w:rPr>
              <w:t>(7)</w:t>
            </w:r>
          </w:p>
        </w:tc>
        <w:tc>
          <w:tcPr>
            <w:tcW w:w="900" w:type="dxa"/>
            <w:vAlign w:val="bottom"/>
            <w:vMerge w:val="restart"/>
          </w:tcPr>
          <w:p>
            <w:pPr>
              <w:jc w:val="center"/>
              <w:ind w:left="86"/>
              <w:spacing w:after="0"/>
              <w:rPr>
                <w:sz w:val="20"/>
                <w:szCs w:val="20"/>
                <w:color w:val="auto"/>
              </w:rPr>
            </w:pPr>
            <w:r>
              <w:rPr>
                <w:rFonts w:ascii="Times New Roman" w:cs="Times New Roman" w:eastAsia="Times New Roman" w:hAnsi="Times New Roman"/>
                <w:sz w:val="11"/>
                <w:szCs w:val="11"/>
                <w:color w:val="auto"/>
                <w:w w:val="95"/>
              </w:rPr>
              <w:t>12/08/2022</w:t>
            </w:r>
          </w:p>
        </w:tc>
        <w:tc>
          <w:tcPr>
            <w:tcW w:w="140" w:type="dxa"/>
            <w:vAlign w:val="bottom"/>
          </w:tcPr>
          <w:p>
            <w:pPr>
              <w:spacing w:after="0"/>
              <w:rPr>
                <w:sz w:val="5"/>
                <w:szCs w:val="5"/>
                <w:color w:val="auto"/>
              </w:rPr>
            </w:pPr>
          </w:p>
        </w:tc>
        <w:tc>
          <w:tcPr>
            <w:tcW w:w="202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auto"/>
                <w:w w:val="97"/>
              </w:rPr>
              <w:t>Telecommunications</w:t>
            </w:r>
          </w:p>
        </w:tc>
        <w:tc>
          <w:tcPr>
            <w:tcW w:w="9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1"/>
                <w:szCs w:val="11"/>
                <w:color w:val="auto"/>
              </w:rPr>
              <w:t>0.00%</w:t>
            </w:r>
          </w:p>
        </w:tc>
        <w:tc>
          <w:tcPr>
            <w:tcW w:w="120" w:type="dxa"/>
            <w:vAlign w:val="bottom"/>
          </w:tcPr>
          <w:p>
            <w:pPr>
              <w:spacing w:after="0"/>
              <w:rPr>
                <w:sz w:val="5"/>
                <w:szCs w:val="5"/>
                <w:color w:val="auto"/>
              </w:rPr>
            </w:pPr>
          </w:p>
        </w:tc>
        <w:tc>
          <w:tcPr>
            <w:tcW w:w="140" w:type="dxa"/>
            <w:vAlign w:val="bottom"/>
            <w:vMerge w:val="continue"/>
          </w:tcPr>
          <w:p>
            <w:pPr>
              <w:spacing w:after="0"/>
              <w:rPr>
                <w:sz w:val="5"/>
                <w:szCs w:val="5"/>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1"/>
                <w:szCs w:val="11"/>
                <w:color w:val="auto"/>
              </w:rPr>
              <w:t>1,656</w:t>
            </w:r>
          </w:p>
        </w:tc>
        <w:tc>
          <w:tcPr>
            <w:tcW w:w="220" w:type="dxa"/>
            <w:vAlign w:val="bottom"/>
          </w:tcPr>
          <w:p>
            <w:pPr>
              <w:spacing w:after="0"/>
              <w:rPr>
                <w:sz w:val="5"/>
                <w:szCs w:val="5"/>
                <w:color w:val="auto"/>
              </w:rPr>
            </w:pPr>
          </w:p>
        </w:tc>
        <w:tc>
          <w:tcPr>
            <w:tcW w:w="180" w:type="dxa"/>
            <w:vAlign w:val="bottom"/>
          </w:tcPr>
          <w:p>
            <w:pPr>
              <w:spacing w:after="0"/>
              <w:rPr>
                <w:sz w:val="5"/>
                <w:szCs w:val="5"/>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1,642</w:t>
            </w: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17</w:t>
            </w: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880" w:type="dxa"/>
            <w:vAlign w:val="bottom"/>
            <w:vMerge w:val="continue"/>
          </w:tcPr>
          <w:p>
            <w:pPr>
              <w:spacing w:after="0"/>
              <w:rPr>
                <w:sz w:val="8"/>
                <w:szCs w:val="8"/>
                <w:color w:val="auto"/>
              </w:rPr>
            </w:pPr>
          </w:p>
        </w:tc>
        <w:tc>
          <w:tcPr>
            <w:tcW w:w="90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2020" w:type="dxa"/>
            <w:vAlign w:val="bottom"/>
            <w:vMerge w:val="continue"/>
          </w:tcPr>
          <w:p>
            <w:pPr>
              <w:spacing w:after="0"/>
              <w:rPr>
                <w:sz w:val="8"/>
                <w:szCs w:val="8"/>
                <w:color w:val="auto"/>
              </w:rPr>
            </w:pPr>
          </w:p>
        </w:tc>
        <w:tc>
          <w:tcPr>
            <w:tcW w:w="98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106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880" w:type="dxa"/>
            <w:vAlign w:val="bottom"/>
            <w:shd w:val="clear" w:color="auto" w:fill="CCECFF"/>
          </w:tcPr>
          <w:p>
            <w:pPr>
              <w:ind w:left="20"/>
              <w:spacing w:after="0" w:line="95" w:lineRule="exact"/>
              <w:rPr>
                <w:sz w:val="20"/>
                <w:szCs w:val="20"/>
                <w:color w:val="auto"/>
              </w:rPr>
            </w:pPr>
            <w:r>
              <w:rPr>
                <w:rFonts w:ascii="Times New Roman" w:cs="Times New Roman" w:eastAsia="Times New Roman" w:hAnsi="Times New Roman"/>
                <w:sz w:val="10"/>
                <w:szCs w:val="10"/>
                <w:color w:val="auto"/>
              </w:rPr>
              <w:t>Amsive Holding Corporation (f/k/a Vision Purchaser</w:t>
            </w:r>
          </w:p>
        </w:tc>
        <w:tc>
          <w:tcPr>
            <w:tcW w:w="900" w:type="dxa"/>
            <w:vAlign w:val="bottom"/>
            <w:shd w:val="clear" w:color="auto" w:fill="CCECFF"/>
          </w:tcPr>
          <w:p>
            <w:pPr>
              <w:jc w:val="center"/>
              <w:ind w:left="86"/>
              <w:spacing w:after="0" w:line="95" w:lineRule="exact"/>
              <w:rPr>
                <w:sz w:val="20"/>
                <w:szCs w:val="20"/>
                <w:color w:val="auto"/>
              </w:rPr>
            </w:pPr>
            <w:r>
              <w:rPr>
                <w:rFonts w:ascii="Times New Roman" w:cs="Times New Roman" w:eastAsia="Times New Roman" w:hAnsi="Times New Roman"/>
                <w:sz w:val="10"/>
                <w:szCs w:val="10"/>
                <w:color w:val="auto"/>
              </w:rPr>
              <w:t>06/10/2025</w:t>
            </w:r>
          </w:p>
        </w:tc>
        <w:tc>
          <w:tcPr>
            <w:tcW w:w="140" w:type="dxa"/>
            <w:vAlign w:val="bottom"/>
            <w:shd w:val="clear" w:color="auto" w:fill="CCECFF"/>
          </w:tcPr>
          <w:p>
            <w:pPr>
              <w:spacing w:after="0"/>
              <w:rPr>
                <w:sz w:val="8"/>
                <w:szCs w:val="8"/>
                <w:color w:val="auto"/>
              </w:rPr>
            </w:pPr>
          </w:p>
        </w:tc>
        <w:tc>
          <w:tcPr>
            <w:tcW w:w="2020" w:type="dxa"/>
            <w:vAlign w:val="bottom"/>
            <w:shd w:val="clear" w:color="auto" w:fill="CCECFF"/>
          </w:tcPr>
          <w:p>
            <w:pPr>
              <w:jc w:val="center"/>
              <w:spacing w:after="0" w:line="95" w:lineRule="exact"/>
              <w:rPr>
                <w:sz w:val="20"/>
                <w:szCs w:val="20"/>
                <w:color w:val="auto"/>
              </w:rPr>
            </w:pPr>
            <w:r>
              <w:rPr>
                <w:rFonts w:ascii="Times New Roman" w:cs="Times New Roman" w:eastAsia="Times New Roman" w:hAnsi="Times New Roman"/>
                <w:sz w:val="10"/>
                <w:szCs w:val="10"/>
                <w:color w:val="auto"/>
              </w:rPr>
              <w:t>Media</w:t>
            </w:r>
          </w:p>
        </w:tc>
        <w:tc>
          <w:tcPr>
            <w:tcW w:w="120" w:type="dxa"/>
            <w:vAlign w:val="bottom"/>
            <w:shd w:val="clear" w:color="auto" w:fill="CCECFF"/>
          </w:tcPr>
          <w:p>
            <w:pPr>
              <w:spacing w:after="0"/>
              <w:rPr>
                <w:sz w:val="8"/>
                <w:szCs w:val="8"/>
                <w:color w:val="auto"/>
              </w:rPr>
            </w:pPr>
          </w:p>
        </w:tc>
        <w:tc>
          <w:tcPr>
            <w:tcW w:w="860" w:type="dxa"/>
            <w:vAlign w:val="bottom"/>
            <w:shd w:val="clear" w:color="auto" w:fill="CCECFF"/>
          </w:tcPr>
          <w:p>
            <w:pPr>
              <w:spacing w:after="0"/>
              <w:rPr>
                <w:sz w:val="8"/>
                <w:szCs w:val="8"/>
                <w:color w:val="auto"/>
              </w:rPr>
            </w:pPr>
          </w:p>
        </w:tc>
        <w:tc>
          <w:tcPr>
            <w:tcW w:w="120" w:type="dxa"/>
            <w:vAlign w:val="bottom"/>
            <w:shd w:val="clear" w:color="auto" w:fill="CCECFF"/>
          </w:tcPr>
          <w:p>
            <w:pPr>
              <w:spacing w:after="0"/>
              <w:rPr>
                <w:sz w:val="8"/>
                <w:szCs w:val="8"/>
                <w:color w:val="auto"/>
              </w:rPr>
            </w:pPr>
          </w:p>
        </w:tc>
        <w:tc>
          <w:tcPr>
            <w:tcW w:w="140" w:type="dxa"/>
            <w:vAlign w:val="bottom"/>
            <w:shd w:val="clear" w:color="auto" w:fill="CCECFF"/>
          </w:tcPr>
          <w:p>
            <w:pPr>
              <w:spacing w:after="0"/>
              <w:rPr>
                <w:sz w:val="8"/>
                <w:szCs w:val="8"/>
                <w:color w:val="auto"/>
              </w:rPr>
            </w:pPr>
          </w:p>
        </w:tc>
        <w:tc>
          <w:tcPr>
            <w:tcW w:w="820" w:type="dxa"/>
            <w:vAlign w:val="bottom"/>
            <w:shd w:val="clear" w:color="auto" w:fill="CCECFF"/>
          </w:tcPr>
          <w:p>
            <w:pPr>
              <w:spacing w:after="0"/>
              <w:rPr>
                <w:sz w:val="8"/>
                <w:szCs w:val="8"/>
                <w:color w:val="auto"/>
              </w:rPr>
            </w:pPr>
          </w:p>
        </w:tc>
        <w:tc>
          <w:tcPr>
            <w:tcW w:w="220" w:type="dxa"/>
            <w:vAlign w:val="bottom"/>
            <w:shd w:val="clear" w:color="auto" w:fill="CCECFF"/>
          </w:tcPr>
          <w:p>
            <w:pPr>
              <w:spacing w:after="0"/>
              <w:rPr>
                <w:sz w:val="8"/>
                <w:szCs w:val="8"/>
                <w:color w:val="auto"/>
              </w:rPr>
            </w:pPr>
          </w:p>
        </w:tc>
        <w:tc>
          <w:tcPr>
            <w:tcW w:w="840" w:type="dxa"/>
            <w:vAlign w:val="bottom"/>
            <w:shd w:val="clear" w:color="auto" w:fill="CCECFF"/>
          </w:tcPr>
          <w:p>
            <w:pPr>
              <w:spacing w:after="0"/>
              <w:rPr>
                <w:sz w:val="8"/>
                <w:szCs w:val="8"/>
                <w:color w:val="auto"/>
              </w:rPr>
            </w:pPr>
          </w:p>
        </w:tc>
        <w:tc>
          <w:tcPr>
            <w:tcW w:w="220" w:type="dxa"/>
            <w:vAlign w:val="bottom"/>
            <w:shd w:val="clear" w:color="auto" w:fill="CCECFF"/>
          </w:tcPr>
          <w:p>
            <w:pPr>
              <w:spacing w:after="0"/>
              <w:rPr>
                <w:sz w:val="8"/>
                <w:szCs w:val="8"/>
                <w:color w:val="auto"/>
              </w:rPr>
            </w:pPr>
          </w:p>
        </w:tc>
        <w:tc>
          <w:tcPr>
            <w:tcW w:w="180" w:type="dxa"/>
            <w:vAlign w:val="bottom"/>
            <w:shd w:val="clear" w:color="auto" w:fill="CCECFF"/>
          </w:tcPr>
          <w:p>
            <w:pPr>
              <w:spacing w:after="0"/>
              <w:rPr>
                <w:sz w:val="8"/>
                <w:szCs w:val="8"/>
                <w:color w:val="auto"/>
              </w:rPr>
            </w:pPr>
          </w:p>
        </w:tc>
        <w:tc>
          <w:tcPr>
            <w:tcW w:w="640" w:type="dxa"/>
            <w:vAlign w:val="bottom"/>
            <w:shd w:val="clear" w:color="auto" w:fill="CCECFF"/>
          </w:tcPr>
          <w:p>
            <w:pPr>
              <w:spacing w:after="0"/>
              <w:rPr>
                <w:sz w:val="8"/>
                <w:szCs w:val="8"/>
                <w:color w:val="auto"/>
              </w:rPr>
            </w:pPr>
          </w:p>
        </w:tc>
        <w:tc>
          <w:tcPr>
            <w:tcW w:w="200" w:type="dxa"/>
            <w:vAlign w:val="bottom"/>
            <w:shd w:val="clear" w:color="auto" w:fill="CCECFF"/>
          </w:tcPr>
          <w:p>
            <w:pPr>
              <w:spacing w:after="0"/>
              <w:rPr>
                <w:sz w:val="8"/>
                <w:szCs w:val="8"/>
                <w:color w:val="auto"/>
              </w:rPr>
            </w:pPr>
          </w:p>
        </w:tc>
        <w:tc>
          <w:tcPr>
            <w:tcW w:w="100" w:type="dxa"/>
            <w:vAlign w:val="bottom"/>
            <w:shd w:val="clear" w:color="auto" w:fill="CCECFF"/>
          </w:tcPr>
          <w:p>
            <w:pPr>
              <w:spacing w:after="0"/>
              <w:rPr>
                <w:sz w:val="8"/>
                <w:szCs w:val="8"/>
                <w:color w:val="auto"/>
              </w:rPr>
            </w:pPr>
          </w:p>
        </w:tc>
        <w:tc>
          <w:tcPr>
            <w:tcW w:w="740" w:type="dxa"/>
            <w:vAlign w:val="bottom"/>
            <w:shd w:val="clear" w:color="auto" w:fill="CCECFF"/>
          </w:tcPr>
          <w:p>
            <w:pPr>
              <w:spacing w:after="0"/>
              <w:rPr>
                <w:sz w:val="8"/>
                <w:szCs w:val="8"/>
                <w:color w:val="auto"/>
              </w:rPr>
            </w:pPr>
          </w:p>
        </w:tc>
        <w:tc>
          <w:tcPr>
            <w:tcW w:w="100" w:type="dxa"/>
            <w:vAlign w:val="bottom"/>
            <w:shd w:val="clear" w:color="auto" w:fill="CCECFF"/>
          </w:tcPr>
          <w:p>
            <w:pPr>
              <w:spacing w:after="0"/>
              <w:rPr>
                <w:sz w:val="8"/>
                <w:szCs w:val="8"/>
                <w:color w:val="auto"/>
              </w:rPr>
            </w:pPr>
          </w:p>
        </w:tc>
        <w:tc>
          <w:tcPr>
            <w:tcW w:w="0" w:type="dxa"/>
            <w:vAlign w:val="bottom"/>
          </w:tcPr>
          <w:p>
            <w:pPr>
              <w:spacing w:after="0"/>
              <w:rPr>
                <w:sz w:val="1"/>
                <w:szCs w:val="1"/>
                <w:color w:val="auto"/>
              </w:rPr>
            </w:pPr>
          </w:p>
        </w:tc>
      </w:tr>
      <w:tr>
        <w:trPr>
          <w:trHeight w:val="162"/>
        </w:trPr>
        <w:tc>
          <w:tcPr>
            <w:tcW w:w="28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Corporation)</w:t>
            </w:r>
          </w:p>
        </w:tc>
        <w:tc>
          <w:tcPr>
            <w:tcW w:w="900" w:type="dxa"/>
            <w:vAlign w:val="bottom"/>
            <w:shd w:val="clear" w:color="auto" w:fill="CCECFF"/>
          </w:tcPr>
          <w:p>
            <w:pPr>
              <w:spacing w:after="0"/>
              <w:rPr>
                <w:sz w:val="14"/>
                <w:szCs w:val="14"/>
                <w:color w:val="auto"/>
              </w:rPr>
            </w:pPr>
          </w:p>
        </w:tc>
        <w:tc>
          <w:tcPr>
            <w:tcW w:w="140" w:type="dxa"/>
            <w:vAlign w:val="bottom"/>
            <w:shd w:val="clear" w:color="auto" w:fill="CCECFF"/>
          </w:tcPr>
          <w:p>
            <w:pPr>
              <w:spacing w:after="0"/>
              <w:rPr>
                <w:sz w:val="14"/>
                <w:szCs w:val="14"/>
                <w:color w:val="auto"/>
              </w:rPr>
            </w:pPr>
          </w:p>
        </w:tc>
        <w:tc>
          <w:tcPr>
            <w:tcW w:w="2020" w:type="dxa"/>
            <w:vAlign w:val="bottom"/>
            <w:shd w:val="clear" w:color="auto" w:fill="CCECFF"/>
          </w:tcPr>
          <w:p>
            <w:pPr>
              <w:spacing w:after="0"/>
              <w:rPr>
                <w:sz w:val="14"/>
                <w:szCs w:val="14"/>
                <w:color w:val="auto"/>
              </w:rPr>
            </w:pPr>
          </w:p>
        </w:tc>
        <w:tc>
          <w:tcPr>
            <w:tcW w:w="1100" w:type="dxa"/>
            <w:vAlign w:val="bottom"/>
            <w:gridSpan w:val="3"/>
            <w:shd w:val="clear" w:color="auto" w:fill="CCECFF"/>
          </w:tcPr>
          <w:p>
            <w:pPr>
              <w:jc w:val="right"/>
              <w:ind w:right="20"/>
              <w:spacing w:after="0"/>
              <w:rPr>
                <w:sz w:val="20"/>
                <w:szCs w:val="20"/>
                <w:color w:val="auto"/>
              </w:rPr>
            </w:pPr>
            <w:r>
              <w:rPr>
                <w:rFonts w:ascii="Times New Roman" w:cs="Times New Roman" w:eastAsia="Times New Roman" w:hAnsi="Times New Roman"/>
                <w:sz w:val="11"/>
                <w:szCs w:val="11"/>
                <w:color w:val="auto"/>
              </w:rPr>
              <w:t>9.85 %</w:t>
            </w:r>
          </w:p>
        </w:tc>
        <w:tc>
          <w:tcPr>
            <w:tcW w:w="140" w:type="dxa"/>
            <w:vAlign w:val="bottom"/>
            <w:shd w:val="clear" w:color="auto" w:fill="CCECFF"/>
          </w:tcPr>
          <w:p>
            <w:pPr>
              <w:spacing w:after="0"/>
              <w:rPr>
                <w:sz w:val="14"/>
                <w:szCs w:val="14"/>
                <w:color w:val="auto"/>
              </w:rPr>
            </w:pPr>
          </w:p>
        </w:tc>
        <w:tc>
          <w:tcPr>
            <w:tcW w:w="8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L+625</w:t>
            </w:r>
          </w:p>
        </w:tc>
        <w:tc>
          <w:tcPr>
            <w:tcW w:w="106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14,104</w:t>
            </w:r>
          </w:p>
        </w:tc>
        <w:tc>
          <w:tcPr>
            <w:tcW w:w="220" w:type="dxa"/>
            <w:vAlign w:val="bottom"/>
            <w:shd w:val="clear" w:color="auto" w:fill="CCECFF"/>
          </w:tcPr>
          <w:p>
            <w:pPr>
              <w:spacing w:after="0"/>
              <w:rPr>
                <w:sz w:val="14"/>
                <w:szCs w:val="14"/>
                <w:color w:val="auto"/>
              </w:rPr>
            </w:pPr>
          </w:p>
        </w:tc>
        <w:tc>
          <w:tcPr>
            <w:tcW w:w="180" w:type="dxa"/>
            <w:vAlign w:val="bottom"/>
            <w:shd w:val="clear" w:color="auto" w:fill="CCECFF"/>
          </w:tcPr>
          <w:p>
            <w:pPr>
              <w:spacing w:after="0"/>
              <w:rPr>
                <w:sz w:val="14"/>
                <w:szCs w:val="14"/>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13,951</w:t>
            </w:r>
          </w:p>
        </w:tc>
        <w:tc>
          <w:tcPr>
            <w:tcW w:w="20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7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13,892</w:t>
            </w: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03"/>
        </w:trPr>
        <w:tc>
          <w:tcPr>
            <w:tcW w:w="2880" w:type="dxa"/>
            <w:vAlign w:val="bottom"/>
          </w:tcPr>
          <w:p>
            <w:pPr>
              <w:ind w:left="20"/>
              <w:spacing w:after="0" w:line="103" w:lineRule="exact"/>
              <w:rPr>
                <w:sz w:val="20"/>
                <w:szCs w:val="20"/>
                <w:color w:val="auto"/>
              </w:rPr>
            </w:pPr>
            <w:r>
              <w:rPr>
                <w:rFonts w:ascii="Times New Roman" w:cs="Times New Roman" w:eastAsia="Times New Roman" w:hAnsi="Times New Roman"/>
                <w:sz w:val="11"/>
                <w:szCs w:val="11"/>
                <w:color w:val="auto"/>
              </w:rPr>
              <w:t>Anteriad, LLC (f/k/a MeritDirect, LLC)</w:t>
            </w:r>
          </w:p>
        </w:tc>
        <w:tc>
          <w:tcPr>
            <w:tcW w:w="900" w:type="dxa"/>
            <w:vAlign w:val="bottom"/>
          </w:tcPr>
          <w:p>
            <w:pPr>
              <w:jc w:val="center"/>
              <w:ind w:left="86"/>
              <w:spacing w:after="0" w:line="103" w:lineRule="exact"/>
              <w:rPr>
                <w:sz w:val="20"/>
                <w:szCs w:val="20"/>
                <w:color w:val="auto"/>
              </w:rPr>
            </w:pPr>
            <w:r>
              <w:rPr>
                <w:rFonts w:ascii="Times New Roman" w:cs="Times New Roman" w:eastAsia="Times New Roman" w:hAnsi="Times New Roman"/>
                <w:sz w:val="11"/>
                <w:szCs w:val="11"/>
                <w:color w:val="auto"/>
                <w:w w:val="95"/>
              </w:rPr>
              <w:t>05/23/2024</w:t>
            </w:r>
          </w:p>
        </w:tc>
        <w:tc>
          <w:tcPr>
            <w:tcW w:w="140" w:type="dxa"/>
            <w:vAlign w:val="bottom"/>
          </w:tcPr>
          <w:p>
            <w:pPr>
              <w:spacing w:after="0"/>
              <w:rPr>
                <w:sz w:val="8"/>
                <w:szCs w:val="8"/>
                <w:color w:val="auto"/>
              </w:rPr>
            </w:pPr>
          </w:p>
        </w:tc>
        <w:tc>
          <w:tcPr>
            <w:tcW w:w="2020" w:type="dxa"/>
            <w:vAlign w:val="bottom"/>
          </w:tcPr>
          <w:p>
            <w:pPr>
              <w:jc w:val="center"/>
              <w:spacing w:after="0" w:line="103" w:lineRule="exact"/>
              <w:rPr>
                <w:sz w:val="20"/>
                <w:szCs w:val="20"/>
                <w:color w:val="auto"/>
              </w:rPr>
            </w:pPr>
            <w:r>
              <w:rPr>
                <w:rFonts w:ascii="Times New Roman" w:cs="Times New Roman" w:eastAsia="Times New Roman" w:hAnsi="Times New Roman"/>
                <w:sz w:val="11"/>
                <w:szCs w:val="11"/>
                <w:color w:val="auto"/>
                <w:w w:val="92"/>
              </w:rPr>
              <w:t>Media</w:t>
            </w:r>
          </w:p>
        </w:tc>
        <w:tc>
          <w:tcPr>
            <w:tcW w:w="1100" w:type="dxa"/>
            <w:vAlign w:val="bottom"/>
            <w:gridSpan w:val="3"/>
          </w:tcPr>
          <w:p>
            <w:pPr>
              <w:jc w:val="right"/>
              <w:ind w:right="20"/>
              <w:spacing w:after="0" w:line="103" w:lineRule="exact"/>
              <w:rPr>
                <w:sz w:val="20"/>
                <w:szCs w:val="20"/>
                <w:color w:val="auto"/>
              </w:rPr>
            </w:pPr>
            <w:r>
              <w:rPr>
                <w:rFonts w:ascii="Times New Roman" w:cs="Times New Roman" w:eastAsia="Times New Roman" w:hAnsi="Times New Roman"/>
                <w:sz w:val="11"/>
                <w:szCs w:val="11"/>
                <w:color w:val="auto"/>
              </w:rPr>
              <w:t>9.17 %</w:t>
            </w:r>
          </w:p>
        </w:tc>
        <w:tc>
          <w:tcPr>
            <w:tcW w:w="140" w:type="dxa"/>
            <w:vAlign w:val="bottom"/>
          </w:tcPr>
          <w:p>
            <w:pPr>
              <w:spacing w:after="0"/>
              <w:rPr>
                <w:sz w:val="8"/>
                <w:szCs w:val="8"/>
                <w:color w:val="auto"/>
              </w:rPr>
            </w:pPr>
          </w:p>
        </w:tc>
        <w:tc>
          <w:tcPr>
            <w:tcW w:w="820" w:type="dxa"/>
            <w:vAlign w:val="bottom"/>
          </w:tcPr>
          <w:p>
            <w:pPr>
              <w:jc w:val="right"/>
              <w:spacing w:after="0" w:line="103" w:lineRule="exact"/>
              <w:rPr>
                <w:sz w:val="20"/>
                <w:szCs w:val="20"/>
                <w:color w:val="auto"/>
              </w:rPr>
            </w:pPr>
            <w:r>
              <w:rPr>
                <w:rFonts w:ascii="Times New Roman" w:cs="Times New Roman" w:eastAsia="Times New Roman" w:hAnsi="Times New Roman"/>
                <w:sz w:val="11"/>
                <w:szCs w:val="11"/>
                <w:color w:val="auto"/>
              </w:rPr>
              <w:t>3M L+550</w:t>
            </w:r>
          </w:p>
        </w:tc>
        <w:tc>
          <w:tcPr>
            <w:tcW w:w="1060" w:type="dxa"/>
            <w:vAlign w:val="bottom"/>
            <w:gridSpan w:val="2"/>
          </w:tcPr>
          <w:p>
            <w:pPr>
              <w:jc w:val="right"/>
              <w:spacing w:after="0" w:line="103" w:lineRule="exact"/>
              <w:rPr>
                <w:sz w:val="20"/>
                <w:szCs w:val="20"/>
                <w:color w:val="auto"/>
              </w:rPr>
            </w:pPr>
            <w:r>
              <w:rPr>
                <w:rFonts w:ascii="Times New Roman" w:cs="Times New Roman" w:eastAsia="Times New Roman" w:hAnsi="Times New Roman"/>
                <w:sz w:val="11"/>
                <w:szCs w:val="11"/>
                <w:color w:val="auto"/>
              </w:rPr>
              <w:t>14,568</w:t>
            </w: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jc w:val="right"/>
              <w:spacing w:after="0" w:line="103" w:lineRule="exact"/>
              <w:rPr>
                <w:sz w:val="20"/>
                <w:szCs w:val="20"/>
                <w:color w:val="auto"/>
              </w:rPr>
            </w:pPr>
            <w:r>
              <w:rPr>
                <w:rFonts w:ascii="Times New Roman" w:cs="Times New Roman" w:eastAsia="Times New Roman" w:hAnsi="Times New Roman"/>
                <w:sz w:val="11"/>
                <w:szCs w:val="11"/>
                <w:color w:val="auto"/>
              </w:rPr>
              <w:t>14,486</w:t>
            </w: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jc w:val="right"/>
              <w:spacing w:after="0" w:line="103" w:lineRule="exact"/>
              <w:rPr>
                <w:sz w:val="20"/>
                <w:szCs w:val="20"/>
                <w:color w:val="auto"/>
              </w:rPr>
            </w:pPr>
            <w:r>
              <w:rPr>
                <w:rFonts w:ascii="Times New Roman" w:cs="Times New Roman" w:eastAsia="Times New Roman" w:hAnsi="Times New Roman"/>
                <w:sz w:val="11"/>
                <w:szCs w:val="11"/>
                <w:color w:val="auto"/>
              </w:rPr>
              <w:t>14,568</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3"/>
        </w:trPr>
        <w:tc>
          <w:tcPr>
            <w:tcW w:w="2880" w:type="dxa"/>
            <w:vAlign w:val="bottom"/>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Anteriad, LLC (f/k/a MeritDirect, LLC) (Revolver) </w:t>
            </w:r>
            <w:r>
              <w:rPr>
                <w:rFonts w:ascii="Times New Roman" w:cs="Times New Roman" w:eastAsia="Times New Roman" w:hAnsi="Times New Roman"/>
                <w:sz w:val="14"/>
                <w:szCs w:val="14"/>
                <w:color w:val="auto"/>
                <w:vertAlign w:val="superscript"/>
              </w:rPr>
              <w:t>(7), (9)</w:t>
            </w:r>
          </w:p>
        </w:tc>
        <w:tc>
          <w:tcPr>
            <w:tcW w:w="900" w:type="dxa"/>
            <w:vAlign w:val="bottom"/>
          </w:tcPr>
          <w:p>
            <w:pPr>
              <w:jc w:val="center"/>
              <w:ind w:left="86"/>
              <w:spacing w:after="0"/>
              <w:rPr>
                <w:sz w:val="20"/>
                <w:szCs w:val="20"/>
                <w:color w:val="auto"/>
              </w:rPr>
            </w:pPr>
            <w:r>
              <w:rPr>
                <w:rFonts w:ascii="Times New Roman" w:cs="Times New Roman" w:eastAsia="Times New Roman" w:hAnsi="Times New Roman"/>
                <w:sz w:val="11"/>
                <w:szCs w:val="11"/>
                <w:color w:val="auto"/>
                <w:w w:val="95"/>
              </w:rPr>
              <w:t>05/23/2024</w:t>
            </w:r>
          </w:p>
        </w:tc>
        <w:tc>
          <w:tcPr>
            <w:tcW w:w="140" w:type="dxa"/>
            <w:vAlign w:val="bottom"/>
          </w:tcPr>
          <w:p>
            <w:pPr>
              <w:spacing w:after="0"/>
              <w:rPr>
                <w:sz w:val="13"/>
                <w:szCs w:val="13"/>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2"/>
              </w:rPr>
              <w:t>Media</w:t>
            </w:r>
          </w:p>
        </w:tc>
        <w:tc>
          <w:tcPr>
            <w:tcW w:w="120" w:type="dxa"/>
            <w:vAlign w:val="bottom"/>
          </w:tcPr>
          <w:p>
            <w:pPr>
              <w:spacing w:after="0"/>
              <w:rPr>
                <w:sz w:val="13"/>
                <w:szCs w:val="13"/>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2,869</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17"/>
        </w:trPr>
        <w:tc>
          <w:tcPr>
            <w:tcW w:w="2880" w:type="dxa"/>
            <w:vAlign w:val="bottom"/>
          </w:tcPr>
          <w:p>
            <w:pPr>
              <w:ind w:left="20"/>
              <w:spacing w:after="0" w:line="117" w:lineRule="exact"/>
              <w:rPr>
                <w:sz w:val="20"/>
                <w:szCs w:val="20"/>
                <w:color w:val="auto"/>
              </w:rPr>
            </w:pPr>
            <w:r>
              <w:rPr>
                <w:rFonts w:ascii="Times New Roman" w:cs="Times New Roman" w:eastAsia="Times New Roman" w:hAnsi="Times New Roman"/>
                <w:sz w:val="11"/>
                <w:szCs w:val="11"/>
                <w:color w:val="auto"/>
              </w:rPr>
              <w:t>Any Hour Services</w:t>
            </w:r>
          </w:p>
        </w:tc>
        <w:tc>
          <w:tcPr>
            <w:tcW w:w="900" w:type="dxa"/>
            <w:vAlign w:val="bottom"/>
          </w:tcPr>
          <w:p>
            <w:pPr>
              <w:jc w:val="center"/>
              <w:ind w:left="86"/>
              <w:spacing w:after="0" w:line="117" w:lineRule="exact"/>
              <w:rPr>
                <w:sz w:val="20"/>
                <w:szCs w:val="20"/>
                <w:color w:val="auto"/>
              </w:rPr>
            </w:pPr>
            <w:r>
              <w:rPr>
                <w:rFonts w:ascii="Times New Roman" w:cs="Times New Roman" w:eastAsia="Times New Roman" w:hAnsi="Times New Roman"/>
                <w:sz w:val="11"/>
                <w:szCs w:val="11"/>
                <w:color w:val="auto"/>
                <w:w w:val="95"/>
              </w:rPr>
              <w:t>07/21/2027</w:t>
            </w:r>
          </w:p>
        </w:tc>
        <w:tc>
          <w:tcPr>
            <w:tcW w:w="140" w:type="dxa"/>
            <w:vAlign w:val="bottom"/>
          </w:tcPr>
          <w:p>
            <w:pPr>
              <w:spacing w:after="0"/>
              <w:rPr>
                <w:sz w:val="10"/>
                <w:szCs w:val="10"/>
                <w:color w:val="auto"/>
              </w:rPr>
            </w:pPr>
          </w:p>
        </w:tc>
        <w:tc>
          <w:tcPr>
            <w:tcW w:w="202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color w:val="auto"/>
                <w:w w:val="97"/>
              </w:rPr>
              <w:t>Energy Equipment and Services</w:t>
            </w:r>
          </w:p>
        </w:tc>
        <w:tc>
          <w:tcPr>
            <w:tcW w:w="1100" w:type="dxa"/>
            <w:vAlign w:val="bottom"/>
            <w:gridSpan w:val="3"/>
          </w:tcPr>
          <w:p>
            <w:pPr>
              <w:jc w:val="right"/>
              <w:ind w:right="20"/>
              <w:spacing w:after="0" w:line="117" w:lineRule="exact"/>
              <w:rPr>
                <w:sz w:val="20"/>
                <w:szCs w:val="20"/>
                <w:color w:val="auto"/>
              </w:rPr>
            </w:pPr>
            <w:r>
              <w:rPr>
                <w:rFonts w:ascii="Times New Roman" w:cs="Times New Roman" w:eastAsia="Times New Roman" w:hAnsi="Times New Roman"/>
                <w:sz w:val="11"/>
                <w:szCs w:val="11"/>
                <w:color w:val="auto"/>
              </w:rPr>
              <w:t>7.43 %</w:t>
            </w:r>
          </w:p>
        </w:tc>
        <w:tc>
          <w:tcPr>
            <w:tcW w:w="140" w:type="dxa"/>
            <w:vAlign w:val="bottom"/>
          </w:tcPr>
          <w:p>
            <w:pPr>
              <w:spacing w:after="0"/>
              <w:rPr>
                <w:sz w:val="10"/>
                <w:szCs w:val="10"/>
                <w:color w:val="auto"/>
              </w:rPr>
            </w:pPr>
          </w:p>
        </w:tc>
        <w:tc>
          <w:tcPr>
            <w:tcW w:w="82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3M L+525</w:t>
            </w:r>
          </w:p>
        </w:tc>
        <w:tc>
          <w:tcPr>
            <w:tcW w:w="106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1"/>
                <w:szCs w:val="11"/>
                <w:color w:val="auto"/>
              </w:rPr>
              <w:t>10,536</w:t>
            </w: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10,432</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10,326</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880" w:type="dxa"/>
            <w:vAlign w:val="bottom"/>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Any Hour Services (Revolver) </w:t>
            </w:r>
            <w:r>
              <w:rPr>
                <w:rFonts w:ascii="Times New Roman" w:cs="Times New Roman" w:eastAsia="Times New Roman" w:hAnsi="Times New Roman"/>
                <w:sz w:val="14"/>
                <w:szCs w:val="14"/>
                <w:color w:val="auto"/>
                <w:vertAlign w:val="superscript"/>
              </w:rPr>
              <w:t>(7), (9)</w:t>
            </w:r>
          </w:p>
        </w:tc>
        <w:tc>
          <w:tcPr>
            <w:tcW w:w="900" w:type="dxa"/>
            <w:vAlign w:val="bottom"/>
          </w:tcPr>
          <w:p>
            <w:pPr>
              <w:jc w:val="center"/>
              <w:ind w:left="86"/>
              <w:spacing w:after="0"/>
              <w:rPr>
                <w:sz w:val="20"/>
                <w:szCs w:val="20"/>
                <w:color w:val="auto"/>
              </w:rPr>
            </w:pPr>
            <w:r>
              <w:rPr>
                <w:rFonts w:ascii="Times New Roman" w:cs="Times New Roman" w:eastAsia="Times New Roman" w:hAnsi="Times New Roman"/>
                <w:sz w:val="11"/>
                <w:szCs w:val="11"/>
                <w:color w:val="auto"/>
                <w:w w:val="95"/>
              </w:rPr>
              <w:t>07/21/2027</w:t>
            </w:r>
          </w:p>
        </w:tc>
        <w:tc>
          <w:tcPr>
            <w:tcW w:w="140" w:type="dxa"/>
            <w:vAlign w:val="bottom"/>
          </w:tcPr>
          <w:p>
            <w:pPr>
              <w:spacing w:after="0"/>
              <w:rPr>
                <w:sz w:val="13"/>
                <w:szCs w:val="13"/>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Energy Equipment and Services</w:t>
            </w:r>
          </w:p>
        </w:tc>
        <w:tc>
          <w:tcPr>
            <w:tcW w:w="120" w:type="dxa"/>
            <w:vAlign w:val="bottom"/>
          </w:tcPr>
          <w:p>
            <w:pPr>
              <w:spacing w:after="0"/>
              <w:rPr>
                <w:sz w:val="13"/>
                <w:szCs w:val="13"/>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1,147</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(23 )</w:t>
            </w:r>
          </w:p>
        </w:tc>
        <w:tc>
          <w:tcPr>
            <w:tcW w:w="0" w:type="dxa"/>
            <w:vAlign w:val="bottom"/>
          </w:tcPr>
          <w:p>
            <w:pPr>
              <w:spacing w:after="0"/>
              <w:rPr>
                <w:sz w:val="1"/>
                <w:szCs w:val="1"/>
                <w:color w:val="auto"/>
              </w:rPr>
            </w:pPr>
          </w:p>
        </w:tc>
      </w:tr>
      <w:tr>
        <w:trPr>
          <w:trHeight w:val="144"/>
        </w:trPr>
        <w:tc>
          <w:tcPr>
            <w:tcW w:w="28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Apex Service Partners, LLC</w:t>
            </w:r>
          </w:p>
        </w:tc>
        <w:tc>
          <w:tcPr>
            <w:tcW w:w="900" w:type="dxa"/>
            <w:vAlign w:val="bottom"/>
          </w:tcPr>
          <w:p>
            <w:pPr>
              <w:jc w:val="center"/>
              <w:ind w:left="86"/>
              <w:spacing w:after="0"/>
              <w:rPr>
                <w:sz w:val="20"/>
                <w:szCs w:val="20"/>
                <w:color w:val="auto"/>
              </w:rPr>
            </w:pPr>
            <w:r>
              <w:rPr>
                <w:rFonts w:ascii="Times New Roman" w:cs="Times New Roman" w:eastAsia="Times New Roman" w:hAnsi="Times New Roman"/>
                <w:sz w:val="11"/>
                <w:szCs w:val="11"/>
                <w:color w:val="auto"/>
                <w:w w:val="95"/>
              </w:rPr>
              <w:t>07/31/2025</w:t>
            </w:r>
          </w:p>
        </w:tc>
        <w:tc>
          <w:tcPr>
            <w:tcW w:w="140" w:type="dxa"/>
            <w:vAlign w:val="bottom"/>
          </w:tcPr>
          <w:p>
            <w:pPr>
              <w:spacing w:after="0"/>
              <w:rPr>
                <w:sz w:val="12"/>
                <w:szCs w:val="12"/>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Diversified Consumer Services</w:t>
            </w:r>
          </w:p>
        </w:tc>
        <w:tc>
          <w:tcPr>
            <w:tcW w:w="1100" w:type="dxa"/>
            <w:vAlign w:val="bottom"/>
            <w:gridSpan w:val="3"/>
          </w:tcPr>
          <w:p>
            <w:pPr>
              <w:jc w:val="right"/>
              <w:ind w:right="20"/>
              <w:spacing w:after="0"/>
              <w:rPr>
                <w:sz w:val="20"/>
                <w:szCs w:val="20"/>
                <w:color w:val="auto"/>
              </w:rPr>
            </w:pPr>
            <w:r>
              <w:rPr>
                <w:rFonts w:ascii="Times New Roman" w:cs="Times New Roman" w:eastAsia="Times New Roman" w:hAnsi="Times New Roman"/>
                <w:sz w:val="11"/>
                <w:szCs w:val="11"/>
                <w:color w:val="auto"/>
              </w:rPr>
              <w:t>6.72 %</w:t>
            </w:r>
          </w:p>
        </w:tc>
        <w:tc>
          <w:tcPr>
            <w:tcW w:w="14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1M L+525</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6,208</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6,166</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6,177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8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Apex Service Partners, LLC Term Loan B</w:t>
            </w:r>
          </w:p>
        </w:tc>
        <w:tc>
          <w:tcPr>
            <w:tcW w:w="900" w:type="dxa"/>
            <w:vAlign w:val="bottom"/>
            <w:shd w:val="clear" w:color="auto" w:fill="CCECFF"/>
          </w:tcPr>
          <w:p>
            <w:pPr>
              <w:jc w:val="center"/>
              <w:ind w:left="86"/>
              <w:spacing w:after="0"/>
              <w:rPr>
                <w:sz w:val="20"/>
                <w:szCs w:val="20"/>
                <w:color w:val="auto"/>
              </w:rPr>
            </w:pPr>
            <w:r>
              <w:rPr>
                <w:rFonts w:ascii="Times New Roman" w:cs="Times New Roman" w:eastAsia="Times New Roman" w:hAnsi="Times New Roman"/>
                <w:sz w:val="11"/>
                <w:szCs w:val="11"/>
                <w:color w:val="auto"/>
                <w:w w:val="95"/>
              </w:rPr>
              <w:t>07/31/2025</w:t>
            </w:r>
          </w:p>
        </w:tc>
        <w:tc>
          <w:tcPr>
            <w:tcW w:w="140" w:type="dxa"/>
            <w:vAlign w:val="bottom"/>
            <w:shd w:val="clear" w:color="auto" w:fill="CCECFF"/>
          </w:tcPr>
          <w:p>
            <w:pPr>
              <w:spacing w:after="0"/>
              <w:rPr>
                <w:sz w:val="12"/>
                <w:szCs w:val="12"/>
                <w:color w:val="auto"/>
              </w:rPr>
            </w:pPr>
          </w:p>
        </w:tc>
        <w:tc>
          <w:tcPr>
            <w:tcW w:w="2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Diversified Consumer Services</w:t>
            </w:r>
          </w:p>
        </w:tc>
        <w:tc>
          <w:tcPr>
            <w:tcW w:w="1100" w:type="dxa"/>
            <w:vAlign w:val="bottom"/>
            <w:gridSpan w:val="3"/>
            <w:shd w:val="clear" w:color="auto" w:fill="CCECFF"/>
          </w:tcPr>
          <w:p>
            <w:pPr>
              <w:jc w:val="right"/>
              <w:ind w:right="20"/>
              <w:spacing w:after="0"/>
              <w:rPr>
                <w:sz w:val="20"/>
                <w:szCs w:val="20"/>
                <w:color w:val="auto"/>
              </w:rPr>
            </w:pPr>
            <w:r>
              <w:rPr>
                <w:rFonts w:ascii="Times New Roman" w:cs="Times New Roman" w:eastAsia="Times New Roman" w:hAnsi="Times New Roman"/>
                <w:sz w:val="11"/>
                <w:szCs w:val="11"/>
                <w:color w:val="auto"/>
              </w:rPr>
              <w:t>9.67 %</w:t>
            </w:r>
          </w:p>
        </w:tc>
        <w:tc>
          <w:tcPr>
            <w:tcW w:w="140" w:type="dxa"/>
            <w:vAlign w:val="bottom"/>
            <w:shd w:val="clear" w:color="auto" w:fill="CCECFF"/>
          </w:tcPr>
          <w:p>
            <w:pPr>
              <w:spacing w:after="0"/>
              <w:rPr>
                <w:sz w:val="12"/>
                <w:szCs w:val="12"/>
                <w:color w:val="auto"/>
              </w:rPr>
            </w:pPr>
          </w:p>
        </w:tc>
        <w:tc>
          <w:tcPr>
            <w:tcW w:w="8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1M L+550</w:t>
            </w:r>
          </w:p>
        </w:tc>
        <w:tc>
          <w:tcPr>
            <w:tcW w:w="106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296</w:t>
            </w:r>
          </w:p>
        </w:tc>
        <w:tc>
          <w:tcPr>
            <w:tcW w:w="22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296</w:t>
            </w:r>
          </w:p>
        </w:tc>
        <w:tc>
          <w:tcPr>
            <w:tcW w:w="2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7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295</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03"/>
        </w:trPr>
        <w:tc>
          <w:tcPr>
            <w:tcW w:w="2880" w:type="dxa"/>
            <w:vAlign w:val="bottom"/>
          </w:tcPr>
          <w:p>
            <w:pPr>
              <w:ind w:left="20"/>
              <w:spacing w:after="0" w:line="103" w:lineRule="exact"/>
              <w:rPr>
                <w:sz w:val="20"/>
                <w:szCs w:val="20"/>
                <w:color w:val="auto"/>
              </w:rPr>
            </w:pPr>
            <w:r>
              <w:rPr>
                <w:rFonts w:ascii="Times New Roman" w:cs="Times New Roman" w:eastAsia="Times New Roman" w:hAnsi="Times New Roman"/>
                <w:sz w:val="11"/>
                <w:szCs w:val="11"/>
                <w:color w:val="auto"/>
              </w:rPr>
              <w:t>Apex Service Partners, LLC Term Loan C</w:t>
            </w:r>
          </w:p>
        </w:tc>
        <w:tc>
          <w:tcPr>
            <w:tcW w:w="900" w:type="dxa"/>
            <w:vAlign w:val="bottom"/>
          </w:tcPr>
          <w:p>
            <w:pPr>
              <w:jc w:val="center"/>
              <w:ind w:left="86"/>
              <w:spacing w:after="0" w:line="103" w:lineRule="exact"/>
              <w:rPr>
                <w:sz w:val="20"/>
                <w:szCs w:val="20"/>
                <w:color w:val="auto"/>
              </w:rPr>
            </w:pPr>
            <w:r>
              <w:rPr>
                <w:rFonts w:ascii="Times New Roman" w:cs="Times New Roman" w:eastAsia="Times New Roman" w:hAnsi="Times New Roman"/>
                <w:sz w:val="11"/>
                <w:szCs w:val="11"/>
                <w:color w:val="auto"/>
                <w:w w:val="95"/>
              </w:rPr>
              <w:t>07/31/2025</w:t>
            </w:r>
          </w:p>
        </w:tc>
        <w:tc>
          <w:tcPr>
            <w:tcW w:w="140" w:type="dxa"/>
            <w:vAlign w:val="bottom"/>
          </w:tcPr>
          <w:p>
            <w:pPr>
              <w:spacing w:after="0"/>
              <w:rPr>
                <w:sz w:val="8"/>
                <w:szCs w:val="8"/>
                <w:color w:val="auto"/>
              </w:rPr>
            </w:pPr>
          </w:p>
        </w:tc>
        <w:tc>
          <w:tcPr>
            <w:tcW w:w="2020" w:type="dxa"/>
            <w:vAlign w:val="bottom"/>
          </w:tcPr>
          <w:p>
            <w:pPr>
              <w:jc w:val="center"/>
              <w:spacing w:after="0" w:line="103" w:lineRule="exact"/>
              <w:rPr>
                <w:sz w:val="20"/>
                <w:szCs w:val="20"/>
                <w:color w:val="auto"/>
              </w:rPr>
            </w:pPr>
            <w:r>
              <w:rPr>
                <w:rFonts w:ascii="Times New Roman" w:cs="Times New Roman" w:eastAsia="Times New Roman" w:hAnsi="Times New Roman"/>
                <w:sz w:val="11"/>
                <w:szCs w:val="11"/>
                <w:color w:val="auto"/>
                <w:w w:val="97"/>
              </w:rPr>
              <w:t>Diversified Consumer Services</w:t>
            </w:r>
          </w:p>
        </w:tc>
        <w:tc>
          <w:tcPr>
            <w:tcW w:w="1100" w:type="dxa"/>
            <w:vAlign w:val="bottom"/>
            <w:gridSpan w:val="3"/>
          </w:tcPr>
          <w:p>
            <w:pPr>
              <w:jc w:val="right"/>
              <w:ind w:right="20"/>
              <w:spacing w:after="0" w:line="103" w:lineRule="exact"/>
              <w:rPr>
                <w:sz w:val="20"/>
                <w:szCs w:val="20"/>
                <w:color w:val="auto"/>
              </w:rPr>
            </w:pPr>
            <w:r>
              <w:rPr>
                <w:rFonts w:ascii="Times New Roman" w:cs="Times New Roman" w:eastAsia="Times New Roman" w:hAnsi="Times New Roman"/>
                <w:sz w:val="11"/>
                <w:szCs w:val="11"/>
                <w:color w:val="auto"/>
              </w:rPr>
              <w:t>7.75 %</w:t>
            </w:r>
          </w:p>
        </w:tc>
        <w:tc>
          <w:tcPr>
            <w:tcW w:w="140" w:type="dxa"/>
            <w:vAlign w:val="bottom"/>
          </w:tcPr>
          <w:p>
            <w:pPr>
              <w:spacing w:after="0"/>
              <w:rPr>
                <w:sz w:val="8"/>
                <w:szCs w:val="8"/>
                <w:color w:val="auto"/>
              </w:rPr>
            </w:pPr>
          </w:p>
        </w:tc>
        <w:tc>
          <w:tcPr>
            <w:tcW w:w="820" w:type="dxa"/>
            <w:vAlign w:val="bottom"/>
          </w:tcPr>
          <w:p>
            <w:pPr>
              <w:jc w:val="right"/>
              <w:spacing w:after="0" w:line="103" w:lineRule="exact"/>
              <w:rPr>
                <w:sz w:val="20"/>
                <w:szCs w:val="20"/>
                <w:color w:val="auto"/>
              </w:rPr>
            </w:pPr>
            <w:r>
              <w:rPr>
                <w:rFonts w:ascii="Times New Roman" w:cs="Times New Roman" w:eastAsia="Times New Roman" w:hAnsi="Times New Roman"/>
                <w:sz w:val="11"/>
                <w:szCs w:val="11"/>
                <w:color w:val="auto"/>
              </w:rPr>
              <w:t>1M L+525</w:t>
            </w:r>
          </w:p>
        </w:tc>
        <w:tc>
          <w:tcPr>
            <w:tcW w:w="1060" w:type="dxa"/>
            <w:vAlign w:val="bottom"/>
            <w:gridSpan w:val="2"/>
          </w:tcPr>
          <w:p>
            <w:pPr>
              <w:jc w:val="right"/>
              <w:spacing w:after="0" w:line="103" w:lineRule="exact"/>
              <w:rPr>
                <w:sz w:val="20"/>
                <w:szCs w:val="20"/>
                <w:color w:val="auto"/>
              </w:rPr>
            </w:pPr>
            <w:r>
              <w:rPr>
                <w:rFonts w:ascii="Times New Roman" w:cs="Times New Roman" w:eastAsia="Times New Roman" w:hAnsi="Times New Roman"/>
                <w:sz w:val="11"/>
                <w:szCs w:val="11"/>
                <w:color w:val="auto"/>
              </w:rPr>
              <w:t>12,906</w:t>
            </w: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jc w:val="right"/>
              <w:spacing w:after="0" w:line="103" w:lineRule="exact"/>
              <w:rPr>
                <w:sz w:val="20"/>
                <w:szCs w:val="20"/>
                <w:color w:val="auto"/>
              </w:rPr>
            </w:pPr>
            <w:r>
              <w:rPr>
                <w:rFonts w:ascii="Times New Roman" w:cs="Times New Roman" w:eastAsia="Times New Roman" w:hAnsi="Times New Roman"/>
                <w:sz w:val="11"/>
                <w:szCs w:val="11"/>
                <w:color w:val="auto"/>
              </w:rPr>
              <w:t>12,814</w:t>
            </w: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jc w:val="right"/>
              <w:spacing w:after="0" w:line="103" w:lineRule="exact"/>
              <w:rPr>
                <w:sz w:val="20"/>
                <w:szCs w:val="20"/>
                <w:color w:val="auto"/>
              </w:rPr>
            </w:pPr>
            <w:r>
              <w:rPr>
                <w:rFonts w:ascii="Times New Roman" w:cs="Times New Roman" w:eastAsia="Times New Roman" w:hAnsi="Times New Roman"/>
                <w:sz w:val="11"/>
                <w:szCs w:val="11"/>
                <w:color w:val="auto"/>
              </w:rPr>
              <w:t>12,841</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3"/>
        </w:trPr>
        <w:tc>
          <w:tcPr>
            <w:tcW w:w="2880" w:type="dxa"/>
            <w:vAlign w:val="bottom"/>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Apex Service Partners, LLC (Revolver) </w:t>
            </w:r>
            <w:r>
              <w:rPr>
                <w:rFonts w:ascii="Times New Roman" w:cs="Times New Roman" w:eastAsia="Times New Roman" w:hAnsi="Times New Roman"/>
                <w:sz w:val="14"/>
                <w:szCs w:val="14"/>
                <w:color w:val="auto"/>
                <w:vertAlign w:val="superscript"/>
              </w:rPr>
              <w:t>(7), (9)</w:t>
            </w:r>
          </w:p>
        </w:tc>
        <w:tc>
          <w:tcPr>
            <w:tcW w:w="900" w:type="dxa"/>
            <w:vAlign w:val="bottom"/>
          </w:tcPr>
          <w:p>
            <w:pPr>
              <w:jc w:val="center"/>
              <w:ind w:left="86"/>
              <w:spacing w:after="0"/>
              <w:rPr>
                <w:sz w:val="20"/>
                <w:szCs w:val="20"/>
                <w:color w:val="auto"/>
              </w:rPr>
            </w:pPr>
            <w:r>
              <w:rPr>
                <w:rFonts w:ascii="Times New Roman" w:cs="Times New Roman" w:eastAsia="Times New Roman" w:hAnsi="Times New Roman"/>
                <w:sz w:val="11"/>
                <w:szCs w:val="11"/>
                <w:color w:val="auto"/>
                <w:w w:val="95"/>
              </w:rPr>
              <w:t>07/31/2025</w:t>
            </w:r>
          </w:p>
        </w:tc>
        <w:tc>
          <w:tcPr>
            <w:tcW w:w="140" w:type="dxa"/>
            <w:vAlign w:val="bottom"/>
          </w:tcPr>
          <w:p>
            <w:pPr>
              <w:spacing w:after="0"/>
              <w:rPr>
                <w:sz w:val="13"/>
                <w:szCs w:val="13"/>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Diversified Consumer Services</w:t>
            </w:r>
          </w:p>
        </w:tc>
        <w:tc>
          <w:tcPr>
            <w:tcW w:w="120" w:type="dxa"/>
            <w:vAlign w:val="bottom"/>
          </w:tcPr>
          <w:p>
            <w:pPr>
              <w:spacing w:after="0"/>
              <w:rPr>
                <w:sz w:val="13"/>
                <w:szCs w:val="13"/>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1,845</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(9 )</w:t>
            </w:r>
          </w:p>
        </w:tc>
        <w:tc>
          <w:tcPr>
            <w:tcW w:w="0" w:type="dxa"/>
            <w:vAlign w:val="bottom"/>
          </w:tcPr>
          <w:p>
            <w:pPr>
              <w:spacing w:after="0"/>
              <w:rPr>
                <w:sz w:val="1"/>
                <w:szCs w:val="1"/>
                <w:color w:val="auto"/>
              </w:rPr>
            </w:pPr>
          </w:p>
        </w:tc>
      </w:tr>
      <w:tr>
        <w:trPr>
          <w:trHeight w:val="108"/>
        </w:trPr>
        <w:tc>
          <w:tcPr>
            <w:tcW w:w="2880" w:type="dxa"/>
            <w:vAlign w:val="bottom"/>
          </w:tcPr>
          <w:p>
            <w:pPr>
              <w:ind w:left="20"/>
              <w:spacing w:after="0" w:line="109" w:lineRule="exact"/>
              <w:rPr>
                <w:sz w:val="20"/>
                <w:szCs w:val="20"/>
                <w:color w:val="auto"/>
              </w:rPr>
            </w:pPr>
            <w:r>
              <w:rPr>
                <w:rFonts w:ascii="Times New Roman" w:cs="Times New Roman" w:eastAsia="Times New Roman" w:hAnsi="Times New Roman"/>
                <w:sz w:val="11"/>
                <w:szCs w:val="11"/>
                <w:color w:val="auto"/>
              </w:rPr>
              <w:t>API Holding III Corp.</w:t>
            </w:r>
          </w:p>
        </w:tc>
        <w:tc>
          <w:tcPr>
            <w:tcW w:w="900" w:type="dxa"/>
            <w:vAlign w:val="bottom"/>
          </w:tcPr>
          <w:p>
            <w:pPr>
              <w:jc w:val="center"/>
              <w:ind w:left="86"/>
              <w:spacing w:after="0" w:line="109" w:lineRule="exact"/>
              <w:rPr>
                <w:sz w:val="20"/>
                <w:szCs w:val="20"/>
                <w:color w:val="auto"/>
              </w:rPr>
            </w:pPr>
            <w:r>
              <w:rPr>
                <w:rFonts w:ascii="Times New Roman" w:cs="Times New Roman" w:eastAsia="Times New Roman" w:hAnsi="Times New Roman"/>
                <w:sz w:val="11"/>
                <w:szCs w:val="11"/>
                <w:color w:val="auto"/>
                <w:w w:val="95"/>
              </w:rPr>
              <w:t>05/11/2026</w:t>
            </w:r>
          </w:p>
        </w:tc>
        <w:tc>
          <w:tcPr>
            <w:tcW w:w="140" w:type="dxa"/>
            <w:vAlign w:val="bottom"/>
          </w:tcPr>
          <w:p>
            <w:pPr>
              <w:spacing w:after="0"/>
              <w:rPr>
                <w:sz w:val="9"/>
                <w:szCs w:val="9"/>
                <w:color w:val="auto"/>
              </w:rPr>
            </w:pPr>
          </w:p>
        </w:tc>
        <w:tc>
          <w:tcPr>
            <w:tcW w:w="2020" w:type="dxa"/>
            <w:vAlign w:val="bottom"/>
          </w:tcPr>
          <w:p>
            <w:pPr>
              <w:jc w:val="center"/>
              <w:spacing w:after="0" w:line="109" w:lineRule="exact"/>
              <w:rPr>
                <w:sz w:val="20"/>
                <w:szCs w:val="20"/>
                <w:color w:val="auto"/>
              </w:rPr>
            </w:pPr>
            <w:r>
              <w:rPr>
                <w:rFonts w:ascii="Times New Roman" w:cs="Times New Roman" w:eastAsia="Times New Roman" w:hAnsi="Times New Roman"/>
                <w:sz w:val="11"/>
                <w:szCs w:val="11"/>
                <w:color w:val="auto"/>
                <w:w w:val="98"/>
              </w:rPr>
              <w:t>Electronic Equipment, Instruments, and</w:t>
            </w:r>
          </w:p>
        </w:tc>
        <w:tc>
          <w:tcPr>
            <w:tcW w:w="1100" w:type="dxa"/>
            <w:vAlign w:val="bottom"/>
            <w:gridSpan w:val="3"/>
          </w:tcPr>
          <w:p>
            <w:pPr>
              <w:jc w:val="right"/>
              <w:ind w:right="20"/>
              <w:spacing w:after="0" w:line="109" w:lineRule="exact"/>
              <w:rPr>
                <w:sz w:val="20"/>
                <w:szCs w:val="20"/>
                <w:color w:val="auto"/>
              </w:rPr>
            </w:pPr>
            <w:r>
              <w:rPr>
                <w:rFonts w:ascii="Times New Roman" w:cs="Times New Roman" w:eastAsia="Times New Roman" w:hAnsi="Times New Roman"/>
                <w:sz w:val="11"/>
                <w:szCs w:val="11"/>
                <w:color w:val="auto"/>
              </w:rPr>
              <w:t>7.92 %</w:t>
            </w:r>
          </w:p>
        </w:tc>
        <w:tc>
          <w:tcPr>
            <w:tcW w:w="140" w:type="dxa"/>
            <w:vAlign w:val="bottom"/>
          </w:tcPr>
          <w:p>
            <w:pPr>
              <w:spacing w:after="0"/>
              <w:rPr>
                <w:sz w:val="9"/>
                <w:szCs w:val="9"/>
                <w:color w:val="auto"/>
              </w:rPr>
            </w:pPr>
          </w:p>
        </w:tc>
        <w:tc>
          <w:tcPr>
            <w:tcW w:w="820" w:type="dxa"/>
            <w:vAlign w:val="bottom"/>
          </w:tcPr>
          <w:p>
            <w:pPr>
              <w:jc w:val="right"/>
              <w:spacing w:after="0" w:line="109" w:lineRule="exact"/>
              <w:rPr>
                <w:sz w:val="20"/>
                <w:szCs w:val="20"/>
                <w:color w:val="auto"/>
              </w:rPr>
            </w:pPr>
            <w:r>
              <w:rPr>
                <w:rFonts w:ascii="Times New Roman" w:cs="Times New Roman" w:eastAsia="Times New Roman" w:hAnsi="Times New Roman"/>
                <w:sz w:val="11"/>
                <w:szCs w:val="11"/>
                <w:color w:val="auto"/>
              </w:rPr>
              <w:t>1M L+425</w:t>
            </w:r>
          </w:p>
        </w:tc>
        <w:tc>
          <w:tcPr>
            <w:tcW w:w="1060" w:type="dxa"/>
            <w:vAlign w:val="bottom"/>
            <w:gridSpan w:val="2"/>
          </w:tcPr>
          <w:p>
            <w:pPr>
              <w:jc w:val="right"/>
              <w:spacing w:after="0" w:line="109" w:lineRule="exact"/>
              <w:rPr>
                <w:sz w:val="20"/>
                <w:szCs w:val="20"/>
                <w:color w:val="auto"/>
              </w:rPr>
            </w:pPr>
            <w:r>
              <w:rPr>
                <w:rFonts w:ascii="Times New Roman" w:cs="Times New Roman" w:eastAsia="Times New Roman" w:hAnsi="Times New Roman"/>
                <w:sz w:val="11"/>
                <w:szCs w:val="11"/>
                <w:color w:val="auto"/>
              </w:rPr>
              <w:t>5,805</w:t>
            </w: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jc w:val="right"/>
              <w:spacing w:after="0" w:line="109" w:lineRule="exact"/>
              <w:rPr>
                <w:sz w:val="20"/>
                <w:szCs w:val="20"/>
                <w:color w:val="auto"/>
              </w:rPr>
            </w:pPr>
            <w:r>
              <w:rPr>
                <w:rFonts w:ascii="Times New Roman" w:cs="Times New Roman" w:eastAsia="Times New Roman" w:hAnsi="Times New Roman"/>
                <w:sz w:val="11"/>
                <w:szCs w:val="11"/>
                <w:color w:val="auto"/>
              </w:rPr>
              <w:t>5,785</w:t>
            </w: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jc w:val="right"/>
              <w:spacing w:after="0" w:line="109" w:lineRule="exact"/>
              <w:rPr>
                <w:sz w:val="20"/>
                <w:szCs w:val="20"/>
                <w:color w:val="auto"/>
              </w:rPr>
            </w:pPr>
            <w:r>
              <w:rPr>
                <w:rFonts w:ascii="Times New Roman" w:cs="Times New Roman" w:eastAsia="Times New Roman" w:hAnsi="Times New Roman"/>
                <w:sz w:val="11"/>
                <w:szCs w:val="11"/>
                <w:color w:val="auto"/>
              </w:rPr>
              <w:t>5,050</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0"/>
        </w:trPr>
        <w:tc>
          <w:tcPr>
            <w:tcW w:w="28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Components</w:t>
            </w: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28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28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Applied Technical Services, LLC</w:t>
            </w:r>
          </w:p>
        </w:tc>
        <w:tc>
          <w:tcPr>
            <w:tcW w:w="900" w:type="dxa"/>
            <w:vAlign w:val="bottom"/>
            <w:shd w:val="clear" w:color="auto" w:fill="CCECFF"/>
          </w:tcPr>
          <w:p>
            <w:pPr>
              <w:jc w:val="center"/>
              <w:ind w:left="86"/>
              <w:spacing w:after="0"/>
              <w:rPr>
                <w:sz w:val="20"/>
                <w:szCs w:val="20"/>
                <w:color w:val="auto"/>
              </w:rPr>
            </w:pPr>
            <w:r>
              <w:rPr>
                <w:rFonts w:ascii="Times New Roman" w:cs="Times New Roman" w:eastAsia="Times New Roman" w:hAnsi="Times New Roman"/>
                <w:sz w:val="11"/>
                <w:szCs w:val="11"/>
                <w:color w:val="auto"/>
                <w:w w:val="95"/>
              </w:rPr>
              <w:t>12/29/2026</w:t>
            </w:r>
          </w:p>
        </w:tc>
        <w:tc>
          <w:tcPr>
            <w:tcW w:w="140" w:type="dxa"/>
            <w:vAlign w:val="bottom"/>
            <w:shd w:val="clear" w:color="auto" w:fill="CCECFF"/>
          </w:tcPr>
          <w:p>
            <w:pPr>
              <w:spacing w:after="0"/>
              <w:rPr>
                <w:sz w:val="11"/>
                <w:szCs w:val="11"/>
                <w:color w:val="auto"/>
              </w:rPr>
            </w:pPr>
          </w:p>
        </w:tc>
        <w:tc>
          <w:tcPr>
            <w:tcW w:w="2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6"/>
              </w:rPr>
              <w:t>Commercial Services &amp; Supplies</w:t>
            </w:r>
          </w:p>
        </w:tc>
        <w:tc>
          <w:tcPr>
            <w:tcW w:w="1100" w:type="dxa"/>
            <w:vAlign w:val="bottom"/>
            <w:gridSpan w:val="3"/>
            <w:shd w:val="clear" w:color="auto" w:fill="CCECFF"/>
          </w:tcPr>
          <w:p>
            <w:pPr>
              <w:jc w:val="right"/>
              <w:ind w:right="20"/>
              <w:spacing w:after="0"/>
              <w:rPr>
                <w:sz w:val="20"/>
                <w:szCs w:val="20"/>
                <w:color w:val="auto"/>
              </w:rPr>
            </w:pPr>
            <w:r>
              <w:rPr>
                <w:rFonts w:ascii="Times New Roman" w:cs="Times New Roman" w:eastAsia="Times New Roman" w:hAnsi="Times New Roman"/>
                <w:sz w:val="11"/>
                <w:szCs w:val="11"/>
                <w:color w:val="auto"/>
              </w:rPr>
              <w:t>9.42 %</w:t>
            </w:r>
          </w:p>
        </w:tc>
        <w:tc>
          <w:tcPr>
            <w:tcW w:w="140" w:type="dxa"/>
            <w:vAlign w:val="bottom"/>
            <w:shd w:val="clear" w:color="auto" w:fill="CCECFF"/>
          </w:tcPr>
          <w:p>
            <w:pPr>
              <w:spacing w:after="0"/>
              <w:rPr>
                <w:sz w:val="11"/>
                <w:szCs w:val="11"/>
                <w:color w:val="auto"/>
              </w:rPr>
            </w:pPr>
          </w:p>
        </w:tc>
        <w:tc>
          <w:tcPr>
            <w:tcW w:w="8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L+575</w:t>
            </w:r>
          </w:p>
        </w:tc>
        <w:tc>
          <w:tcPr>
            <w:tcW w:w="106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7,147</w:t>
            </w:r>
          </w:p>
        </w:tc>
        <w:tc>
          <w:tcPr>
            <w:tcW w:w="22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7,040</w:t>
            </w:r>
          </w:p>
        </w:tc>
        <w:tc>
          <w:tcPr>
            <w:tcW w:w="20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7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6,968</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03"/>
        </w:trPr>
        <w:tc>
          <w:tcPr>
            <w:tcW w:w="2880" w:type="dxa"/>
            <w:vAlign w:val="bottom"/>
          </w:tcPr>
          <w:p>
            <w:pPr>
              <w:ind w:left="20"/>
              <w:spacing w:after="0" w:line="103" w:lineRule="exact"/>
              <w:rPr>
                <w:sz w:val="20"/>
                <w:szCs w:val="20"/>
                <w:color w:val="auto"/>
              </w:rPr>
            </w:pPr>
            <w:r>
              <w:rPr>
                <w:rFonts w:ascii="Times New Roman" w:cs="Times New Roman" w:eastAsia="Times New Roman" w:hAnsi="Times New Roman"/>
                <w:sz w:val="11"/>
                <w:szCs w:val="11"/>
                <w:color w:val="auto"/>
              </w:rPr>
              <w:t>Applied Technical Services, LLC (Unfunded Term Loan)</w:t>
            </w:r>
          </w:p>
        </w:tc>
        <w:tc>
          <w:tcPr>
            <w:tcW w:w="900" w:type="dxa"/>
            <w:vAlign w:val="bottom"/>
          </w:tcPr>
          <w:p>
            <w:pPr>
              <w:jc w:val="center"/>
              <w:ind w:left="86"/>
              <w:spacing w:after="0" w:line="103" w:lineRule="exact"/>
              <w:rPr>
                <w:sz w:val="20"/>
                <w:szCs w:val="20"/>
                <w:color w:val="auto"/>
              </w:rPr>
            </w:pPr>
            <w:r>
              <w:rPr>
                <w:rFonts w:ascii="Times New Roman" w:cs="Times New Roman" w:eastAsia="Times New Roman" w:hAnsi="Times New Roman"/>
                <w:sz w:val="11"/>
                <w:szCs w:val="11"/>
                <w:color w:val="auto"/>
                <w:w w:val="95"/>
              </w:rPr>
              <w:t>04/21/2023</w:t>
            </w:r>
          </w:p>
        </w:tc>
        <w:tc>
          <w:tcPr>
            <w:tcW w:w="140" w:type="dxa"/>
            <w:vAlign w:val="bottom"/>
          </w:tcPr>
          <w:p>
            <w:pPr>
              <w:spacing w:after="0"/>
              <w:rPr>
                <w:sz w:val="8"/>
                <w:szCs w:val="8"/>
                <w:color w:val="auto"/>
              </w:rPr>
            </w:pPr>
          </w:p>
        </w:tc>
        <w:tc>
          <w:tcPr>
            <w:tcW w:w="2020" w:type="dxa"/>
            <w:vAlign w:val="bottom"/>
          </w:tcPr>
          <w:p>
            <w:pPr>
              <w:jc w:val="center"/>
              <w:spacing w:after="0" w:line="103" w:lineRule="exact"/>
              <w:rPr>
                <w:sz w:val="20"/>
                <w:szCs w:val="20"/>
                <w:color w:val="auto"/>
              </w:rPr>
            </w:pPr>
            <w:r>
              <w:rPr>
                <w:rFonts w:ascii="Times New Roman" w:cs="Times New Roman" w:eastAsia="Times New Roman" w:hAnsi="Times New Roman"/>
                <w:sz w:val="11"/>
                <w:szCs w:val="11"/>
                <w:color w:val="auto"/>
                <w:w w:val="96"/>
              </w:rPr>
              <w:t>Commercial Services &amp; Supplies</w:t>
            </w:r>
          </w:p>
        </w:tc>
        <w:tc>
          <w:tcPr>
            <w:tcW w:w="120" w:type="dxa"/>
            <w:vAlign w:val="bottom"/>
          </w:tcPr>
          <w:p>
            <w:pPr>
              <w:spacing w:after="0"/>
              <w:rPr>
                <w:sz w:val="8"/>
                <w:szCs w:val="8"/>
                <w:color w:val="auto"/>
              </w:rPr>
            </w:pPr>
          </w:p>
        </w:tc>
        <w:tc>
          <w:tcPr>
            <w:tcW w:w="980" w:type="dxa"/>
            <w:vAlign w:val="bottom"/>
            <w:gridSpan w:val="2"/>
          </w:tcPr>
          <w:p>
            <w:pPr>
              <w:jc w:val="right"/>
              <w:ind w:right="140"/>
              <w:spacing w:after="0" w:line="103"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8"/>
                <w:szCs w:val="8"/>
                <w:color w:val="auto"/>
              </w:rPr>
            </w:pPr>
          </w:p>
        </w:tc>
        <w:tc>
          <w:tcPr>
            <w:tcW w:w="820" w:type="dxa"/>
            <w:vAlign w:val="bottom"/>
          </w:tcPr>
          <w:p>
            <w:pPr>
              <w:jc w:val="right"/>
              <w:spacing w:after="0" w:line="103" w:lineRule="exact"/>
              <w:rPr>
                <w:sz w:val="20"/>
                <w:szCs w:val="20"/>
                <w:color w:val="auto"/>
              </w:rPr>
            </w:pPr>
            <w:r>
              <w:rPr>
                <w:rFonts w:ascii="Times New Roman" w:cs="Times New Roman" w:eastAsia="Times New Roman" w:hAnsi="Times New Roman"/>
                <w:sz w:val="11"/>
                <w:szCs w:val="11"/>
                <w:color w:val="auto"/>
              </w:rPr>
              <w:t>—</w:t>
            </w:r>
          </w:p>
        </w:tc>
        <w:tc>
          <w:tcPr>
            <w:tcW w:w="1060" w:type="dxa"/>
            <w:vAlign w:val="bottom"/>
            <w:gridSpan w:val="2"/>
          </w:tcPr>
          <w:p>
            <w:pPr>
              <w:jc w:val="right"/>
              <w:spacing w:after="0" w:line="103" w:lineRule="exact"/>
              <w:rPr>
                <w:sz w:val="20"/>
                <w:szCs w:val="20"/>
                <w:color w:val="auto"/>
              </w:rPr>
            </w:pPr>
            <w:r>
              <w:rPr>
                <w:rFonts w:ascii="Times New Roman" w:cs="Times New Roman" w:eastAsia="Times New Roman" w:hAnsi="Times New Roman"/>
                <w:sz w:val="11"/>
                <w:szCs w:val="11"/>
                <w:color w:val="auto"/>
              </w:rPr>
              <w:t>2,298</w:t>
            </w: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jc w:val="right"/>
              <w:spacing w:after="0" w:line="103" w:lineRule="exact"/>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gridSpan w:val="2"/>
          </w:tcPr>
          <w:p>
            <w:pPr>
              <w:jc w:val="right"/>
              <w:ind w:right="60"/>
              <w:spacing w:after="0" w:line="103" w:lineRule="exact"/>
              <w:rPr>
                <w:sz w:val="20"/>
                <w:szCs w:val="20"/>
                <w:color w:val="auto"/>
              </w:rPr>
            </w:pPr>
            <w:r>
              <w:rPr>
                <w:rFonts w:ascii="Times New Roman" w:cs="Times New Roman" w:eastAsia="Times New Roman" w:hAnsi="Times New Roman"/>
                <w:sz w:val="11"/>
                <w:szCs w:val="11"/>
                <w:color w:val="auto"/>
              </w:rPr>
              <w:t>(32 )</w:t>
            </w:r>
          </w:p>
        </w:tc>
        <w:tc>
          <w:tcPr>
            <w:tcW w:w="0" w:type="dxa"/>
            <w:vAlign w:val="bottom"/>
          </w:tcPr>
          <w:p>
            <w:pPr>
              <w:spacing w:after="0"/>
              <w:rPr>
                <w:sz w:val="1"/>
                <w:szCs w:val="1"/>
                <w:color w:val="auto"/>
              </w:rPr>
            </w:pPr>
          </w:p>
        </w:tc>
      </w:tr>
      <w:tr>
        <w:trPr>
          <w:trHeight w:val="135"/>
        </w:trPr>
        <w:tc>
          <w:tcPr>
            <w:tcW w:w="288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Applied Technical Services, LLC (Revolver) </w:t>
            </w:r>
            <w:r>
              <w:rPr>
                <w:rFonts w:ascii="Times New Roman" w:cs="Times New Roman" w:eastAsia="Times New Roman" w:hAnsi="Times New Roman"/>
                <w:sz w:val="14"/>
                <w:szCs w:val="14"/>
                <w:color w:val="auto"/>
                <w:vertAlign w:val="superscript"/>
              </w:rPr>
              <w:t>(7)</w:t>
            </w:r>
          </w:p>
        </w:tc>
        <w:tc>
          <w:tcPr>
            <w:tcW w:w="900" w:type="dxa"/>
            <w:vAlign w:val="bottom"/>
          </w:tcPr>
          <w:p>
            <w:pPr>
              <w:jc w:val="center"/>
              <w:ind w:left="86"/>
              <w:spacing w:after="0"/>
              <w:rPr>
                <w:sz w:val="20"/>
                <w:szCs w:val="20"/>
                <w:color w:val="auto"/>
              </w:rPr>
            </w:pPr>
            <w:r>
              <w:rPr>
                <w:rFonts w:ascii="Times New Roman" w:cs="Times New Roman" w:eastAsia="Times New Roman" w:hAnsi="Times New Roman"/>
                <w:sz w:val="11"/>
                <w:szCs w:val="11"/>
                <w:color w:val="auto"/>
                <w:w w:val="95"/>
              </w:rPr>
              <w:t>12/29/2026</w:t>
            </w:r>
          </w:p>
        </w:tc>
        <w:tc>
          <w:tcPr>
            <w:tcW w:w="140" w:type="dxa"/>
            <w:vAlign w:val="bottom"/>
          </w:tcPr>
          <w:p>
            <w:pPr>
              <w:spacing w:after="0"/>
              <w:rPr>
                <w:sz w:val="11"/>
                <w:szCs w:val="11"/>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6"/>
              </w:rPr>
              <w:t>Commercial Services &amp; Supplies</w:t>
            </w:r>
          </w:p>
        </w:tc>
        <w:tc>
          <w:tcPr>
            <w:tcW w:w="1100" w:type="dxa"/>
            <w:vAlign w:val="bottom"/>
            <w:gridSpan w:val="3"/>
          </w:tcPr>
          <w:p>
            <w:pPr>
              <w:jc w:val="right"/>
              <w:ind w:right="20"/>
              <w:spacing w:after="0"/>
              <w:rPr>
                <w:sz w:val="20"/>
                <w:szCs w:val="20"/>
                <w:color w:val="auto"/>
              </w:rPr>
            </w:pPr>
            <w:r>
              <w:rPr>
                <w:rFonts w:ascii="Times New Roman" w:cs="Times New Roman" w:eastAsia="Times New Roman" w:hAnsi="Times New Roman"/>
                <w:sz w:val="11"/>
                <w:szCs w:val="11"/>
                <w:color w:val="auto"/>
              </w:rPr>
              <w:t>10.25 %</w:t>
            </w:r>
          </w:p>
        </w:tc>
        <w:tc>
          <w:tcPr>
            <w:tcW w:w="140" w:type="dxa"/>
            <w:vAlign w:val="bottom"/>
          </w:tcPr>
          <w:p>
            <w:pPr>
              <w:spacing w:after="0"/>
              <w:rPr>
                <w:sz w:val="11"/>
                <w:szCs w:val="1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L+475</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255</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255</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248</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8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Applied Technical Services, LLC (Revolver) </w:t>
            </w:r>
            <w:r>
              <w:rPr>
                <w:rFonts w:ascii="Times New Roman" w:cs="Times New Roman" w:eastAsia="Times New Roman" w:hAnsi="Times New Roman"/>
                <w:sz w:val="14"/>
                <w:szCs w:val="14"/>
                <w:color w:val="auto"/>
                <w:vertAlign w:val="superscript"/>
              </w:rPr>
              <w:t>(7), (9)</w:t>
            </w:r>
          </w:p>
        </w:tc>
        <w:tc>
          <w:tcPr>
            <w:tcW w:w="900" w:type="dxa"/>
            <w:vAlign w:val="bottom"/>
          </w:tcPr>
          <w:p>
            <w:pPr>
              <w:jc w:val="center"/>
              <w:ind w:left="86"/>
              <w:spacing w:after="0"/>
              <w:rPr>
                <w:sz w:val="20"/>
                <w:szCs w:val="20"/>
                <w:color w:val="auto"/>
              </w:rPr>
            </w:pPr>
            <w:r>
              <w:rPr>
                <w:rFonts w:ascii="Times New Roman" w:cs="Times New Roman" w:eastAsia="Times New Roman" w:hAnsi="Times New Roman"/>
                <w:sz w:val="11"/>
                <w:szCs w:val="11"/>
                <w:color w:val="auto"/>
                <w:w w:val="95"/>
              </w:rPr>
              <w:t>12/29/2026</w:t>
            </w:r>
          </w:p>
        </w:tc>
        <w:tc>
          <w:tcPr>
            <w:tcW w:w="140" w:type="dxa"/>
            <w:vAlign w:val="bottom"/>
          </w:tcPr>
          <w:p>
            <w:pPr>
              <w:spacing w:after="0"/>
              <w:rPr>
                <w:sz w:val="11"/>
                <w:szCs w:val="11"/>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6"/>
              </w:rPr>
              <w:t>Commercial Services &amp; Supplies</w:t>
            </w:r>
          </w:p>
        </w:tc>
        <w:tc>
          <w:tcPr>
            <w:tcW w:w="120" w:type="dxa"/>
            <w:vAlign w:val="bottom"/>
          </w:tcPr>
          <w:p>
            <w:pPr>
              <w:spacing w:after="0"/>
              <w:rPr>
                <w:sz w:val="11"/>
                <w:szCs w:val="11"/>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1"/>
                <w:szCs w:val="1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1,018</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(25 )</w:t>
            </w:r>
          </w:p>
        </w:tc>
        <w:tc>
          <w:tcPr>
            <w:tcW w:w="0" w:type="dxa"/>
            <w:vAlign w:val="bottom"/>
          </w:tcPr>
          <w:p>
            <w:pPr>
              <w:spacing w:after="0"/>
              <w:rPr>
                <w:sz w:val="1"/>
                <w:szCs w:val="1"/>
                <w:color w:val="auto"/>
              </w:rPr>
            </w:pPr>
          </w:p>
        </w:tc>
      </w:tr>
      <w:tr>
        <w:trPr>
          <w:trHeight w:val="153"/>
        </w:trPr>
        <w:tc>
          <w:tcPr>
            <w:tcW w:w="2880" w:type="dxa"/>
            <w:vAlign w:val="bottom"/>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Arcfield Acquisition Corp. (Revolver) </w:t>
            </w:r>
            <w:r>
              <w:rPr>
                <w:rFonts w:ascii="Times New Roman" w:cs="Times New Roman" w:eastAsia="Times New Roman" w:hAnsi="Times New Roman"/>
                <w:sz w:val="14"/>
                <w:szCs w:val="14"/>
                <w:color w:val="auto"/>
                <w:vertAlign w:val="superscript"/>
              </w:rPr>
              <w:t>(9)</w:t>
            </w:r>
          </w:p>
        </w:tc>
        <w:tc>
          <w:tcPr>
            <w:tcW w:w="900" w:type="dxa"/>
            <w:vAlign w:val="bottom"/>
          </w:tcPr>
          <w:p>
            <w:pPr>
              <w:jc w:val="center"/>
              <w:ind w:left="86"/>
              <w:spacing w:after="0"/>
              <w:rPr>
                <w:sz w:val="20"/>
                <w:szCs w:val="20"/>
                <w:color w:val="auto"/>
              </w:rPr>
            </w:pPr>
            <w:r>
              <w:rPr>
                <w:rFonts w:ascii="Times New Roman" w:cs="Times New Roman" w:eastAsia="Times New Roman" w:hAnsi="Times New Roman"/>
                <w:sz w:val="11"/>
                <w:szCs w:val="11"/>
                <w:color w:val="auto"/>
                <w:w w:val="95"/>
              </w:rPr>
              <w:t>03/07/2028</w:t>
            </w:r>
          </w:p>
        </w:tc>
        <w:tc>
          <w:tcPr>
            <w:tcW w:w="140" w:type="dxa"/>
            <w:vAlign w:val="bottom"/>
          </w:tcPr>
          <w:p>
            <w:pPr>
              <w:spacing w:after="0"/>
              <w:rPr>
                <w:sz w:val="13"/>
                <w:szCs w:val="13"/>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120" w:type="dxa"/>
            <w:vAlign w:val="bottom"/>
          </w:tcPr>
          <w:p>
            <w:pPr>
              <w:spacing w:after="0"/>
              <w:rPr>
                <w:sz w:val="13"/>
                <w:szCs w:val="13"/>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887</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(18 )</w:t>
            </w:r>
          </w:p>
        </w:tc>
        <w:tc>
          <w:tcPr>
            <w:tcW w:w="0" w:type="dxa"/>
            <w:vAlign w:val="bottom"/>
          </w:tcPr>
          <w:p>
            <w:pPr>
              <w:spacing w:after="0"/>
              <w:rPr>
                <w:sz w:val="1"/>
                <w:szCs w:val="1"/>
                <w:color w:val="auto"/>
              </w:rPr>
            </w:pPr>
          </w:p>
        </w:tc>
      </w:tr>
      <w:tr>
        <w:trPr>
          <w:trHeight w:val="135"/>
        </w:trPr>
        <w:tc>
          <w:tcPr>
            <w:tcW w:w="28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Beta Plus Technologies, Inc.</w:t>
            </w:r>
          </w:p>
        </w:tc>
        <w:tc>
          <w:tcPr>
            <w:tcW w:w="900" w:type="dxa"/>
            <w:vAlign w:val="bottom"/>
          </w:tcPr>
          <w:p>
            <w:pPr>
              <w:jc w:val="center"/>
              <w:ind w:left="86"/>
              <w:spacing w:after="0"/>
              <w:rPr>
                <w:sz w:val="20"/>
                <w:szCs w:val="20"/>
                <w:color w:val="auto"/>
              </w:rPr>
            </w:pPr>
            <w:r>
              <w:rPr>
                <w:rFonts w:ascii="Times New Roman" w:cs="Times New Roman" w:eastAsia="Times New Roman" w:hAnsi="Times New Roman"/>
                <w:sz w:val="11"/>
                <w:szCs w:val="11"/>
                <w:color w:val="auto"/>
                <w:w w:val="95"/>
              </w:rPr>
              <w:t>07/01/2029</w:t>
            </w:r>
          </w:p>
        </w:tc>
        <w:tc>
          <w:tcPr>
            <w:tcW w:w="140" w:type="dxa"/>
            <w:vAlign w:val="bottom"/>
          </w:tcPr>
          <w:p>
            <w:pPr>
              <w:spacing w:after="0"/>
              <w:rPr>
                <w:sz w:val="11"/>
                <w:szCs w:val="11"/>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Internet Software and Services</w:t>
            </w:r>
          </w:p>
        </w:tc>
        <w:tc>
          <w:tcPr>
            <w:tcW w:w="1100" w:type="dxa"/>
            <w:vAlign w:val="bottom"/>
            <w:gridSpan w:val="3"/>
          </w:tcPr>
          <w:p>
            <w:pPr>
              <w:jc w:val="right"/>
              <w:ind w:right="20"/>
              <w:spacing w:after="0"/>
              <w:rPr>
                <w:sz w:val="20"/>
                <w:szCs w:val="20"/>
                <w:color w:val="auto"/>
              </w:rPr>
            </w:pPr>
            <w:r>
              <w:rPr>
                <w:rFonts w:ascii="Times New Roman" w:cs="Times New Roman" w:eastAsia="Times New Roman" w:hAnsi="Times New Roman"/>
                <w:sz w:val="11"/>
                <w:szCs w:val="11"/>
                <w:color w:val="auto"/>
              </w:rPr>
              <w:t>7.76 %</w:t>
            </w:r>
          </w:p>
        </w:tc>
        <w:tc>
          <w:tcPr>
            <w:tcW w:w="140" w:type="dxa"/>
            <w:vAlign w:val="bottom"/>
          </w:tcPr>
          <w:p>
            <w:pPr>
              <w:spacing w:after="0"/>
              <w:rPr>
                <w:sz w:val="11"/>
                <w:szCs w:val="1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1M L+525</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5,000</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4,901</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4,900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2880" w:type="dxa"/>
            <w:vAlign w:val="bottom"/>
          </w:tcPr>
          <w:p>
            <w:pPr>
              <w:ind w:left="20"/>
              <w:spacing w:after="0" w:line="117" w:lineRule="exact"/>
              <w:rPr>
                <w:sz w:val="20"/>
                <w:szCs w:val="20"/>
                <w:color w:val="auto"/>
              </w:rPr>
            </w:pPr>
            <w:r>
              <w:rPr>
                <w:rFonts w:ascii="Times New Roman" w:cs="Times New Roman" w:eastAsia="Times New Roman" w:hAnsi="Times New Roman"/>
                <w:sz w:val="11"/>
                <w:szCs w:val="11"/>
                <w:color w:val="auto"/>
              </w:rPr>
              <w:t>Blackhawk Industrial Distribution, Inc.</w:t>
            </w:r>
          </w:p>
        </w:tc>
        <w:tc>
          <w:tcPr>
            <w:tcW w:w="900" w:type="dxa"/>
            <w:vAlign w:val="bottom"/>
          </w:tcPr>
          <w:p>
            <w:pPr>
              <w:jc w:val="center"/>
              <w:ind w:left="86"/>
              <w:spacing w:after="0" w:line="117" w:lineRule="exact"/>
              <w:rPr>
                <w:sz w:val="20"/>
                <w:szCs w:val="20"/>
                <w:color w:val="auto"/>
              </w:rPr>
            </w:pPr>
            <w:r>
              <w:rPr>
                <w:rFonts w:ascii="Times New Roman" w:cs="Times New Roman" w:eastAsia="Times New Roman" w:hAnsi="Times New Roman"/>
                <w:sz w:val="11"/>
                <w:szCs w:val="11"/>
                <w:color w:val="auto"/>
                <w:w w:val="95"/>
              </w:rPr>
              <w:t>09/17/2024</w:t>
            </w:r>
          </w:p>
        </w:tc>
        <w:tc>
          <w:tcPr>
            <w:tcW w:w="140" w:type="dxa"/>
            <w:vAlign w:val="bottom"/>
          </w:tcPr>
          <w:p>
            <w:pPr>
              <w:spacing w:after="0"/>
              <w:rPr>
                <w:sz w:val="10"/>
                <w:szCs w:val="10"/>
                <w:color w:val="auto"/>
              </w:rPr>
            </w:pPr>
          </w:p>
        </w:tc>
        <w:tc>
          <w:tcPr>
            <w:tcW w:w="202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color w:val="auto"/>
                <w:w w:val="95"/>
              </w:rPr>
              <w:t>Distributors</w:t>
            </w:r>
          </w:p>
        </w:tc>
        <w:tc>
          <w:tcPr>
            <w:tcW w:w="1100" w:type="dxa"/>
            <w:vAlign w:val="bottom"/>
            <w:gridSpan w:val="3"/>
          </w:tcPr>
          <w:p>
            <w:pPr>
              <w:jc w:val="right"/>
              <w:ind w:right="20"/>
              <w:spacing w:after="0" w:line="117" w:lineRule="exact"/>
              <w:rPr>
                <w:sz w:val="20"/>
                <w:szCs w:val="20"/>
                <w:color w:val="auto"/>
              </w:rPr>
            </w:pPr>
            <w:r>
              <w:rPr>
                <w:rFonts w:ascii="Times New Roman" w:cs="Times New Roman" w:eastAsia="Times New Roman" w:hAnsi="Times New Roman"/>
                <w:sz w:val="11"/>
                <w:szCs w:val="11"/>
                <w:color w:val="auto"/>
              </w:rPr>
              <w:t>8.33 %</w:t>
            </w:r>
          </w:p>
        </w:tc>
        <w:tc>
          <w:tcPr>
            <w:tcW w:w="140" w:type="dxa"/>
            <w:vAlign w:val="bottom"/>
          </w:tcPr>
          <w:p>
            <w:pPr>
              <w:spacing w:after="0"/>
              <w:rPr>
                <w:sz w:val="10"/>
                <w:szCs w:val="10"/>
                <w:color w:val="auto"/>
              </w:rPr>
            </w:pPr>
          </w:p>
        </w:tc>
        <w:tc>
          <w:tcPr>
            <w:tcW w:w="82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3M L+500</w:t>
            </w:r>
          </w:p>
        </w:tc>
        <w:tc>
          <w:tcPr>
            <w:tcW w:w="106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1"/>
                <w:szCs w:val="11"/>
                <w:color w:val="auto"/>
              </w:rPr>
              <w:t>25</w:t>
            </w: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25</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25</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88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Blackhawk Industrial Distribution, Inc. </w:t>
            </w:r>
            <w:r>
              <w:rPr>
                <w:rFonts w:ascii="Times New Roman" w:cs="Times New Roman" w:eastAsia="Times New Roman" w:hAnsi="Times New Roman"/>
                <w:sz w:val="14"/>
                <w:szCs w:val="14"/>
                <w:color w:val="auto"/>
                <w:vertAlign w:val="superscript"/>
              </w:rPr>
              <w:t>(7),(9)</w:t>
            </w:r>
          </w:p>
        </w:tc>
        <w:tc>
          <w:tcPr>
            <w:tcW w:w="900" w:type="dxa"/>
            <w:vAlign w:val="bottom"/>
          </w:tcPr>
          <w:p>
            <w:pPr>
              <w:jc w:val="center"/>
              <w:ind w:left="86"/>
              <w:spacing w:after="0"/>
              <w:rPr>
                <w:sz w:val="20"/>
                <w:szCs w:val="20"/>
                <w:color w:val="auto"/>
              </w:rPr>
            </w:pPr>
            <w:r>
              <w:rPr>
                <w:rFonts w:ascii="Times New Roman" w:cs="Times New Roman" w:eastAsia="Times New Roman" w:hAnsi="Times New Roman"/>
                <w:sz w:val="11"/>
                <w:szCs w:val="11"/>
                <w:color w:val="auto"/>
                <w:w w:val="95"/>
              </w:rPr>
              <w:t>09/17/2024</w:t>
            </w:r>
          </w:p>
        </w:tc>
        <w:tc>
          <w:tcPr>
            <w:tcW w:w="140" w:type="dxa"/>
            <w:vAlign w:val="bottom"/>
          </w:tcPr>
          <w:p>
            <w:pPr>
              <w:spacing w:after="0"/>
              <w:rPr>
                <w:sz w:val="11"/>
                <w:szCs w:val="11"/>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5"/>
              </w:rPr>
              <w:t>Distributors</w:t>
            </w:r>
          </w:p>
        </w:tc>
        <w:tc>
          <w:tcPr>
            <w:tcW w:w="120" w:type="dxa"/>
            <w:vAlign w:val="bottom"/>
          </w:tcPr>
          <w:p>
            <w:pPr>
              <w:spacing w:after="0"/>
              <w:rPr>
                <w:sz w:val="11"/>
                <w:szCs w:val="11"/>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1"/>
                <w:szCs w:val="1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3,232</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(40 )</w:t>
            </w:r>
          </w:p>
        </w:tc>
        <w:tc>
          <w:tcPr>
            <w:tcW w:w="0" w:type="dxa"/>
            <w:vAlign w:val="bottom"/>
          </w:tcPr>
          <w:p>
            <w:pPr>
              <w:spacing w:after="0"/>
              <w:rPr>
                <w:sz w:val="1"/>
                <w:szCs w:val="1"/>
                <w:color w:val="auto"/>
              </w:rPr>
            </w:pPr>
          </w:p>
        </w:tc>
      </w:tr>
      <w:tr>
        <w:trPr>
          <w:trHeight w:val="135"/>
        </w:trPr>
        <w:tc>
          <w:tcPr>
            <w:tcW w:w="288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Blackhawk Industrial Distribution, Inc. (Revolver) </w:t>
            </w:r>
            <w:r>
              <w:rPr>
                <w:rFonts w:ascii="Times New Roman" w:cs="Times New Roman" w:eastAsia="Times New Roman" w:hAnsi="Times New Roman"/>
                <w:sz w:val="14"/>
                <w:szCs w:val="14"/>
                <w:color w:val="auto"/>
                <w:vertAlign w:val="superscript"/>
              </w:rPr>
              <w:t>(7)</w:t>
            </w:r>
          </w:p>
        </w:tc>
        <w:tc>
          <w:tcPr>
            <w:tcW w:w="900" w:type="dxa"/>
            <w:vAlign w:val="bottom"/>
          </w:tcPr>
          <w:p>
            <w:pPr>
              <w:jc w:val="center"/>
              <w:ind w:left="86"/>
              <w:spacing w:after="0"/>
              <w:rPr>
                <w:sz w:val="20"/>
                <w:szCs w:val="20"/>
                <w:color w:val="auto"/>
              </w:rPr>
            </w:pPr>
            <w:r>
              <w:rPr>
                <w:rFonts w:ascii="Times New Roman" w:cs="Times New Roman" w:eastAsia="Times New Roman" w:hAnsi="Times New Roman"/>
                <w:sz w:val="11"/>
                <w:szCs w:val="11"/>
                <w:color w:val="auto"/>
                <w:w w:val="95"/>
              </w:rPr>
              <w:t>09/17/2024</w:t>
            </w:r>
          </w:p>
        </w:tc>
        <w:tc>
          <w:tcPr>
            <w:tcW w:w="140" w:type="dxa"/>
            <w:vAlign w:val="bottom"/>
          </w:tcPr>
          <w:p>
            <w:pPr>
              <w:spacing w:after="0"/>
              <w:rPr>
                <w:sz w:val="11"/>
                <w:szCs w:val="11"/>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5"/>
              </w:rPr>
              <w:t>Distributors</w:t>
            </w:r>
          </w:p>
        </w:tc>
        <w:tc>
          <w:tcPr>
            <w:tcW w:w="1100" w:type="dxa"/>
            <w:vAlign w:val="bottom"/>
            <w:gridSpan w:val="3"/>
          </w:tcPr>
          <w:p>
            <w:pPr>
              <w:jc w:val="right"/>
              <w:ind w:right="20"/>
              <w:spacing w:after="0"/>
              <w:rPr>
                <w:sz w:val="20"/>
                <w:szCs w:val="20"/>
                <w:color w:val="auto"/>
              </w:rPr>
            </w:pPr>
            <w:r>
              <w:rPr>
                <w:rFonts w:ascii="Times New Roman" w:cs="Times New Roman" w:eastAsia="Times New Roman" w:hAnsi="Times New Roman"/>
                <w:sz w:val="11"/>
                <w:szCs w:val="11"/>
                <w:color w:val="auto"/>
              </w:rPr>
              <w:t>8.87 %</w:t>
            </w:r>
          </w:p>
        </w:tc>
        <w:tc>
          <w:tcPr>
            <w:tcW w:w="140" w:type="dxa"/>
            <w:vAlign w:val="bottom"/>
          </w:tcPr>
          <w:p>
            <w:pPr>
              <w:spacing w:after="0"/>
              <w:rPr>
                <w:sz w:val="11"/>
                <w:szCs w:val="1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L+500</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549</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549</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533</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8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 xml:space="preserve">Blackhawk Industrial Distribution, Inc. </w:t>
            </w:r>
            <w:r>
              <w:rPr>
                <w:rFonts w:ascii="Times New Roman" w:cs="Times New Roman" w:eastAsia="Times New Roman" w:hAnsi="Times New Roman"/>
                <w:sz w:val="14"/>
                <w:szCs w:val="14"/>
                <w:color w:val="auto"/>
                <w:vertAlign w:val="superscript"/>
              </w:rPr>
              <w:t>(9)</w:t>
            </w:r>
          </w:p>
        </w:tc>
        <w:tc>
          <w:tcPr>
            <w:tcW w:w="900" w:type="dxa"/>
            <w:vAlign w:val="bottom"/>
          </w:tcPr>
          <w:p>
            <w:pPr>
              <w:jc w:val="center"/>
              <w:ind w:left="86"/>
              <w:spacing w:after="0"/>
              <w:rPr>
                <w:sz w:val="20"/>
                <w:szCs w:val="20"/>
                <w:color w:val="auto"/>
              </w:rPr>
            </w:pPr>
            <w:r>
              <w:rPr>
                <w:rFonts w:ascii="Times New Roman" w:cs="Times New Roman" w:eastAsia="Times New Roman" w:hAnsi="Times New Roman"/>
                <w:sz w:val="11"/>
                <w:szCs w:val="11"/>
                <w:color w:val="auto"/>
                <w:w w:val="95"/>
              </w:rPr>
              <w:t>09/17/2024</w:t>
            </w:r>
          </w:p>
        </w:tc>
        <w:tc>
          <w:tcPr>
            <w:tcW w:w="140" w:type="dxa"/>
            <w:vAlign w:val="bottom"/>
          </w:tcPr>
          <w:p>
            <w:pPr>
              <w:spacing w:after="0"/>
              <w:rPr>
                <w:sz w:val="14"/>
                <w:szCs w:val="14"/>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5"/>
              </w:rPr>
              <w:t>Distributors</w:t>
            </w:r>
          </w:p>
        </w:tc>
        <w:tc>
          <w:tcPr>
            <w:tcW w:w="120" w:type="dxa"/>
            <w:vAlign w:val="bottom"/>
          </w:tcPr>
          <w:p>
            <w:pPr>
              <w:spacing w:after="0"/>
              <w:rPr>
                <w:sz w:val="14"/>
                <w:szCs w:val="14"/>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2,195</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(62 )</w:t>
            </w:r>
          </w:p>
        </w:tc>
        <w:tc>
          <w:tcPr>
            <w:tcW w:w="0" w:type="dxa"/>
            <w:vAlign w:val="bottom"/>
          </w:tcPr>
          <w:p>
            <w:pPr>
              <w:spacing w:after="0"/>
              <w:rPr>
                <w:sz w:val="1"/>
                <w:szCs w:val="1"/>
                <w:color w:val="auto"/>
              </w:rPr>
            </w:pPr>
          </w:p>
        </w:tc>
      </w:tr>
      <w:tr>
        <w:trPr>
          <w:trHeight w:val="135"/>
        </w:trPr>
        <w:tc>
          <w:tcPr>
            <w:tcW w:w="28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Broder Bros., Co.</w:t>
            </w:r>
          </w:p>
        </w:tc>
        <w:tc>
          <w:tcPr>
            <w:tcW w:w="900" w:type="dxa"/>
            <w:vAlign w:val="bottom"/>
            <w:shd w:val="clear" w:color="auto" w:fill="CCECFF"/>
          </w:tcPr>
          <w:p>
            <w:pPr>
              <w:jc w:val="center"/>
              <w:ind w:left="86"/>
              <w:spacing w:after="0"/>
              <w:rPr>
                <w:sz w:val="20"/>
                <w:szCs w:val="20"/>
                <w:color w:val="auto"/>
              </w:rPr>
            </w:pPr>
            <w:r>
              <w:rPr>
                <w:rFonts w:ascii="Times New Roman" w:cs="Times New Roman" w:eastAsia="Times New Roman" w:hAnsi="Times New Roman"/>
                <w:sz w:val="11"/>
                <w:szCs w:val="11"/>
                <w:color w:val="auto"/>
                <w:w w:val="95"/>
              </w:rPr>
              <w:t>12/02/2022</w:t>
            </w:r>
          </w:p>
        </w:tc>
        <w:tc>
          <w:tcPr>
            <w:tcW w:w="140" w:type="dxa"/>
            <w:vAlign w:val="bottom"/>
            <w:shd w:val="clear" w:color="auto" w:fill="CCECFF"/>
          </w:tcPr>
          <w:p>
            <w:pPr>
              <w:spacing w:after="0"/>
              <w:rPr>
                <w:sz w:val="11"/>
                <w:szCs w:val="11"/>
                <w:color w:val="auto"/>
              </w:rPr>
            </w:pPr>
          </w:p>
        </w:tc>
        <w:tc>
          <w:tcPr>
            <w:tcW w:w="2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Textiles, Apparel and Luxury Goods</w:t>
            </w:r>
          </w:p>
        </w:tc>
        <w:tc>
          <w:tcPr>
            <w:tcW w:w="1100" w:type="dxa"/>
            <w:vAlign w:val="bottom"/>
            <w:gridSpan w:val="3"/>
            <w:shd w:val="clear" w:color="auto" w:fill="CCECFF"/>
          </w:tcPr>
          <w:p>
            <w:pPr>
              <w:jc w:val="right"/>
              <w:ind w:right="20"/>
              <w:spacing w:after="0"/>
              <w:rPr>
                <w:sz w:val="20"/>
                <w:szCs w:val="20"/>
                <w:color w:val="auto"/>
              </w:rPr>
            </w:pPr>
            <w:r>
              <w:rPr>
                <w:rFonts w:ascii="Times New Roman" w:cs="Times New Roman" w:eastAsia="Times New Roman" w:hAnsi="Times New Roman"/>
                <w:sz w:val="11"/>
                <w:szCs w:val="11"/>
                <w:color w:val="auto"/>
              </w:rPr>
              <w:t>7.39 %</w:t>
            </w:r>
          </w:p>
        </w:tc>
        <w:tc>
          <w:tcPr>
            <w:tcW w:w="140" w:type="dxa"/>
            <w:vAlign w:val="bottom"/>
            <w:shd w:val="clear" w:color="auto" w:fill="CCECFF"/>
          </w:tcPr>
          <w:p>
            <w:pPr>
              <w:spacing w:after="0"/>
              <w:rPr>
                <w:sz w:val="11"/>
                <w:szCs w:val="11"/>
                <w:color w:val="auto"/>
              </w:rPr>
            </w:pPr>
          </w:p>
        </w:tc>
        <w:tc>
          <w:tcPr>
            <w:tcW w:w="8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L+600</w:t>
            </w:r>
          </w:p>
        </w:tc>
        <w:tc>
          <w:tcPr>
            <w:tcW w:w="106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3,405</w:t>
            </w:r>
          </w:p>
        </w:tc>
        <w:tc>
          <w:tcPr>
            <w:tcW w:w="22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3,405</w:t>
            </w:r>
          </w:p>
        </w:tc>
        <w:tc>
          <w:tcPr>
            <w:tcW w:w="20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7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3,405</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880" w:type="dxa"/>
            <w:vAlign w:val="bottom"/>
          </w:tcPr>
          <w:p>
            <w:pPr>
              <w:ind w:left="20"/>
              <w:spacing w:after="0" w:line="122" w:lineRule="exact"/>
              <w:rPr>
                <w:sz w:val="20"/>
                <w:szCs w:val="20"/>
                <w:color w:val="auto"/>
              </w:rPr>
            </w:pPr>
            <w:r>
              <w:rPr>
                <w:rFonts w:ascii="Times New Roman" w:cs="Times New Roman" w:eastAsia="Times New Roman" w:hAnsi="Times New Roman"/>
                <w:sz w:val="11"/>
                <w:szCs w:val="11"/>
                <w:color w:val="auto"/>
              </w:rPr>
              <w:t>By Light Professional IT Services, LLC</w:t>
            </w:r>
          </w:p>
        </w:tc>
        <w:tc>
          <w:tcPr>
            <w:tcW w:w="900" w:type="dxa"/>
            <w:vAlign w:val="bottom"/>
          </w:tcPr>
          <w:p>
            <w:pPr>
              <w:jc w:val="center"/>
              <w:ind w:left="86"/>
              <w:spacing w:after="0" w:line="122" w:lineRule="exact"/>
              <w:rPr>
                <w:sz w:val="20"/>
                <w:szCs w:val="20"/>
                <w:color w:val="auto"/>
              </w:rPr>
            </w:pPr>
            <w:r>
              <w:rPr>
                <w:rFonts w:ascii="Times New Roman" w:cs="Times New Roman" w:eastAsia="Times New Roman" w:hAnsi="Times New Roman"/>
                <w:sz w:val="11"/>
                <w:szCs w:val="11"/>
                <w:color w:val="auto"/>
                <w:w w:val="95"/>
              </w:rPr>
              <w:t>05/16/2024</w:t>
            </w:r>
          </w:p>
        </w:tc>
        <w:tc>
          <w:tcPr>
            <w:tcW w:w="140" w:type="dxa"/>
            <w:vAlign w:val="bottom"/>
          </w:tcPr>
          <w:p>
            <w:pPr>
              <w:spacing w:after="0"/>
              <w:rPr>
                <w:sz w:val="10"/>
                <w:szCs w:val="10"/>
                <w:color w:val="auto"/>
              </w:rPr>
            </w:pPr>
          </w:p>
        </w:tc>
        <w:tc>
          <w:tcPr>
            <w:tcW w:w="202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6"/>
              </w:rPr>
              <w:t>High Tech Industries</w:t>
            </w:r>
          </w:p>
        </w:tc>
        <w:tc>
          <w:tcPr>
            <w:tcW w:w="1100" w:type="dxa"/>
            <w:vAlign w:val="bottom"/>
            <w:gridSpan w:val="3"/>
          </w:tcPr>
          <w:p>
            <w:pPr>
              <w:jc w:val="right"/>
              <w:ind w:right="20"/>
              <w:spacing w:after="0" w:line="122" w:lineRule="exact"/>
              <w:rPr>
                <w:sz w:val="20"/>
                <w:szCs w:val="20"/>
                <w:color w:val="auto"/>
              </w:rPr>
            </w:pPr>
            <w:r>
              <w:rPr>
                <w:rFonts w:ascii="Times New Roman" w:cs="Times New Roman" w:eastAsia="Times New Roman" w:hAnsi="Times New Roman"/>
                <w:sz w:val="11"/>
                <w:szCs w:val="11"/>
                <w:color w:val="auto"/>
              </w:rPr>
              <w:t>9.26 %</w:t>
            </w:r>
          </w:p>
        </w:tc>
        <w:tc>
          <w:tcPr>
            <w:tcW w:w="140" w:type="dxa"/>
            <w:vAlign w:val="bottom"/>
          </w:tcPr>
          <w:p>
            <w:pPr>
              <w:spacing w:after="0"/>
              <w:rPr>
                <w:sz w:val="10"/>
                <w:szCs w:val="10"/>
                <w:color w:val="auto"/>
              </w:rPr>
            </w:pPr>
          </w:p>
        </w:tc>
        <w:tc>
          <w:tcPr>
            <w:tcW w:w="8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3M L+625</w:t>
            </w:r>
          </w:p>
        </w:tc>
        <w:tc>
          <w:tcPr>
            <w:tcW w:w="106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27,533</w:t>
            </w: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27,331</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27,257</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880" w:type="dxa"/>
            <w:vAlign w:val="bottom"/>
          </w:tcPr>
          <w:p>
            <w:pPr>
              <w:ind w:left="20"/>
              <w:spacing w:after="0" w:line="117" w:lineRule="exact"/>
              <w:rPr>
                <w:sz w:val="20"/>
                <w:szCs w:val="20"/>
                <w:color w:val="auto"/>
              </w:rPr>
            </w:pPr>
            <w:r>
              <w:rPr>
                <w:rFonts w:ascii="Times New Roman" w:cs="Times New Roman" w:eastAsia="Times New Roman" w:hAnsi="Times New Roman"/>
                <w:sz w:val="11"/>
                <w:szCs w:val="11"/>
                <w:color w:val="auto"/>
              </w:rPr>
              <w:t>By Light Professional IT Services, LLC (Revolver)</w:t>
            </w:r>
          </w:p>
        </w:tc>
        <w:tc>
          <w:tcPr>
            <w:tcW w:w="900" w:type="dxa"/>
            <w:vAlign w:val="bottom"/>
          </w:tcPr>
          <w:p>
            <w:pPr>
              <w:jc w:val="center"/>
              <w:ind w:left="86"/>
              <w:spacing w:after="0" w:line="117" w:lineRule="exact"/>
              <w:rPr>
                <w:sz w:val="20"/>
                <w:szCs w:val="20"/>
                <w:color w:val="auto"/>
              </w:rPr>
            </w:pPr>
            <w:r>
              <w:rPr>
                <w:rFonts w:ascii="Times New Roman" w:cs="Times New Roman" w:eastAsia="Times New Roman" w:hAnsi="Times New Roman"/>
                <w:sz w:val="11"/>
                <w:szCs w:val="11"/>
                <w:color w:val="auto"/>
                <w:w w:val="95"/>
              </w:rPr>
              <w:t>05/16/2024</w:t>
            </w:r>
          </w:p>
        </w:tc>
        <w:tc>
          <w:tcPr>
            <w:tcW w:w="140" w:type="dxa"/>
            <w:vAlign w:val="bottom"/>
          </w:tcPr>
          <w:p>
            <w:pPr>
              <w:spacing w:after="0"/>
              <w:rPr>
                <w:sz w:val="10"/>
                <w:szCs w:val="10"/>
                <w:color w:val="auto"/>
              </w:rPr>
            </w:pPr>
          </w:p>
        </w:tc>
        <w:tc>
          <w:tcPr>
            <w:tcW w:w="202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color w:val="auto"/>
                <w:w w:val="96"/>
              </w:rPr>
              <w:t>High Tech Industries</w:t>
            </w:r>
          </w:p>
        </w:tc>
        <w:tc>
          <w:tcPr>
            <w:tcW w:w="1100" w:type="dxa"/>
            <w:vAlign w:val="bottom"/>
            <w:gridSpan w:val="3"/>
          </w:tcPr>
          <w:p>
            <w:pPr>
              <w:jc w:val="right"/>
              <w:ind w:right="20"/>
              <w:spacing w:after="0" w:line="117" w:lineRule="exact"/>
              <w:rPr>
                <w:sz w:val="20"/>
                <w:szCs w:val="20"/>
                <w:color w:val="auto"/>
              </w:rPr>
            </w:pPr>
            <w:r>
              <w:rPr>
                <w:rFonts w:ascii="Times New Roman" w:cs="Times New Roman" w:eastAsia="Times New Roman" w:hAnsi="Times New Roman"/>
                <w:sz w:val="11"/>
                <w:szCs w:val="11"/>
                <w:color w:val="auto"/>
              </w:rPr>
              <w:t>9.75 %</w:t>
            </w:r>
          </w:p>
        </w:tc>
        <w:tc>
          <w:tcPr>
            <w:tcW w:w="140" w:type="dxa"/>
            <w:vAlign w:val="bottom"/>
          </w:tcPr>
          <w:p>
            <w:pPr>
              <w:spacing w:after="0"/>
              <w:rPr>
                <w:sz w:val="10"/>
                <w:szCs w:val="10"/>
                <w:color w:val="auto"/>
              </w:rPr>
            </w:pPr>
          </w:p>
        </w:tc>
        <w:tc>
          <w:tcPr>
            <w:tcW w:w="82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3M L+663</w:t>
            </w:r>
          </w:p>
        </w:tc>
        <w:tc>
          <w:tcPr>
            <w:tcW w:w="106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1"/>
                <w:szCs w:val="11"/>
                <w:color w:val="auto"/>
              </w:rPr>
              <w:t>877</w:t>
            </w: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877</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868</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88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By Light Professional IT Services, LLC (Revolver) </w:t>
            </w:r>
            <w:r>
              <w:rPr>
                <w:rFonts w:ascii="Times New Roman" w:cs="Times New Roman" w:eastAsia="Times New Roman" w:hAnsi="Times New Roman"/>
                <w:sz w:val="14"/>
                <w:szCs w:val="14"/>
                <w:color w:val="auto"/>
                <w:vertAlign w:val="superscript"/>
              </w:rPr>
              <w:t>(9)</w:t>
            </w:r>
          </w:p>
        </w:tc>
        <w:tc>
          <w:tcPr>
            <w:tcW w:w="900" w:type="dxa"/>
            <w:vAlign w:val="bottom"/>
          </w:tcPr>
          <w:p>
            <w:pPr>
              <w:jc w:val="center"/>
              <w:ind w:left="86"/>
              <w:spacing w:after="0"/>
              <w:rPr>
                <w:sz w:val="20"/>
                <w:szCs w:val="20"/>
                <w:color w:val="auto"/>
              </w:rPr>
            </w:pPr>
            <w:r>
              <w:rPr>
                <w:rFonts w:ascii="Times New Roman" w:cs="Times New Roman" w:eastAsia="Times New Roman" w:hAnsi="Times New Roman"/>
                <w:sz w:val="11"/>
                <w:szCs w:val="11"/>
                <w:color w:val="auto"/>
                <w:w w:val="95"/>
              </w:rPr>
              <w:t>05/16/2024</w:t>
            </w:r>
          </w:p>
        </w:tc>
        <w:tc>
          <w:tcPr>
            <w:tcW w:w="140" w:type="dxa"/>
            <w:vAlign w:val="bottom"/>
          </w:tcPr>
          <w:p>
            <w:pPr>
              <w:spacing w:after="0"/>
              <w:rPr>
                <w:sz w:val="11"/>
                <w:szCs w:val="11"/>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6"/>
              </w:rPr>
              <w:t>High Tech Industries</w:t>
            </w:r>
          </w:p>
        </w:tc>
        <w:tc>
          <w:tcPr>
            <w:tcW w:w="120" w:type="dxa"/>
            <w:vAlign w:val="bottom"/>
          </w:tcPr>
          <w:p>
            <w:pPr>
              <w:spacing w:after="0"/>
              <w:rPr>
                <w:sz w:val="11"/>
                <w:szCs w:val="11"/>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1"/>
                <w:szCs w:val="1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3,189</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(32 )</w:t>
            </w:r>
          </w:p>
        </w:tc>
        <w:tc>
          <w:tcPr>
            <w:tcW w:w="0" w:type="dxa"/>
            <w:vAlign w:val="bottom"/>
          </w:tcPr>
          <w:p>
            <w:pPr>
              <w:spacing w:after="0"/>
              <w:rPr>
                <w:sz w:val="1"/>
                <w:szCs w:val="1"/>
                <w:color w:val="auto"/>
              </w:rPr>
            </w:pPr>
          </w:p>
        </w:tc>
      </w:tr>
      <w:tr>
        <w:trPr>
          <w:trHeight w:val="167"/>
        </w:trPr>
        <w:tc>
          <w:tcPr>
            <w:tcW w:w="28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 xml:space="preserve">Cadence Aerospace, LLC </w:t>
            </w:r>
            <w:r>
              <w:rPr>
                <w:rFonts w:ascii="Times New Roman" w:cs="Times New Roman" w:eastAsia="Times New Roman" w:hAnsi="Times New Roman"/>
                <w:sz w:val="14"/>
                <w:szCs w:val="14"/>
                <w:color w:val="auto"/>
                <w:vertAlign w:val="superscript"/>
              </w:rPr>
              <w:t>(7)</w:t>
            </w:r>
          </w:p>
        </w:tc>
        <w:tc>
          <w:tcPr>
            <w:tcW w:w="900" w:type="dxa"/>
            <w:vAlign w:val="bottom"/>
          </w:tcPr>
          <w:p>
            <w:pPr>
              <w:jc w:val="center"/>
              <w:ind w:left="86"/>
              <w:spacing w:after="0"/>
              <w:rPr>
                <w:sz w:val="20"/>
                <w:szCs w:val="20"/>
                <w:color w:val="auto"/>
              </w:rPr>
            </w:pPr>
            <w:r>
              <w:rPr>
                <w:rFonts w:ascii="Times New Roman" w:cs="Times New Roman" w:eastAsia="Times New Roman" w:hAnsi="Times New Roman"/>
                <w:sz w:val="11"/>
                <w:szCs w:val="11"/>
                <w:color w:val="auto"/>
                <w:w w:val="95"/>
              </w:rPr>
              <w:t>11/14/2023</w:t>
            </w:r>
          </w:p>
        </w:tc>
        <w:tc>
          <w:tcPr>
            <w:tcW w:w="140" w:type="dxa"/>
            <w:vAlign w:val="bottom"/>
          </w:tcPr>
          <w:p>
            <w:pPr>
              <w:spacing w:after="0"/>
              <w:rPr>
                <w:sz w:val="14"/>
                <w:szCs w:val="14"/>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1100" w:type="dxa"/>
            <w:vAlign w:val="bottom"/>
            <w:gridSpan w:val="3"/>
          </w:tcPr>
          <w:p>
            <w:pPr>
              <w:jc w:val="right"/>
              <w:ind w:right="20"/>
              <w:spacing w:after="0"/>
              <w:rPr>
                <w:sz w:val="20"/>
                <w:szCs w:val="20"/>
                <w:color w:val="auto"/>
              </w:rPr>
            </w:pPr>
            <w:r>
              <w:rPr>
                <w:rFonts w:ascii="Times New Roman" w:cs="Times New Roman" w:eastAsia="Times New Roman" w:hAnsi="Times New Roman"/>
                <w:sz w:val="11"/>
                <w:szCs w:val="11"/>
                <w:color w:val="auto"/>
              </w:rPr>
              <w:t>11.31 %</w:t>
            </w:r>
          </w:p>
        </w:tc>
        <w:tc>
          <w:tcPr>
            <w:tcW w:w="1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L+850</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3,033</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3,024</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3,003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880" w:type="dxa"/>
            <w:vAlign w:val="bottom"/>
            <w:vMerge w:val="restart"/>
          </w:tcPr>
          <w:p>
            <w:pPr>
              <w:ind w:left="20"/>
              <w:spacing w:after="0"/>
              <w:rPr>
                <w:sz w:val="20"/>
                <w:szCs w:val="20"/>
                <w:color w:val="auto"/>
              </w:rPr>
            </w:pPr>
            <w:r>
              <w:rPr>
                <w:rFonts w:ascii="Times New Roman" w:cs="Times New Roman" w:eastAsia="Times New Roman" w:hAnsi="Times New Roman"/>
                <w:sz w:val="11"/>
                <w:szCs w:val="11"/>
                <w:color w:val="auto"/>
              </w:rPr>
              <w:t>Cartessa Aesthetics, LLC</w:t>
            </w:r>
          </w:p>
        </w:tc>
        <w:tc>
          <w:tcPr>
            <w:tcW w:w="90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20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98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(PIK 9.50%)</w:t>
            </w:r>
          </w:p>
        </w:tc>
        <w:tc>
          <w:tcPr>
            <w:tcW w:w="140" w:type="dxa"/>
            <w:vAlign w:val="bottom"/>
            <w:shd w:val="clear" w:color="auto" w:fill="CCECFF"/>
          </w:tcPr>
          <w:p>
            <w:pPr>
              <w:spacing w:after="0"/>
              <w:rPr>
                <w:sz w:val="11"/>
                <w:szCs w:val="11"/>
                <w:color w:val="auto"/>
              </w:rPr>
            </w:pPr>
          </w:p>
        </w:tc>
        <w:tc>
          <w:tcPr>
            <w:tcW w:w="82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84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640" w:type="dxa"/>
            <w:vAlign w:val="bottom"/>
            <w:shd w:val="clear" w:color="auto" w:fill="CCECFF"/>
          </w:tcPr>
          <w:p>
            <w:pPr>
              <w:spacing w:after="0"/>
              <w:rPr>
                <w:sz w:val="11"/>
                <w:szCs w:val="11"/>
                <w:color w:val="auto"/>
              </w:rPr>
            </w:pPr>
          </w:p>
        </w:tc>
        <w:tc>
          <w:tcPr>
            <w:tcW w:w="20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7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03"/>
        </w:trPr>
        <w:tc>
          <w:tcPr>
            <w:tcW w:w="2880" w:type="dxa"/>
            <w:vAlign w:val="bottom"/>
            <w:vMerge w:val="continue"/>
          </w:tcPr>
          <w:p>
            <w:pPr>
              <w:spacing w:after="0"/>
              <w:rPr>
                <w:sz w:val="8"/>
                <w:szCs w:val="8"/>
                <w:color w:val="auto"/>
              </w:rPr>
            </w:pPr>
          </w:p>
        </w:tc>
        <w:tc>
          <w:tcPr>
            <w:tcW w:w="900" w:type="dxa"/>
            <w:vAlign w:val="bottom"/>
          </w:tcPr>
          <w:p>
            <w:pPr>
              <w:jc w:val="center"/>
              <w:ind w:left="86"/>
              <w:spacing w:after="0" w:line="103" w:lineRule="exact"/>
              <w:rPr>
                <w:sz w:val="20"/>
                <w:szCs w:val="20"/>
                <w:color w:val="auto"/>
              </w:rPr>
            </w:pPr>
            <w:r>
              <w:rPr>
                <w:rFonts w:ascii="Times New Roman" w:cs="Times New Roman" w:eastAsia="Times New Roman" w:hAnsi="Times New Roman"/>
                <w:sz w:val="11"/>
                <w:szCs w:val="11"/>
                <w:color w:val="auto"/>
                <w:w w:val="95"/>
              </w:rPr>
              <w:t>05/13/2028</w:t>
            </w:r>
          </w:p>
        </w:tc>
        <w:tc>
          <w:tcPr>
            <w:tcW w:w="140" w:type="dxa"/>
            <w:vAlign w:val="bottom"/>
          </w:tcPr>
          <w:p>
            <w:pPr>
              <w:spacing w:after="0"/>
              <w:rPr>
                <w:sz w:val="8"/>
                <w:szCs w:val="8"/>
                <w:color w:val="auto"/>
              </w:rPr>
            </w:pPr>
          </w:p>
        </w:tc>
        <w:tc>
          <w:tcPr>
            <w:tcW w:w="2020" w:type="dxa"/>
            <w:vAlign w:val="bottom"/>
          </w:tcPr>
          <w:p>
            <w:pPr>
              <w:jc w:val="center"/>
              <w:spacing w:after="0" w:line="103" w:lineRule="exact"/>
              <w:rPr>
                <w:sz w:val="20"/>
                <w:szCs w:val="20"/>
                <w:color w:val="auto"/>
              </w:rPr>
            </w:pPr>
            <w:r>
              <w:rPr>
                <w:rFonts w:ascii="Times New Roman" w:cs="Times New Roman" w:eastAsia="Times New Roman" w:hAnsi="Times New Roman"/>
                <w:sz w:val="11"/>
                <w:szCs w:val="11"/>
                <w:color w:val="auto"/>
                <w:w w:val="95"/>
              </w:rPr>
              <w:t>Distributors</w:t>
            </w:r>
          </w:p>
        </w:tc>
        <w:tc>
          <w:tcPr>
            <w:tcW w:w="1100" w:type="dxa"/>
            <w:vAlign w:val="bottom"/>
            <w:gridSpan w:val="3"/>
          </w:tcPr>
          <w:p>
            <w:pPr>
              <w:jc w:val="right"/>
              <w:ind w:right="20"/>
              <w:spacing w:after="0" w:line="103" w:lineRule="exact"/>
              <w:rPr>
                <w:sz w:val="20"/>
                <w:szCs w:val="20"/>
                <w:color w:val="auto"/>
              </w:rPr>
            </w:pPr>
            <w:r>
              <w:rPr>
                <w:rFonts w:ascii="Times New Roman" w:cs="Times New Roman" w:eastAsia="Times New Roman" w:hAnsi="Times New Roman"/>
                <w:sz w:val="11"/>
                <w:szCs w:val="11"/>
                <w:color w:val="auto"/>
              </w:rPr>
              <w:t>9.55 %</w:t>
            </w:r>
          </w:p>
        </w:tc>
        <w:tc>
          <w:tcPr>
            <w:tcW w:w="140" w:type="dxa"/>
            <w:vAlign w:val="bottom"/>
          </w:tcPr>
          <w:p>
            <w:pPr>
              <w:spacing w:after="0"/>
              <w:rPr>
                <w:sz w:val="8"/>
                <w:szCs w:val="8"/>
                <w:color w:val="auto"/>
              </w:rPr>
            </w:pPr>
          </w:p>
        </w:tc>
        <w:tc>
          <w:tcPr>
            <w:tcW w:w="820" w:type="dxa"/>
            <w:vAlign w:val="bottom"/>
          </w:tcPr>
          <w:p>
            <w:pPr>
              <w:jc w:val="right"/>
              <w:spacing w:after="0" w:line="103" w:lineRule="exact"/>
              <w:rPr>
                <w:sz w:val="20"/>
                <w:szCs w:val="20"/>
                <w:color w:val="auto"/>
              </w:rPr>
            </w:pPr>
            <w:r>
              <w:rPr>
                <w:rFonts w:ascii="Times New Roman" w:cs="Times New Roman" w:eastAsia="Times New Roman" w:hAnsi="Times New Roman"/>
                <w:sz w:val="11"/>
                <w:szCs w:val="11"/>
                <w:color w:val="auto"/>
              </w:rPr>
              <w:t>1M L+600</w:t>
            </w:r>
          </w:p>
        </w:tc>
        <w:tc>
          <w:tcPr>
            <w:tcW w:w="1060" w:type="dxa"/>
            <w:vAlign w:val="bottom"/>
            <w:gridSpan w:val="2"/>
          </w:tcPr>
          <w:p>
            <w:pPr>
              <w:jc w:val="right"/>
              <w:spacing w:after="0" w:line="103" w:lineRule="exact"/>
              <w:rPr>
                <w:sz w:val="20"/>
                <w:szCs w:val="20"/>
                <w:color w:val="auto"/>
              </w:rPr>
            </w:pPr>
            <w:r>
              <w:rPr>
                <w:rFonts w:ascii="Times New Roman" w:cs="Times New Roman" w:eastAsia="Times New Roman" w:hAnsi="Times New Roman"/>
                <w:sz w:val="11"/>
                <w:szCs w:val="11"/>
                <w:color w:val="auto"/>
              </w:rPr>
              <w:t>16,459</w:t>
            </w: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jc w:val="right"/>
              <w:spacing w:after="0" w:line="103" w:lineRule="exact"/>
              <w:rPr>
                <w:sz w:val="20"/>
                <w:szCs w:val="20"/>
                <w:color w:val="auto"/>
              </w:rPr>
            </w:pPr>
            <w:r>
              <w:rPr>
                <w:rFonts w:ascii="Times New Roman" w:cs="Times New Roman" w:eastAsia="Times New Roman" w:hAnsi="Times New Roman"/>
                <w:sz w:val="11"/>
                <w:szCs w:val="11"/>
                <w:color w:val="auto"/>
              </w:rPr>
              <w:t>16,143</w:t>
            </w: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jc w:val="right"/>
              <w:spacing w:after="0" w:line="103" w:lineRule="exact"/>
              <w:rPr>
                <w:sz w:val="20"/>
                <w:szCs w:val="20"/>
                <w:color w:val="auto"/>
              </w:rPr>
            </w:pPr>
            <w:r>
              <w:rPr>
                <w:rFonts w:ascii="Times New Roman" w:cs="Times New Roman" w:eastAsia="Times New Roman" w:hAnsi="Times New Roman"/>
                <w:sz w:val="11"/>
                <w:szCs w:val="11"/>
                <w:color w:val="auto"/>
              </w:rPr>
              <w:t>16,212</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288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Cartessa Aesthetics, LLC (Revolver) </w:t>
            </w:r>
            <w:r>
              <w:rPr>
                <w:rFonts w:ascii="Times New Roman" w:cs="Times New Roman" w:eastAsia="Times New Roman" w:hAnsi="Times New Roman"/>
                <w:sz w:val="14"/>
                <w:szCs w:val="14"/>
                <w:color w:val="auto"/>
                <w:vertAlign w:val="superscript"/>
              </w:rPr>
              <w:t>(7)</w:t>
            </w:r>
          </w:p>
        </w:tc>
        <w:tc>
          <w:tcPr>
            <w:tcW w:w="900" w:type="dxa"/>
            <w:vAlign w:val="bottom"/>
          </w:tcPr>
          <w:p>
            <w:pPr>
              <w:jc w:val="center"/>
              <w:ind w:left="86"/>
              <w:spacing w:after="0"/>
              <w:rPr>
                <w:sz w:val="20"/>
                <w:szCs w:val="20"/>
                <w:color w:val="auto"/>
              </w:rPr>
            </w:pPr>
            <w:r>
              <w:rPr>
                <w:rFonts w:ascii="Times New Roman" w:cs="Times New Roman" w:eastAsia="Times New Roman" w:hAnsi="Times New Roman"/>
                <w:sz w:val="11"/>
                <w:szCs w:val="11"/>
                <w:color w:val="auto"/>
                <w:w w:val="95"/>
              </w:rPr>
              <w:t>05/13/2028</w:t>
            </w:r>
          </w:p>
        </w:tc>
        <w:tc>
          <w:tcPr>
            <w:tcW w:w="140" w:type="dxa"/>
            <w:vAlign w:val="bottom"/>
          </w:tcPr>
          <w:p>
            <w:pPr>
              <w:spacing w:after="0"/>
              <w:rPr>
                <w:sz w:val="11"/>
                <w:szCs w:val="11"/>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5"/>
              </w:rPr>
              <w:t>Distributors</w:t>
            </w:r>
          </w:p>
        </w:tc>
        <w:tc>
          <w:tcPr>
            <w:tcW w:w="1100" w:type="dxa"/>
            <w:vAlign w:val="bottom"/>
            <w:gridSpan w:val="3"/>
          </w:tcPr>
          <w:p>
            <w:pPr>
              <w:jc w:val="right"/>
              <w:ind w:right="20"/>
              <w:spacing w:after="0"/>
              <w:rPr>
                <w:sz w:val="20"/>
                <w:szCs w:val="20"/>
                <w:color w:val="auto"/>
              </w:rPr>
            </w:pPr>
            <w:r>
              <w:rPr>
                <w:rFonts w:ascii="Times New Roman" w:cs="Times New Roman" w:eastAsia="Times New Roman" w:hAnsi="Times New Roman"/>
                <w:sz w:val="11"/>
                <w:szCs w:val="11"/>
                <w:color w:val="auto"/>
              </w:rPr>
              <w:t>9.55 %</w:t>
            </w:r>
          </w:p>
        </w:tc>
        <w:tc>
          <w:tcPr>
            <w:tcW w:w="140" w:type="dxa"/>
            <w:vAlign w:val="bottom"/>
          </w:tcPr>
          <w:p>
            <w:pPr>
              <w:spacing w:after="0"/>
              <w:rPr>
                <w:sz w:val="11"/>
                <w:szCs w:val="1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1M L+600</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511</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511</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503</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880" w:type="dxa"/>
            <w:vAlign w:val="bottom"/>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Cartessa Aesthetics, LLC (Revolver) </w:t>
            </w:r>
            <w:r>
              <w:rPr>
                <w:rFonts w:ascii="Times New Roman" w:cs="Times New Roman" w:eastAsia="Times New Roman" w:hAnsi="Times New Roman"/>
                <w:sz w:val="14"/>
                <w:szCs w:val="14"/>
                <w:color w:val="auto"/>
                <w:vertAlign w:val="superscript"/>
              </w:rPr>
              <w:t>(7)(9)</w:t>
            </w:r>
          </w:p>
        </w:tc>
        <w:tc>
          <w:tcPr>
            <w:tcW w:w="900" w:type="dxa"/>
            <w:vAlign w:val="bottom"/>
          </w:tcPr>
          <w:p>
            <w:pPr>
              <w:jc w:val="center"/>
              <w:ind w:left="86"/>
              <w:spacing w:after="0"/>
              <w:rPr>
                <w:sz w:val="20"/>
                <w:szCs w:val="20"/>
                <w:color w:val="auto"/>
              </w:rPr>
            </w:pPr>
            <w:r>
              <w:rPr>
                <w:rFonts w:ascii="Times New Roman" w:cs="Times New Roman" w:eastAsia="Times New Roman" w:hAnsi="Times New Roman"/>
                <w:sz w:val="11"/>
                <w:szCs w:val="11"/>
                <w:color w:val="auto"/>
                <w:w w:val="95"/>
              </w:rPr>
              <w:t>05/13/2028</w:t>
            </w:r>
          </w:p>
        </w:tc>
        <w:tc>
          <w:tcPr>
            <w:tcW w:w="140" w:type="dxa"/>
            <w:vAlign w:val="bottom"/>
          </w:tcPr>
          <w:p>
            <w:pPr>
              <w:spacing w:after="0"/>
              <w:rPr>
                <w:sz w:val="13"/>
                <w:szCs w:val="13"/>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5"/>
              </w:rPr>
              <w:t>Distributors</w:t>
            </w:r>
          </w:p>
        </w:tc>
        <w:tc>
          <w:tcPr>
            <w:tcW w:w="120" w:type="dxa"/>
            <w:vAlign w:val="bottom"/>
          </w:tcPr>
          <w:p>
            <w:pPr>
              <w:spacing w:after="0"/>
              <w:rPr>
                <w:sz w:val="13"/>
                <w:szCs w:val="13"/>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927</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(14 )</w:t>
            </w:r>
          </w:p>
        </w:tc>
        <w:tc>
          <w:tcPr>
            <w:tcW w:w="0" w:type="dxa"/>
            <w:vAlign w:val="bottom"/>
          </w:tcPr>
          <w:p>
            <w:pPr>
              <w:spacing w:after="0"/>
              <w:rPr>
                <w:sz w:val="1"/>
                <w:szCs w:val="1"/>
                <w:color w:val="auto"/>
              </w:rPr>
            </w:pPr>
          </w:p>
        </w:tc>
      </w:tr>
      <w:tr>
        <w:trPr>
          <w:trHeight w:val="117"/>
        </w:trPr>
        <w:tc>
          <w:tcPr>
            <w:tcW w:w="2880" w:type="dxa"/>
            <w:vAlign w:val="bottom"/>
          </w:tcPr>
          <w:p>
            <w:pPr>
              <w:ind w:left="20"/>
              <w:spacing w:after="0" w:line="117" w:lineRule="exact"/>
              <w:rPr>
                <w:sz w:val="20"/>
                <w:szCs w:val="20"/>
                <w:color w:val="auto"/>
              </w:rPr>
            </w:pPr>
            <w:r>
              <w:rPr>
                <w:rFonts w:ascii="Times New Roman" w:cs="Times New Roman" w:eastAsia="Times New Roman" w:hAnsi="Times New Roman"/>
                <w:sz w:val="11"/>
                <w:szCs w:val="11"/>
                <w:color w:val="auto"/>
              </w:rPr>
              <w:t>CF512, Inc.</w:t>
            </w:r>
          </w:p>
        </w:tc>
        <w:tc>
          <w:tcPr>
            <w:tcW w:w="900" w:type="dxa"/>
            <w:vAlign w:val="bottom"/>
          </w:tcPr>
          <w:p>
            <w:pPr>
              <w:jc w:val="center"/>
              <w:ind w:left="86"/>
              <w:spacing w:after="0" w:line="117" w:lineRule="exact"/>
              <w:rPr>
                <w:sz w:val="20"/>
                <w:szCs w:val="20"/>
                <w:color w:val="auto"/>
              </w:rPr>
            </w:pPr>
            <w:r>
              <w:rPr>
                <w:rFonts w:ascii="Times New Roman" w:cs="Times New Roman" w:eastAsia="Times New Roman" w:hAnsi="Times New Roman"/>
                <w:sz w:val="11"/>
                <w:szCs w:val="11"/>
                <w:color w:val="auto"/>
                <w:w w:val="95"/>
              </w:rPr>
              <w:t>08/20/2026</w:t>
            </w:r>
          </w:p>
        </w:tc>
        <w:tc>
          <w:tcPr>
            <w:tcW w:w="140" w:type="dxa"/>
            <w:vAlign w:val="bottom"/>
          </w:tcPr>
          <w:p>
            <w:pPr>
              <w:spacing w:after="0"/>
              <w:rPr>
                <w:sz w:val="10"/>
                <w:szCs w:val="10"/>
                <w:color w:val="auto"/>
              </w:rPr>
            </w:pPr>
          </w:p>
        </w:tc>
        <w:tc>
          <w:tcPr>
            <w:tcW w:w="202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color w:val="auto"/>
                <w:w w:val="92"/>
              </w:rPr>
              <w:t>Media</w:t>
            </w:r>
          </w:p>
        </w:tc>
        <w:tc>
          <w:tcPr>
            <w:tcW w:w="1100" w:type="dxa"/>
            <w:vAlign w:val="bottom"/>
            <w:gridSpan w:val="3"/>
          </w:tcPr>
          <w:p>
            <w:pPr>
              <w:jc w:val="right"/>
              <w:ind w:right="20"/>
              <w:spacing w:after="0" w:line="117" w:lineRule="exact"/>
              <w:rPr>
                <w:sz w:val="20"/>
                <w:szCs w:val="20"/>
                <w:color w:val="auto"/>
              </w:rPr>
            </w:pPr>
            <w:r>
              <w:rPr>
                <w:rFonts w:ascii="Times New Roman" w:cs="Times New Roman" w:eastAsia="Times New Roman" w:hAnsi="Times New Roman"/>
                <w:sz w:val="11"/>
                <w:szCs w:val="11"/>
                <w:color w:val="auto"/>
              </w:rPr>
              <w:t>9.28 %</w:t>
            </w:r>
          </w:p>
        </w:tc>
        <w:tc>
          <w:tcPr>
            <w:tcW w:w="140" w:type="dxa"/>
            <w:vAlign w:val="bottom"/>
          </w:tcPr>
          <w:p>
            <w:pPr>
              <w:spacing w:after="0"/>
              <w:rPr>
                <w:sz w:val="10"/>
                <w:szCs w:val="10"/>
                <w:color w:val="auto"/>
              </w:rPr>
            </w:pPr>
          </w:p>
        </w:tc>
        <w:tc>
          <w:tcPr>
            <w:tcW w:w="82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3M L+600</w:t>
            </w:r>
          </w:p>
        </w:tc>
        <w:tc>
          <w:tcPr>
            <w:tcW w:w="106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1"/>
                <w:szCs w:val="11"/>
                <w:color w:val="auto"/>
              </w:rPr>
              <w:t>8,098</w:t>
            </w: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7,988</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7,976</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88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CF512, Inc. </w:t>
            </w:r>
            <w:r>
              <w:rPr>
                <w:rFonts w:ascii="Times New Roman" w:cs="Times New Roman" w:eastAsia="Times New Roman" w:hAnsi="Times New Roman"/>
                <w:sz w:val="14"/>
                <w:szCs w:val="14"/>
                <w:color w:val="auto"/>
                <w:vertAlign w:val="superscript"/>
              </w:rPr>
              <w:t>(7), (9)</w:t>
            </w:r>
          </w:p>
        </w:tc>
        <w:tc>
          <w:tcPr>
            <w:tcW w:w="900" w:type="dxa"/>
            <w:vAlign w:val="bottom"/>
          </w:tcPr>
          <w:p>
            <w:pPr>
              <w:jc w:val="center"/>
              <w:ind w:left="86"/>
              <w:spacing w:after="0"/>
              <w:rPr>
                <w:sz w:val="20"/>
                <w:szCs w:val="20"/>
                <w:color w:val="auto"/>
              </w:rPr>
            </w:pPr>
            <w:r>
              <w:rPr>
                <w:rFonts w:ascii="Times New Roman" w:cs="Times New Roman" w:eastAsia="Times New Roman" w:hAnsi="Times New Roman"/>
                <w:sz w:val="11"/>
                <w:szCs w:val="11"/>
                <w:color w:val="auto"/>
                <w:w w:val="95"/>
              </w:rPr>
              <w:t>08/20/2026</w:t>
            </w:r>
          </w:p>
        </w:tc>
        <w:tc>
          <w:tcPr>
            <w:tcW w:w="140" w:type="dxa"/>
            <w:vAlign w:val="bottom"/>
          </w:tcPr>
          <w:p>
            <w:pPr>
              <w:spacing w:after="0"/>
              <w:rPr>
                <w:sz w:val="11"/>
                <w:szCs w:val="11"/>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2"/>
              </w:rPr>
              <w:t>Media</w:t>
            </w:r>
          </w:p>
        </w:tc>
        <w:tc>
          <w:tcPr>
            <w:tcW w:w="120" w:type="dxa"/>
            <w:vAlign w:val="bottom"/>
          </w:tcPr>
          <w:p>
            <w:pPr>
              <w:spacing w:after="0"/>
              <w:rPr>
                <w:sz w:val="11"/>
                <w:szCs w:val="11"/>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1"/>
                <w:szCs w:val="1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191</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(1 )</w:t>
            </w:r>
          </w:p>
        </w:tc>
        <w:tc>
          <w:tcPr>
            <w:tcW w:w="0" w:type="dxa"/>
            <w:vAlign w:val="bottom"/>
          </w:tcPr>
          <w:p>
            <w:pPr>
              <w:spacing w:after="0"/>
              <w:rPr>
                <w:sz w:val="1"/>
                <w:szCs w:val="1"/>
                <w:color w:val="auto"/>
              </w:rPr>
            </w:pPr>
          </w:p>
        </w:tc>
      </w:tr>
      <w:tr>
        <w:trPr>
          <w:trHeight w:val="153"/>
        </w:trPr>
        <w:tc>
          <w:tcPr>
            <w:tcW w:w="2880" w:type="dxa"/>
            <w:vAlign w:val="bottom"/>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CF512, Inc. (Revolver) </w:t>
            </w:r>
            <w:r>
              <w:rPr>
                <w:rFonts w:ascii="Times New Roman" w:cs="Times New Roman" w:eastAsia="Times New Roman" w:hAnsi="Times New Roman"/>
                <w:sz w:val="14"/>
                <w:szCs w:val="14"/>
                <w:color w:val="auto"/>
                <w:vertAlign w:val="superscript"/>
              </w:rPr>
              <w:t>(7), (9)</w:t>
            </w:r>
          </w:p>
        </w:tc>
        <w:tc>
          <w:tcPr>
            <w:tcW w:w="900" w:type="dxa"/>
            <w:vAlign w:val="bottom"/>
          </w:tcPr>
          <w:p>
            <w:pPr>
              <w:jc w:val="center"/>
              <w:ind w:left="86"/>
              <w:spacing w:after="0"/>
              <w:rPr>
                <w:sz w:val="20"/>
                <w:szCs w:val="20"/>
                <w:color w:val="auto"/>
              </w:rPr>
            </w:pPr>
            <w:r>
              <w:rPr>
                <w:rFonts w:ascii="Times New Roman" w:cs="Times New Roman" w:eastAsia="Times New Roman" w:hAnsi="Times New Roman"/>
                <w:sz w:val="11"/>
                <w:szCs w:val="11"/>
                <w:color w:val="auto"/>
                <w:w w:val="95"/>
              </w:rPr>
              <w:t>08/20/2026</w:t>
            </w:r>
          </w:p>
        </w:tc>
        <w:tc>
          <w:tcPr>
            <w:tcW w:w="140" w:type="dxa"/>
            <w:vAlign w:val="bottom"/>
          </w:tcPr>
          <w:p>
            <w:pPr>
              <w:spacing w:after="0"/>
              <w:rPr>
                <w:sz w:val="13"/>
                <w:szCs w:val="13"/>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2"/>
              </w:rPr>
              <w:t>Media</w:t>
            </w:r>
          </w:p>
        </w:tc>
        <w:tc>
          <w:tcPr>
            <w:tcW w:w="120" w:type="dxa"/>
            <w:vAlign w:val="bottom"/>
          </w:tcPr>
          <w:p>
            <w:pPr>
              <w:spacing w:after="0"/>
              <w:rPr>
                <w:sz w:val="13"/>
                <w:szCs w:val="13"/>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955</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(14 )</w:t>
            </w:r>
          </w:p>
        </w:tc>
        <w:tc>
          <w:tcPr>
            <w:tcW w:w="0" w:type="dxa"/>
            <w:vAlign w:val="bottom"/>
          </w:tcPr>
          <w:p>
            <w:pPr>
              <w:spacing w:after="0"/>
              <w:rPr>
                <w:sz w:val="1"/>
                <w:szCs w:val="1"/>
                <w:color w:val="auto"/>
              </w:rPr>
            </w:pPr>
          </w:p>
        </w:tc>
      </w:tr>
      <w:tr>
        <w:trPr>
          <w:trHeight w:val="117"/>
        </w:trPr>
        <w:tc>
          <w:tcPr>
            <w:tcW w:w="2880" w:type="dxa"/>
            <w:vAlign w:val="bottom"/>
          </w:tcPr>
          <w:p>
            <w:pPr>
              <w:ind w:left="20"/>
              <w:spacing w:after="0" w:line="117" w:lineRule="exact"/>
              <w:rPr>
                <w:sz w:val="20"/>
                <w:szCs w:val="20"/>
                <w:color w:val="auto"/>
              </w:rPr>
            </w:pPr>
            <w:r>
              <w:rPr>
                <w:rFonts w:ascii="Times New Roman" w:cs="Times New Roman" w:eastAsia="Times New Roman" w:hAnsi="Times New Roman"/>
                <w:sz w:val="11"/>
                <w:szCs w:val="11"/>
                <w:color w:val="auto"/>
              </w:rPr>
              <w:t>CHA Holdings, Inc.</w:t>
            </w:r>
          </w:p>
        </w:tc>
        <w:tc>
          <w:tcPr>
            <w:tcW w:w="900" w:type="dxa"/>
            <w:vAlign w:val="bottom"/>
          </w:tcPr>
          <w:p>
            <w:pPr>
              <w:jc w:val="center"/>
              <w:ind w:left="86"/>
              <w:spacing w:after="0" w:line="117" w:lineRule="exact"/>
              <w:rPr>
                <w:sz w:val="20"/>
                <w:szCs w:val="20"/>
                <w:color w:val="auto"/>
              </w:rPr>
            </w:pPr>
            <w:r>
              <w:rPr>
                <w:rFonts w:ascii="Times New Roman" w:cs="Times New Roman" w:eastAsia="Times New Roman" w:hAnsi="Times New Roman"/>
                <w:sz w:val="11"/>
                <w:szCs w:val="11"/>
                <w:color w:val="auto"/>
                <w:w w:val="95"/>
              </w:rPr>
              <w:t>04/10/2025</w:t>
            </w:r>
          </w:p>
        </w:tc>
        <w:tc>
          <w:tcPr>
            <w:tcW w:w="140" w:type="dxa"/>
            <w:vAlign w:val="bottom"/>
          </w:tcPr>
          <w:p>
            <w:pPr>
              <w:spacing w:after="0"/>
              <w:rPr>
                <w:sz w:val="10"/>
                <w:szCs w:val="10"/>
                <w:color w:val="auto"/>
              </w:rPr>
            </w:pPr>
          </w:p>
        </w:tc>
        <w:tc>
          <w:tcPr>
            <w:tcW w:w="202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color w:val="auto"/>
                <w:w w:val="98"/>
              </w:rPr>
              <w:t>Environmental Industries</w:t>
            </w:r>
          </w:p>
        </w:tc>
        <w:tc>
          <w:tcPr>
            <w:tcW w:w="1100" w:type="dxa"/>
            <w:vAlign w:val="bottom"/>
            <w:gridSpan w:val="3"/>
          </w:tcPr>
          <w:p>
            <w:pPr>
              <w:jc w:val="right"/>
              <w:ind w:right="20"/>
              <w:spacing w:after="0" w:line="117" w:lineRule="exact"/>
              <w:rPr>
                <w:sz w:val="20"/>
                <w:szCs w:val="20"/>
                <w:color w:val="auto"/>
              </w:rPr>
            </w:pPr>
            <w:r>
              <w:rPr>
                <w:rFonts w:ascii="Times New Roman" w:cs="Times New Roman" w:eastAsia="Times New Roman" w:hAnsi="Times New Roman"/>
                <w:sz w:val="11"/>
                <w:szCs w:val="11"/>
                <w:color w:val="auto"/>
              </w:rPr>
              <w:t>8.17 %</w:t>
            </w:r>
          </w:p>
        </w:tc>
        <w:tc>
          <w:tcPr>
            <w:tcW w:w="140" w:type="dxa"/>
            <w:vAlign w:val="bottom"/>
          </w:tcPr>
          <w:p>
            <w:pPr>
              <w:spacing w:after="0"/>
              <w:rPr>
                <w:sz w:val="10"/>
                <w:szCs w:val="10"/>
                <w:color w:val="auto"/>
              </w:rPr>
            </w:pPr>
          </w:p>
        </w:tc>
        <w:tc>
          <w:tcPr>
            <w:tcW w:w="82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3M L+450</w:t>
            </w:r>
          </w:p>
        </w:tc>
        <w:tc>
          <w:tcPr>
            <w:tcW w:w="106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1"/>
                <w:szCs w:val="11"/>
                <w:color w:val="auto"/>
              </w:rPr>
              <w:t>1,581</w:t>
            </w: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1,577</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1,581</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88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Challenger Performance Optimization, Inc. (Revolver) </w:t>
            </w:r>
            <w:r>
              <w:rPr>
                <w:rFonts w:ascii="Times New Roman" w:cs="Times New Roman" w:eastAsia="Times New Roman" w:hAnsi="Times New Roman"/>
                <w:sz w:val="14"/>
                <w:szCs w:val="14"/>
                <w:color w:val="auto"/>
                <w:vertAlign w:val="superscript"/>
              </w:rPr>
              <w:t>(7), (9)</w:t>
            </w:r>
          </w:p>
        </w:tc>
        <w:tc>
          <w:tcPr>
            <w:tcW w:w="900" w:type="dxa"/>
            <w:vAlign w:val="bottom"/>
          </w:tcPr>
          <w:p>
            <w:pPr>
              <w:jc w:val="center"/>
              <w:ind w:left="86"/>
              <w:spacing w:after="0"/>
              <w:rPr>
                <w:sz w:val="20"/>
                <w:szCs w:val="20"/>
                <w:color w:val="auto"/>
              </w:rPr>
            </w:pPr>
            <w:r>
              <w:rPr>
                <w:rFonts w:ascii="Times New Roman" w:cs="Times New Roman" w:eastAsia="Times New Roman" w:hAnsi="Times New Roman"/>
                <w:sz w:val="11"/>
                <w:szCs w:val="11"/>
                <w:color w:val="auto"/>
                <w:w w:val="95"/>
              </w:rPr>
              <w:t>08/31/2023</w:t>
            </w:r>
          </w:p>
        </w:tc>
        <w:tc>
          <w:tcPr>
            <w:tcW w:w="140" w:type="dxa"/>
            <w:vAlign w:val="bottom"/>
          </w:tcPr>
          <w:p>
            <w:pPr>
              <w:spacing w:after="0"/>
              <w:rPr>
                <w:sz w:val="11"/>
                <w:szCs w:val="11"/>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1100" w:type="dxa"/>
            <w:vAlign w:val="bottom"/>
            <w:gridSpan w:val="3"/>
          </w:tcPr>
          <w:p>
            <w:pPr>
              <w:jc w:val="right"/>
              <w:ind w:right="20"/>
              <w:spacing w:after="0"/>
              <w:rPr>
                <w:sz w:val="20"/>
                <w:szCs w:val="20"/>
                <w:color w:val="auto"/>
              </w:rPr>
            </w:pPr>
            <w:r>
              <w:rPr>
                <w:rFonts w:ascii="Times New Roman" w:cs="Times New Roman" w:eastAsia="Times New Roman" w:hAnsi="Times New Roman"/>
                <w:sz w:val="11"/>
                <w:szCs w:val="11"/>
                <w:color w:val="auto"/>
              </w:rPr>
              <w:t>9.27 %</w:t>
            </w:r>
          </w:p>
        </w:tc>
        <w:tc>
          <w:tcPr>
            <w:tcW w:w="140" w:type="dxa"/>
            <w:vAlign w:val="bottom"/>
          </w:tcPr>
          <w:p>
            <w:pPr>
              <w:spacing w:after="0"/>
              <w:rPr>
                <w:sz w:val="11"/>
                <w:szCs w:val="1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1M L+675</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357</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357</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346</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880" w:type="dxa"/>
            <w:vAlign w:val="bottom"/>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Challenger Performance Optimization, Inc. (Revolver) </w:t>
            </w:r>
            <w:r>
              <w:rPr>
                <w:rFonts w:ascii="Times New Roman" w:cs="Times New Roman" w:eastAsia="Times New Roman" w:hAnsi="Times New Roman"/>
                <w:sz w:val="14"/>
                <w:szCs w:val="14"/>
                <w:color w:val="auto"/>
                <w:vertAlign w:val="superscript"/>
              </w:rPr>
              <w:t>(7), (9)</w:t>
            </w:r>
          </w:p>
        </w:tc>
        <w:tc>
          <w:tcPr>
            <w:tcW w:w="900" w:type="dxa"/>
            <w:vAlign w:val="bottom"/>
          </w:tcPr>
          <w:p>
            <w:pPr>
              <w:jc w:val="center"/>
              <w:ind w:left="86"/>
              <w:spacing w:after="0"/>
              <w:rPr>
                <w:sz w:val="20"/>
                <w:szCs w:val="20"/>
                <w:color w:val="auto"/>
              </w:rPr>
            </w:pPr>
            <w:r>
              <w:rPr>
                <w:rFonts w:ascii="Times New Roman" w:cs="Times New Roman" w:eastAsia="Times New Roman" w:hAnsi="Times New Roman"/>
                <w:sz w:val="11"/>
                <w:szCs w:val="11"/>
                <w:color w:val="auto"/>
                <w:w w:val="95"/>
              </w:rPr>
              <w:t>08/31/2023</w:t>
            </w:r>
          </w:p>
        </w:tc>
        <w:tc>
          <w:tcPr>
            <w:tcW w:w="140" w:type="dxa"/>
            <w:vAlign w:val="bottom"/>
          </w:tcPr>
          <w:p>
            <w:pPr>
              <w:spacing w:after="0"/>
              <w:rPr>
                <w:sz w:val="13"/>
                <w:szCs w:val="13"/>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120" w:type="dxa"/>
            <w:vAlign w:val="bottom"/>
          </w:tcPr>
          <w:p>
            <w:pPr>
              <w:spacing w:after="0"/>
              <w:rPr>
                <w:sz w:val="13"/>
                <w:szCs w:val="13"/>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356</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(11 )</w:t>
            </w:r>
          </w:p>
        </w:tc>
        <w:tc>
          <w:tcPr>
            <w:tcW w:w="0" w:type="dxa"/>
            <w:vAlign w:val="bottom"/>
          </w:tcPr>
          <w:p>
            <w:pPr>
              <w:spacing w:after="0"/>
              <w:rPr>
                <w:sz w:val="1"/>
                <w:szCs w:val="1"/>
                <w:color w:val="auto"/>
              </w:rPr>
            </w:pPr>
          </w:p>
        </w:tc>
      </w:tr>
      <w:tr>
        <w:trPr>
          <w:trHeight w:val="117"/>
        </w:trPr>
        <w:tc>
          <w:tcPr>
            <w:tcW w:w="2880" w:type="dxa"/>
            <w:vAlign w:val="bottom"/>
          </w:tcPr>
          <w:p>
            <w:pPr>
              <w:ind w:left="20"/>
              <w:spacing w:after="0" w:line="117" w:lineRule="exact"/>
              <w:rPr>
                <w:sz w:val="20"/>
                <w:szCs w:val="20"/>
                <w:color w:val="auto"/>
              </w:rPr>
            </w:pPr>
            <w:r>
              <w:rPr>
                <w:rFonts w:ascii="Times New Roman" w:cs="Times New Roman" w:eastAsia="Times New Roman" w:hAnsi="Times New Roman"/>
                <w:sz w:val="11"/>
                <w:szCs w:val="11"/>
                <w:color w:val="auto"/>
              </w:rPr>
              <w:t>Compex Legal Services, Inc.</w:t>
            </w:r>
          </w:p>
        </w:tc>
        <w:tc>
          <w:tcPr>
            <w:tcW w:w="900" w:type="dxa"/>
            <w:vAlign w:val="bottom"/>
          </w:tcPr>
          <w:p>
            <w:pPr>
              <w:jc w:val="center"/>
              <w:ind w:left="86"/>
              <w:spacing w:after="0" w:line="117" w:lineRule="exact"/>
              <w:rPr>
                <w:sz w:val="20"/>
                <w:szCs w:val="20"/>
                <w:color w:val="auto"/>
              </w:rPr>
            </w:pPr>
            <w:r>
              <w:rPr>
                <w:rFonts w:ascii="Times New Roman" w:cs="Times New Roman" w:eastAsia="Times New Roman" w:hAnsi="Times New Roman"/>
                <w:sz w:val="11"/>
                <w:szCs w:val="11"/>
                <w:color w:val="auto"/>
                <w:w w:val="95"/>
              </w:rPr>
              <w:t>02/09/2026</w:t>
            </w:r>
          </w:p>
        </w:tc>
        <w:tc>
          <w:tcPr>
            <w:tcW w:w="140" w:type="dxa"/>
            <w:vAlign w:val="bottom"/>
          </w:tcPr>
          <w:p>
            <w:pPr>
              <w:spacing w:after="0"/>
              <w:rPr>
                <w:sz w:val="10"/>
                <w:szCs w:val="10"/>
                <w:color w:val="auto"/>
              </w:rPr>
            </w:pPr>
          </w:p>
        </w:tc>
        <w:tc>
          <w:tcPr>
            <w:tcW w:w="202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color w:val="auto"/>
                <w:w w:val="99"/>
              </w:rPr>
              <w:t>Professional Services</w:t>
            </w:r>
          </w:p>
        </w:tc>
        <w:tc>
          <w:tcPr>
            <w:tcW w:w="1100" w:type="dxa"/>
            <w:vAlign w:val="bottom"/>
            <w:gridSpan w:val="3"/>
          </w:tcPr>
          <w:p>
            <w:pPr>
              <w:jc w:val="right"/>
              <w:ind w:right="20"/>
              <w:spacing w:after="0" w:line="117" w:lineRule="exact"/>
              <w:rPr>
                <w:sz w:val="20"/>
                <w:szCs w:val="20"/>
                <w:color w:val="auto"/>
              </w:rPr>
            </w:pPr>
            <w:r>
              <w:rPr>
                <w:rFonts w:ascii="Times New Roman" w:cs="Times New Roman" w:eastAsia="Times New Roman" w:hAnsi="Times New Roman"/>
                <w:sz w:val="11"/>
                <w:szCs w:val="11"/>
                <w:color w:val="auto"/>
              </w:rPr>
              <w:t>8.83 %</w:t>
            </w:r>
          </w:p>
        </w:tc>
        <w:tc>
          <w:tcPr>
            <w:tcW w:w="140" w:type="dxa"/>
            <w:vAlign w:val="bottom"/>
          </w:tcPr>
          <w:p>
            <w:pPr>
              <w:spacing w:after="0"/>
              <w:rPr>
                <w:sz w:val="10"/>
                <w:szCs w:val="10"/>
                <w:color w:val="auto"/>
              </w:rPr>
            </w:pPr>
          </w:p>
        </w:tc>
        <w:tc>
          <w:tcPr>
            <w:tcW w:w="82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3M L+525</w:t>
            </w:r>
          </w:p>
        </w:tc>
        <w:tc>
          <w:tcPr>
            <w:tcW w:w="106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1"/>
                <w:szCs w:val="11"/>
                <w:color w:val="auto"/>
              </w:rPr>
              <w:t>8,038</w:t>
            </w: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8,010</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8,038</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88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Compex Legal Services, Inc. (Revolver) </w:t>
            </w:r>
            <w:r>
              <w:rPr>
                <w:rFonts w:ascii="Times New Roman" w:cs="Times New Roman" w:eastAsia="Times New Roman" w:hAnsi="Times New Roman"/>
                <w:sz w:val="14"/>
                <w:szCs w:val="14"/>
                <w:color w:val="auto"/>
                <w:vertAlign w:val="superscript"/>
              </w:rPr>
              <w:t>(7)</w:t>
            </w:r>
          </w:p>
        </w:tc>
        <w:tc>
          <w:tcPr>
            <w:tcW w:w="900" w:type="dxa"/>
            <w:vAlign w:val="bottom"/>
          </w:tcPr>
          <w:p>
            <w:pPr>
              <w:jc w:val="center"/>
              <w:ind w:left="86"/>
              <w:spacing w:after="0"/>
              <w:rPr>
                <w:sz w:val="20"/>
                <w:szCs w:val="20"/>
                <w:color w:val="auto"/>
              </w:rPr>
            </w:pPr>
            <w:r>
              <w:rPr>
                <w:rFonts w:ascii="Times New Roman" w:cs="Times New Roman" w:eastAsia="Times New Roman" w:hAnsi="Times New Roman"/>
                <w:sz w:val="11"/>
                <w:szCs w:val="11"/>
                <w:color w:val="auto"/>
                <w:w w:val="95"/>
              </w:rPr>
              <w:t>02/07/2025</w:t>
            </w:r>
          </w:p>
        </w:tc>
        <w:tc>
          <w:tcPr>
            <w:tcW w:w="140" w:type="dxa"/>
            <w:vAlign w:val="bottom"/>
          </w:tcPr>
          <w:p>
            <w:pPr>
              <w:spacing w:after="0"/>
              <w:rPr>
                <w:sz w:val="11"/>
                <w:szCs w:val="11"/>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Professional Services</w:t>
            </w:r>
          </w:p>
        </w:tc>
        <w:tc>
          <w:tcPr>
            <w:tcW w:w="1100" w:type="dxa"/>
            <w:vAlign w:val="bottom"/>
            <w:gridSpan w:val="3"/>
          </w:tcPr>
          <w:p>
            <w:pPr>
              <w:jc w:val="right"/>
              <w:ind w:right="20"/>
              <w:spacing w:after="0"/>
              <w:rPr>
                <w:sz w:val="20"/>
                <w:szCs w:val="20"/>
                <w:color w:val="auto"/>
              </w:rPr>
            </w:pPr>
            <w:r>
              <w:rPr>
                <w:rFonts w:ascii="Times New Roman" w:cs="Times New Roman" w:eastAsia="Times New Roman" w:hAnsi="Times New Roman"/>
                <w:sz w:val="11"/>
                <w:szCs w:val="11"/>
                <w:color w:val="auto"/>
              </w:rPr>
              <w:t>8.92 %</w:t>
            </w:r>
          </w:p>
        </w:tc>
        <w:tc>
          <w:tcPr>
            <w:tcW w:w="140" w:type="dxa"/>
            <w:vAlign w:val="bottom"/>
          </w:tcPr>
          <w:p>
            <w:pPr>
              <w:spacing w:after="0"/>
              <w:rPr>
                <w:sz w:val="11"/>
                <w:szCs w:val="1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L+525</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773</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773</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773</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880" w:type="dxa"/>
            <w:vAlign w:val="bottom"/>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Compex Legal Services, Inc. (Revolver) </w:t>
            </w:r>
            <w:r>
              <w:rPr>
                <w:rFonts w:ascii="Times New Roman" w:cs="Times New Roman" w:eastAsia="Times New Roman" w:hAnsi="Times New Roman"/>
                <w:sz w:val="14"/>
                <w:szCs w:val="14"/>
                <w:color w:val="auto"/>
                <w:vertAlign w:val="superscript"/>
              </w:rPr>
              <w:t>(7), (9)</w:t>
            </w:r>
          </w:p>
        </w:tc>
        <w:tc>
          <w:tcPr>
            <w:tcW w:w="900" w:type="dxa"/>
            <w:vAlign w:val="bottom"/>
          </w:tcPr>
          <w:p>
            <w:pPr>
              <w:jc w:val="center"/>
              <w:ind w:left="86"/>
              <w:spacing w:after="0"/>
              <w:rPr>
                <w:sz w:val="20"/>
                <w:szCs w:val="20"/>
                <w:color w:val="auto"/>
              </w:rPr>
            </w:pPr>
            <w:r>
              <w:rPr>
                <w:rFonts w:ascii="Times New Roman" w:cs="Times New Roman" w:eastAsia="Times New Roman" w:hAnsi="Times New Roman"/>
                <w:sz w:val="11"/>
                <w:szCs w:val="11"/>
                <w:color w:val="auto"/>
                <w:w w:val="95"/>
              </w:rPr>
              <w:t>02/07/2025</w:t>
            </w:r>
          </w:p>
        </w:tc>
        <w:tc>
          <w:tcPr>
            <w:tcW w:w="140" w:type="dxa"/>
            <w:vAlign w:val="bottom"/>
          </w:tcPr>
          <w:p>
            <w:pPr>
              <w:spacing w:after="0"/>
              <w:rPr>
                <w:sz w:val="13"/>
                <w:szCs w:val="13"/>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Professional Services</w:t>
            </w:r>
          </w:p>
        </w:tc>
        <w:tc>
          <w:tcPr>
            <w:tcW w:w="120" w:type="dxa"/>
            <w:vAlign w:val="bottom"/>
          </w:tcPr>
          <w:p>
            <w:pPr>
              <w:spacing w:after="0"/>
              <w:rPr>
                <w:sz w:val="13"/>
                <w:szCs w:val="13"/>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633</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17"/>
        </w:trPr>
        <w:tc>
          <w:tcPr>
            <w:tcW w:w="2880" w:type="dxa"/>
            <w:vAlign w:val="bottom"/>
          </w:tcPr>
          <w:p>
            <w:pPr>
              <w:ind w:left="20"/>
              <w:spacing w:after="0" w:line="117" w:lineRule="exact"/>
              <w:rPr>
                <w:sz w:val="20"/>
                <w:szCs w:val="20"/>
                <w:color w:val="auto"/>
              </w:rPr>
            </w:pPr>
            <w:r>
              <w:rPr>
                <w:rFonts w:ascii="Times New Roman" w:cs="Times New Roman" w:eastAsia="Times New Roman" w:hAnsi="Times New Roman"/>
                <w:sz w:val="11"/>
                <w:szCs w:val="11"/>
                <w:color w:val="auto"/>
              </w:rPr>
              <w:t>Connatix Buyer, Inc.</w:t>
            </w:r>
          </w:p>
        </w:tc>
        <w:tc>
          <w:tcPr>
            <w:tcW w:w="900" w:type="dxa"/>
            <w:vAlign w:val="bottom"/>
          </w:tcPr>
          <w:p>
            <w:pPr>
              <w:jc w:val="center"/>
              <w:ind w:left="86"/>
              <w:spacing w:after="0" w:line="117" w:lineRule="exact"/>
              <w:rPr>
                <w:sz w:val="20"/>
                <w:szCs w:val="20"/>
                <w:color w:val="auto"/>
              </w:rPr>
            </w:pPr>
            <w:r>
              <w:rPr>
                <w:rFonts w:ascii="Times New Roman" w:cs="Times New Roman" w:eastAsia="Times New Roman" w:hAnsi="Times New Roman"/>
                <w:sz w:val="11"/>
                <w:szCs w:val="11"/>
                <w:color w:val="auto"/>
                <w:w w:val="95"/>
              </w:rPr>
              <w:t>07/13/2027</w:t>
            </w:r>
          </w:p>
        </w:tc>
        <w:tc>
          <w:tcPr>
            <w:tcW w:w="140" w:type="dxa"/>
            <w:vAlign w:val="bottom"/>
          </w:tcPr>
          <w:p>
            <w:pPr>
              <w:spacing w:after="0"/>
              <w:rPr>
                <w:sz w:val="10"/>
                <w:szCs w:val="10"/>
                <w:color w:val="auto"/>
              </w:rPr>
            </w:pPr>
          </w:p>
        </w:tc>
        <w:tc>
          <w:tcPr>
            <w:tcW w:w="202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color w:val="auto"/>
                <w:w w:val="92"/>
              </w:rPr>
              <w:t>Media</w:t>
            </w:r>
          </w:p>
        </w:tc>
        <w:tc>
          <w:tcPr>
            <w:tcW w:w="1100" w:type="dxa"/>
            <w:vAlign w:val="bottom"/>
            <w:gridSpan w:val="3"/>
          </w:tcPr>
          <w:p>
            <w:pPr>
              <w:jc w:val="right"/>
              <w:ind w:right="20"/>
              <w:spacing w:after="0" w:line="117" w:lineRule="exact"/>
              <w:rPr>
                <w:sz w:val="20"/>
                <w:szCs w:val="20"/>
                <w:color w:val="auto"/>
              </w:rPr>
            </w:pPr>
            <w:r>
              <w:rPr>
                <w:rFonts w:ascii="Times New Roman" w:cs="Times New Roman" w:eastAsia="Times New Roman" w:hAnsi="Times New Roman"/>
                <w:sz w:val="11"/>
                <w:szCs w:val="11"/>
                <w:color w:val="auto"/>
              </w:rPr>
              <w:t>8.42 %</w:t>
            </w:r>
          </w:p>
        </w:tc>
        <w:tc>
          <w:tcPr>
            <w:tcW w:w="140" w:type="dxa"/>
            <w:vAlign w:val="bottom"/>
          </w:tcPr>
          <w:p>
            <w:pPr>
              <w:spacing w:after="0"/>
              <w:rPr>
                <w:sz w:val="10"/>
                <w:szCs w:val="10"/>
                <w:color w:val="auto"/>
              </w:rPr>
            </w:pPr>
          </w:p>
        </w:tc>
        <w:tc>
          <w:tcPr>
            <w:tcW w:w="82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3M L+550</w:t>
            </w:r>
          </w:p>
        </w:tc>
        <w:tc>
          <w:tcPr>
            <w:tcW w:w="106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1"/>
                <w:szCs w:val="11"/>
                <w:color w:val="auto"/>
              </w:rPr>
              <w:t>3,907</w:t>
            </w: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3,841</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3,810</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88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Connatix Buyer, Inc. </w:t>
            </w:r>
            <w:r>
              <w:rPr>
                <w:rFonts w:ascii="Times New Roman" w:cs="Times New Roman" w:eastAsia="Times New Roman" w:hAnsi="Times New Roman"/>
                <w:sz w:val="14"/>
                <w:szCs w:val="14"/>
                <w:color w:val="auto"/>
                <w:vertAlign w:val="superscript"/>
              </w:rPr>
              <w:t>(7), (9)</w:t>
            </w:r>
          </w:p>
        </w:tc>
        <w:tc>
          <w:tcPr>
            <w:tcW w:w="900" w:type="dxa"/>
            <w:vAlign w:val="bottom"/>
          </w:tcPr>
          <w:p>
            <w:pPr>
              <w:jc w:val="center"/>
              <w:ind w:left="86"/>
              <w:spacing w:after="0"/>
              <w:rPr>
                <w:sz w:val="20"/>
                <w:szCs w:val="20"/>
                <w:color w:val="auto"/>
              </w:rPr>
            </w:pPr>
            <w:r>
              <w:rPr>
                <w:rFonts w:ascii="Times New Roman" w:cs="Times New Roman" w:eastAsia="Times New Roman" w:hAnsi="Times New Roman"/>
                <w:sz w:val="11"/>
                <w:szCs w:val="11"/>
                <w:color w:val="auto"/>
                <w:w w:val="95"/>
              </w:rPr>
              <w:t>01/13/2023</w:t>
            </w:r>
          </w:p>
        </w:tc>
        <w:tc>
          <w:tcPr>
            <w:tcW w:w="140" w:type="dxa"/>
            <w:vAlign w:val="bottom"/>
          </w:tcPr>
          <w:p>
            <w:pPr>
              <w:spacing w:after="0"/>
              <w:rPr>
                <w:sz w:val="11"/>
                <w:szCs w:val="11"/>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2"/>
              </w:rPr>
              <w:t>Media</w:t>
            </w:r>
          </w:p>
        </w:tc>
        <w:tc>
          <w:tcPr>
            <w:tcW w:w="120" w:type="dxa"/>
            <w:vAlign w:val="bottom"/>
          </w:tcPr>
          <w:p>
            <w:pPr>
              <w:spacing w:after="0"/>
              <w:rPr>
                <w:sz w:val="11"/>
                <w:szCs w:val="11"/>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1"/>
                <w:szCs w:val="1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2,105</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(32 )</w:t>
            </w:r>
          </w:p>
        </w:tc>
        <w:tc>
          <w:tcPr>
            <w:tcW w:w="0" w:type="dxa"/>
            <w:vAlign w:val="bottom"/>
          </w:tcPr>
          <w:p>
            <w:pPr>
              <w:spacing w:after="0"/>
              <w:rPr>
                <w:sz w:val="1"/>
                <w:szCs w:val="1"/>
                <w:color w:val="auto"/>
              </w:rPr>
            </w:pPr>
          </w:p>
        </w:tc>
      </w:tr>
      <w:tr>
        <w:trPr>
          <w:trHeight w:val="153"/>
        </w:trPr>
        <w:tc>
          <w:tcPr>
            <w:tcW w:w="2880" w:type="dxa"/>
            <w:vAlign w:val="bottom"/>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Connatix Buyer, Inc. </w:t>
            </w:r>
            <w:r>
              <w:rPr>
                <w:rFonts w:ascii="Times New Roman" w:cs="Times New Roman" w:eastAsia="Times New Roman" w:hAnsi="Times New Roman"/>
                <w:sz w:val="14"/>
                <w:szCs w:val="14"/>
                <w:color w:val="auto"/>
                <w:vertAlign w:val="superscript"/>
              </w:rPr>
              <w:t>(7), (9)</w:t>
            </w:r>
          </w:p>
        </w:tc>
        <w:tc>
          <w:tcPr>
            <w:tcW w:w="900" w:type="dxa"/>
            <w:vAlign w:val="bottom"/>
          </w:tcPr>
          <w:p>
            <w:pPr>
              <w:jc w:val="center"/>
              <w:ind w:left="86"/>
              <w:spacing w:after="0"/>
              <w:rPr>
                <w:sz w:val="20"/>
                <w:szCs w:val="20"/>
                <w:color w:val="auto"/>
              </w:rPr>
            </w:pPr>
            <w:r>
              <w:rPr>
                <w:rFonts w:ascii="Times New Roman" w:cs="Times New Roman" w:eastAsia="Times New Roman" w:hAnsi="Times New Roman"/>
                <w:sz w:val="11"/>
                <w:szCs w:val="11"/>
                <w:color w:val="auto"/>
                <w:w w:val="95"/>
              </w:rPr>
              <w:t>07/13/2027</w:t>
            </w:r>
          </w:p>
        </w:tc>
        <w:tc>
          <w:tcPr>
            <w:tcW w:w="140" w:type="dxa"/>
            <w:vAlign w:val="bottom"/>
          </w:tcPr>
          <w:p>
            <w:pPr>
              <w:spacing w:after="0"/>
              <w:rPr>
                <w:sz w:val="13"/>
                <w:szCs w:val="13"/>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2"/>
              </w:rPr>
              <w:t>Media</w:t>
            </w:r>
          </w:p>
        </w:tc>
        <w:tc>
          <w:tcPr>
            <w:tcW w:w="120" w:type="dxa"/>
            <w:vAlign w:val="bottom"/>
          </w:tcPr>
          <w:p>
            <w:pPr>
              <w:spacing w:after="0"/>
              <w:rPr>
                <w:sz w:val="13"/>
                <w:szCs w:val="13"/>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1,234</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(30 )</w:t>
            </w:r>
          </w:p>
        </w:tc>
        <w:tc>
          <w:tcPr>
            <w:tcW w:w="0" w:type="dxa"/>
            <w:vAlign w:val="bottom"/>
          </w:tcPr>
          <w:p>
            <w:pPr>
              <w:spacing w:after="0"/>
              <w:rPr>
                <w:sz w:val="1"/>
                <w:szCs w:val="1"/>
                <w:color w:val="auto"/>
              </w:rPr>
            </w:pPr>
          </w:p>
        </w:tc>
      </w:tr>
      <w:tr>
        <w:trPr>
          <w:trHeight w:val="117"/>
        </w:trPr>
        <w:tc>
          <w:tcPr>
            <w:tcW w:w="2880" w:type="dxa"/>
            <w:vAlign w:val="bottom"/>
          </w:tcPr>
          <w:p>
            <w:pPr>
              <w:ind w:left="20"/>
              <w:spacing w:after="0" w:line="117" w:lineRule="exact"/>
              <w:rPr>
                <w:sz w:val="20"/>
                <w:szCs w:val="20"/>
                <w:color w:val="auto"/>
              </w:rPr>
            </w:pPr>
            <w:r>
              <w:rPr>
                <w:rFonts w:ascii="Times New Roman" w:cs="Times New Roman" w:eastAsia="Times New Roman" w:hAnsi="Times New Roman"/>
                <w:sz w:val="11"/>
                <w:szCs w:val="11"/>
                <w:color w:val="auto"/>
              </w:rPr>
              <w:t>Crane 1 Services, Inc.</w:t>
            </w:r>
          </w:p>
        </w:tc>
        <w:tc>
          <w:tcPr>
            <w:tcW w:w="900" w:type="dxa"/>
            <w:vAlign w:val="bottom"/>
          </w:tcPr>
          <w:p>
            <w:pPr>
              <w:jc w:val="center"/>
              <w:ind w:left="86"/>
              <w:spacing w:after="0" w:line="117" w:lineRule="exact"/>
              <w:rPr>
                <w:sz w:val="20"/>
                <w:szCs w:val="20"/>
                <w:color w:val="auto"/>
              </w:rPr>
            </w:pPr>
            <w:r>
              <w:rPr>
                <w:rFonts w:ascii="Times New Roman" w:cs="Times New Roman" w:eastAsia="Times New Roman" w:hAnsi="Times New Roman"/>
                <w:sz w:val="11"/>
                <w:szCs w:val="11"/>
                <w:color w:val="auto"/>
                <w:w w:val="95"/>
              </w:rPr>
              <w:t>08/16/2027</w:t>
            </w:r>
          </w:p>
        </w:tc>
        <w:tc>
          <w:tcPr>
            <w:tcW w:w="140" w:type="dxa"/>
            <w:vAlign w:val="bottom"/>
          </w:tcPr>
          <w:p>
            <w:pPr>
              <w:spacing w:after="0"/>
              <w:rPr>
                <w:sz w:val="10"/>
                <w:szCs w:val="10"/>
                <w:color w:val="auto"/>
              </w:rPr>
            </w:pPr>
          </w:p>
        </w:tc>
        <w:tc>
          <w:tcPr>
            <w:tcW w:w="202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color w:val="auto"/>
                <w:w w:val="96"/>
              </w:rPr>
              <w:t>Commercial Services &amp; Supplies</w:t>
            </w:r>
          </w:p>
        </w:tc>
        <w:tc>
          <w:tcPr>
            <w:tcW w:w="1100" w:type="dxa"/>
            <w:vAlign w:val="bottom"/>
            <w:gridSpan w:val="3"/>
          </w:tcPr>
          <w:p>
            <w:pPr>
              <w:jc w:val="right"/>
              <w:ind w:right="20"/>
              <w:spacing w:after="0" w:line="117" w:lineRule="exact"/>
              <w:rPr>
                <w:sz w:val="20"/>
                <w:szCs w:val="20"/>
                <w:color w:val="auto"/>
              </w:rPr>
            </w:pPr>
            <w:r>
              <w:rPr>
                <w:rFonts w:ascii="Times New Roman" w:cs="Times New Roman" w:eastAsia="Times New Roman" w:hAnsi="Times New Roman"/>
                <w:sz w:val="11"/>
                <w:szCs w:val="11"/>
                <w:color w:val="auto"/>
              </w:rPr>
              <w:t>9.39 %</w:t>
            </w:r>
          </w:p>
        </w:tc>
        <w:tc>
          <w:tcPr>
            <w:tcW w:w="140" w:type="dxa"/>
            <w:vAlign w:val="bottom"/>
          </w:tcPr>
          <w:p>
            <w:pPr>
              <w:spacing w:after="0"/>
              <w:rPr>
                <w:sz w:val="10"/>
                <w:szCs w:val="10"/>
                <w:color w:val="auto"/>
              </w:rPr>
            </w:pPr>
          </w:p>
        </w:tc>
        <w:tc>
          <w:tcPr>
            <w:tcW w:w="82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3M L+575</w:t>
            </w:r>
          </w:p>
        </w:tc>
        <w:tc>
          <w:tcPr>
            <w:tcW w:w="106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1"/>
                <w:szCs w:val="11"/>
                <w:color w:val="auto"/>
              </w:rPr>
              <w:t>891</w:t>
            </w: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885</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882</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88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Crane 1 Services, Inc. (Revolver) </w:t>
            </w:r>
            <w:r>
              <w:rPr>
                <w:rFonts w:ascii="Times New Roman" w:cs="Times New Roman" w:eastAsia="Times New Roman" w:hAnsi="Times New Roman"/>
                <w:sz w:val="14"/>
                <w:szCs w:val="14"/>
                <w:color w:val="auto"/>
                <w:vertAlign w:val="superscript"/>
              </w:rPr>
              <w:t>(7)</w:t>
            </w:r>
          </w:p>
        </w:tc>
        <w:tc>
          <w:tcPr>
            <w:tcW w:w="900" w:type="dxa"/>
            <w:vAlign w:val="bottom"/>
          </w:tcPr>
          <w:p>
            <w:pPr>
              <w:jc w:val="center"/>
              <w:ind w:left="86"/>
              <w:spacing w:after="0"/>
              <w:rPr>
                <w:sz w:val="20"/>
                <w:szCs w:val="20"/>
                <w:color w:val="auto"/>
              </w:rPr>
            </w:pPr>
            <w:r>
              <w:rPr>
                <w:rFonts w:ascii="Times New Roman" w:cs="Times New Roman" w:eastAsia="Times New Roman" w:hAnsi="Times New Roman"/>
                <w:sz w:val="11"/>
                <w:szCs w:val="11"/>
                <w:color w:val="auto"/>
                <w:w w:val="95"/>
              </w:rPr>
              <w:t>08/16/2027</w:t>
            </w:r>
          </w:p>
        </w:tc>
        <w:tc>
          <w:tcPr>
            <w:tcW w:w="140" w:type="dxa"/>
            <w:vAlign w:val="bottom"/>
          </w:tcPr>
          <w:p>
            <w:pPr>
              <w:spacing w:after="0"/>
              <w:rPr>
                <w:sz w:val="11"/>
                <w:szCs w:val="11"/>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6"/>
              </w:rPr>
              <w:t>Commercial Services &amp; Supplies</w:t>
            </w:r>
          </w:p>
        </w:tc>
        <w:tc>
          <w:tcPr>
            <w:tcW w:w="1100" w:type="dxa"/>
            <w:vAlign w:val="bottom"/>
            <w:gridSpan w:val="3"/>
          </w:tcPr>
          <w:p>
            <w:pPr>
              <w:jc w:val="right"/>
              <w:ind w:right="20"/>
              <w:spacing w:after="0"/>
              <w:rPr>
                <w:sz w:val="20"/>
                <w:szCs w:val="20"/>
                <w:color w:val="auto"/>
              </w:rPr>
            </w:pPr>
            <w:r>
              <w:rPr>
                <w:rFonts w:ascii="Times New Roman" w:cs="Times New Roman" w:eastAsia="Times New Roman" w:hAnsi="Times New Roman"/>
                <w:sz w:val="11"/>
                <w:szCs w:val="11"/>
                <w:color w:val="auto"/>
              </w:rPr>
              <w:t>8.87 %</w:t>
            </w:r>
          </w:p>
        </w:tc>
        <w:tc>
          <w:tcPr>
            <w:tcW w:w="140" w:type="dxa"/>
            <w:vAlign w:val="bottom"/>
          </w:tcPr>
          <w:p>
            <w:pPr>
              <w:spacing w:after="0"/>
              <w:rPr>
                <w:sz w:val="11"/>
                <w:szCs w:val="1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L+575</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224</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224</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222</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880" w:type="dxa"/>
            <w:vAlign w:val="bottom"/>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Crane 1 Services, Inc. (Revolver) </w:t>
            </w:r>
            <w:r>
              <w:rPr>
                <w:rFonts w:ascii="Times New Roman" w:cs="Times New Roman" w:eastAsia="Times New Roman" w:hAnsi="Times New Roman"/>
                <w:sz w:val="14"/>
                <w:szCs w:val="14"/>
                <w:color w:val="auto"/>
                <w:vertAlign w:val="superscript"/>
              </w:rPr>
              <w:t>(7)</w:t>
            </w:r>
          </w:p>
        </w:tc>
        <w:tc>
          <w:tcPr>
            <w:tcW w:w="900" w:type="dxa"/>
            <w:vAlign w:val="bottom"/>
          </w:tcPr>
          <w:p>
            <w:pPr>
              <w:jc w:val="center"/>
              <w:ind w:left="86"/>
              <w:spacing w:after="0"/>
              <w:rPr>
                <w:sz w:val="20"/>
                <w:szCs w:val="20"/>
                <w:color w:val="auto"/>
              </w:rPr>
            </w:pPr>
            <w:r>
              <w:rPr>
                <w:rFonts w:ascii="Times New Roman" w:cs="Times New Roman" w:eastAsia="Times New Roman" w:hAnsi="Times New Roman"/>
                <w:sz w:val="11"/>
                <w:szCs w:val="11"/>
                <w:color w:val="auto"/>
                <w:w w:val="95"/>
              </w:rPr>
              <w:t>08/16/2027</w:t>
            </w:r>
          </w:p>
        </w:tc>
        <w:tc>
          <w:tcPr>
            <w:tcW w:w="140" w:type="dxa"/>
            <w:vAlign w:val="bottom"/>
          </w:tcPr>
          <w:p>
            <w:pPr>
              <w:spacing w:after="0"/>
              <w:rPr>
                <w:sz w:val="13"/>
                <w:szCs w:val="13"/>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6"/>
              </w:rPr>
              <w:t>Commercial Services &amp; Supplies</w:t>
            </w:r>
          </w:p>
        </w:tc>
        <w:tc>
          <w:tcPr>
            <w:tcW w:w="120" w:type="dxa"/>
            <w:vAlign w:val="bottom"/>
          </w:tcPr>
          <w:p>
            <w:pPr>
              <w:spacing w:after="0"/>
              <w:rPr>
                <w:sz w:val="13"/>
                <w:szCs w:val="13"/>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112</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(1 )</w:t>
            </w:r>
          </w:p>
        </w:tc>
        <w:tc>
          <w:tcPr>
            <w:tcW w:w="0" w:type="dxa"/>
            <w:vAlign w:val="bottom"/>
          </w:tcPr>
          <w:p>
            <w:pPr>
              <w:spacing w:after="0"/>
              <w:rPr>
                <w:sz w:val="1"/>
                <w:szCs w:val="1"/>
                <w:color w:val="auto"/>
              </w:rPr>
            </w:pPr>
          </w:p>
        </w:tc>
      </w:tr>
      <w:tr>
        <w:trPr>
          <w:trHeight w:val="135"/>
        </w:trPr>
        <w:tc>
          <w:tcPr>
            <w:tcW w:w="28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Douglas Products and Packaging Company LLC</w:t>
            </w:r>
          </w:p>
        </w:tc>
        <w:tc>
          <w:tcPr>
            <w:tcW w:w="900" w:type="dxa"/>
            <w:vAlign w:val="bottom"/>
          </w:tcPr>
          <w:p>
            <w:pPr>
              <w:jc w:val="center"/>
              <w:ind w:left="86"/>
              <w:spacing w:after="0"/>
              <w:rPr>
                <w:sz w:val="20"/>
                <w:szCs w:val="20"/>
                <w:color w:val="auto"/>
              </w:rPr>
            </w:pPr>
            <w:r>
              <w:rPr>
                <w:rFonts w:ascii="Times New Roman" w:cs="Times New Roman" w:eastAsia="Times New Roman" w:hAnsi="Times New Roman"/>
                <w:sz w:val="11"/>
                <w:szCs w:val="11"/>
                <w:color w:val="auto"/>
                <w:w w:val="95"/>
              </w:rPr>
              <w:t>10/19/2022</w:t>
            </w:r>
          </w:p>
        </w:tc>
        <w:tc>
          <w:tcPr>
            <w:tcW w:w="140" w:type="dxa"/>
            <w:vAlign w:val="bottom"/>
          </w:tcPr>
          <w:p>
            <w:pPr>
              <w:spacing w:after="0"/>
              <w:rPr>
                <w:sz w:val="11"/>
                <w:szCs w:val="11"/>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Chemicals, Plastics and Rubber</w:t>
            </w:r>
          </w:p>
        </w:tc>
        <w:tc>
          <w:tcPr>
            <w:tcW w:w="1100" w:type="dxa"/>
            <w:vAlign w:val="bottom"/>
            <w:gridSpan w:val="3"/>
          </w:tcPr>
          <w:p>
            <w:pPr>
              <w:jc w:val="right"/>
              <w:ind w:right="20"/>
              <w:spacing w:after="0"/>
              <w:rPr>
                <w:sz w:val="20"/>
                <w:szCs w:val="20"/>
                <w:color w:val="auto"/>
              </w:rPr>
            </w:pPr>
            <w:r>
              <w:rPr>
                <w:rFonts w:ascii="Times New Roman" w:cs="Times New Roman" w:eastAsia="Times New Roman" w:hAnsi="Times New Roman"/>
                <w:sz w:val="11"/>
                <w:szCs w:val="11"/>
                <w:color w:val="auto"/>
              </w:rPr>
              <w:t>8.87 %</w:t>
            </w:r>
          </w:p>
        </w:tc>
        <w:tc>
          <w:tcPr>
            <w:tcW w:w="140" w:type="dxa"/>
            <w:vAlign w:val="bottom"/>
          </w:tcPr>
          <w:p>
            <w:pPr>
              <w:spacing w:after="0"/>
              <w:rPr>
                <w:sz w:val="11"/>
                <w:szCs w:val="1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L+575</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6,477</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6,476</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6,477</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2880" w:type="dxa"/>
            <w:vAlign w:val="bottom"/>
          </w:tcPr>
          <w:p>
            <w:pPr>
              <w:ind w:left="20"/>
              <w:spacing w:after="0" w:line="117" w:lineRule="exact"/>
              <w:rPr>
                <w:sz w:val="20"/>
                <w:szCs w:val="20"/>
                <w:color w:val="auto"/>
              </w:rPr>
            </w:pPr>
            <w:r>
              <w:rPr>
                <w:rFonts w:ascii="Times New Roman" w:cs="Times New Roman" w:eastAsia="Times New Roman" w:hAnsi="Times New Roman"/>
                <w:sz w:val="11"/>
                <w:szCs w:val="11"/>
                <w:color w:val="auto"/>
              </w:rPr>
              <w:t>Douglas Products and Packaging Company LLC (Revolver)</w:t>
            </w:r>
          </w:p>
        </w:tc>
        <w:tc>
          <w:tcPr>
            <w:tcW w:w="900" w:type="dxa"/>
            <w:vAlign w:val="bottom"/>
          </w:tcPr>
          <w:p>
            <w:pPr>
              <w:jc w:val="center"/>
              <w:ind w:left="86"/>
              <w:spacing w:after="0" w:line="117" w:lineRule="exact"/>
              <w:rPr>
                <w:sz w:val="20"/>
                <w:szCs w:val="20"/>
                <w:color w:val="auto"/>
              </w:rPr>
            </w:pPr>
            <w:r>
              <w:rPr>
                <w:rFonts w:ascii="Times New Roman" w:cs="Times New Roman" w:eastAsia="Times New Roman" w:hAnsi="Times New Roman"/>
                <w:sz w:val="11"/>
                <w:szCs w:val="11"/>
                <w:color w:val="auto"/>
                <w:w w:val="95"/>
              </w:rPr>
              <w:t>10/19/2022</w:t>
            </w:r>
          </w:p>
        </w:tc>
        <w:tc>
          <w:tcPr>
            <w:tcW w:w="140" w:type="dxa"/>
            <w:vAlign w:val="bottom"/>
          </w:tcPr>
          <w:p>
            <w:pPr>
              <w:spacing w:after="0"/>
              <w:rPr>
                <w:sz w:val="10"/>
                <w:szCs w:val="10"/>
                <w:color w:val="auto"/>
              </w:rPr>
            </w:pPr>
          </w:p>
        </w:tc>
        <w:tc>
          <w:tcPr>
            <w:tcW w:w="202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color w:val="auto"/>
                <w:w w:val="99"/>
              </w:rPr>
              <w:t>Chemicals, Plastics and Rubber</w:t>
            </w:r>
          </w:p>
        </w:tc>
        <w:tc>
          <w:tcPr>
            <w:tcW w:w="1100" w:type="dxa"/>
            <w:vAlign w:val="bottom"/>
            <w:gridSpan w:val="3"/>
          </w:tcPr>
          <w:p>
            <w:pPr>
              <w:jc w:val="right"/>
              <w:ind w:right="20"/>
              <w:spacing w:after="0" w:line="117" w:lineRule="exact"/>
              <w:rPr>
                <w:sz w:val="20"/>
                <w:szCs w:val="20"/>
                <w:color w:val="auto"/>
              </w:rPr>
            </w:pPr>
            <w:r>
              <w:rPr>
                <w:rFonts w:ascii="Times New Roman" w:cs="Times New Roman" w:eastAsia="Times New Roman" w:hAnsi="Times New Roman"/>
                <w:sz w:val="11"/>
                <w:szCs w:val="11"/>
                <w:color w:val="auto"/>
              </w:rPr>
              <w:t>11.00 %</w:t>
            </w:r>
          </w:p>
        </w:tc>
        <w:tc>
          <w:tcPr>
            <w:tcW w:w="140" w:type="dxa"/>
            <w:vAlign w:val="bottom"/>
          </w:tcPr>
          <w:p>
            <w:pPr>
              <w:spacing w:after="0"/>
              <w:rPr>
                <w:sz w:val="10"/>
                <w:szCs w:val="10"/>
                <w:color w:val="auto"/>
              </w:rPr>
            </w:pPr>
          </w:p>
        </w:tc>
        <w:tc>
          <w:tcPr>
            <w:tcW w:w="82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P+475</w:t>
            </w:r>
          </w:p>
        </w:tc>
        <w:tc>
          <w:tcPr>
            <w:tcW w:w="106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1"/>
                <w:szCs w:val="11"/>
                <w:color w:val="auto"/>
              </w:rPr>
              <w:t>2,627</w:t>
            </w: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2,627</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2,627</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8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 xml:space="preserve">Douglas Products and Packaging Company LLC (Revolver) </w:t>
            </w:r>
            <w:r>
              <w:rPr>
                <w:rFonts w:ascii="Times New Roman" w:cs="Times New Roman" w:eastAsia="Times New Roman" w:hAnsi="Times New Roman"/>
                <w:sz w:val="14"/>
                <w:szCs w:val="14"/>
                <w:color w:val="auto"/>
                <w:vertAlign w:val="superscript"/>
              </w:rPr>
              <w:t>(9)</w:t>
            </w:r>
          </w:p>
        </w:tc>
        <w:tc>
          <w:tcPr>
            <w:tcW w:w="900" w:type="dxa"/>
            <w:vAlign w:val="bottom"/>
          </w:tcPr>
          <w:p>
            <w:pPr>
              <w:jc w:val="center"/>
              <w:ind w:left="86"/>
              <w:spacing w:after="0"/>
              <w:rPr>
                <w:sz w:val="20"/>
                <w:szCs w:val="20"/>
                <w:color w:val="auto"/>
              </w:rPr>
            </w:pPr>
            <w:r>
              <w:rPr>
                <w:rFonts w:ascii="Times New Roman" w:cs="Times New Roman" w:eastAsia="Times New Roman" w:hAnsi="Times New Roman"/>
                <w:sz w:val="11"/>
                <w:szCs w:val="11"/>
                <w:color w:val="auto"/>
                <w:w w:val="95"/>
              </w:rPr>
              <w:t>10/19/2022</w:t>
            </w:r>
          </w:p>
        </w:tc>
        <w:tc>
          <w:tcPr>
            <w:tcW w:w="140" w:type="dxa"/>
            <w:vAlign w:val="bottom"/>
          </w:tcPr>
          <w:p>
            <w:pPr>
              <w:spacing w:after="0"/>
              <w:rPr>
                <w:sz w:val="14"/>
                <w:szCs w:val="14"/>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Chemicals, Plastics and Rubber</w:t>
            </w:r>
          </w:p>
        </w:tc>
        <w:tc>
          <w:tcPr>
            <w:tcW w:w="120" w:type="dxa"/>
            <w:vAlign w:val="bottom"/>
          </w:tcPr>
          <w:p>
            <w:pPr>
              <w:spacing w:after="0"/>
              <w:rPr>
                <w:sz w:val="14"/>
                <w:szCs w:val="14"/>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3,425</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35"/>
        </w:trPr>
        <w:tc>
          <w:tcPr>
            <w:tcW w:w="28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Douglas Sewer Intermediate, LLC</w:t>
            </w:r>
          </w:p>
        </w:tc>
        <w:tc>
          <w:tcPr>
            <w:tcW w:w="900" w:type="dxa"/>
            <w:vAlign w:val="bottom"/>
            <w:shd w:val="clear" w:color="auto" w:fill="CCECFF"/>
          </w:tcPr>
          <w:p>
            <w:pPr>
              <w:jc w:val="center"/>
              <w:ind w:left="86"/>
              <w:spacing w:after="0"/>
              <w:rPr>
                <w:sz w:val="20"/>
                <w:szCs w:val="20"/>
                <w:color w:val="auto"/>
              </w:rPr>
            </w:pPr>
            <w:r>
              <w:rPr>
                <w:rFonts w:ascii="Times New Roman" w:cs="Times New Roman" w:eastAsia="Times New Roman" w:hAnsi="Times New Roman"/>
                <w:sz w:val="11"/>
                <w:szCs w:val="11"/>
                <w:color w:val="auto"/>
                <w:w w:val="95"/>
              </w:rPr>
              <w:t>10/19/2022</w:t>
            </w:r>
          </w:p>
        </w:tc>
        <w:tc>
          <w:tcPr>
            <w:tcW w:w="140" w:type="dxa"/>
            <w:vAlign w:val="bottom"/>
            <w:shd w:val="clear" w:color="auto" w:fill="CCECFF"/>
          </w:tcPr>
          <w:p>
            <w:pPr>
              <w:spacing w:after="0"/>
              <w:rPr>
                <w:sz w:val="11"/>
                <w:szCs w:val="11"/>
                <w:color w:val="auto"/>
              </w:rPr>
            </w:pPr>
          </w:p>
        </w:tc>
        <w:tc>
          <w:tcPr>
            <w:tcW w:w="2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9"/>
              </w:rPr>
              <w:t>Chemicals, Plastics and Rubber</w:t>
            </w:r>
          </w:p>
        </w:tc>
        <w:tc>
          <w:tcPr>
            <w:tcW w:w="1100" w:type="dxa"/>
            <w:vAlign w:val="bottom"/>
            <w:gridSpan w:val="3"/>
            <w:shd w:val="clear" w:color="auto" w:fill="CCECFF"/>
          </w:tcPr>
          <w:p>
            <w:pPr>
              <w:jc w:val="right"/>
              <w:ind w:right="20"/>
              <w:spacing w:after="0"/>
              <w:rPr>
                <w:sz w:val="20"/>
                <w:szCs w:val="20"/>
                <w:color w:val="auto"/>
              </w:rPr>
            </w:pPr>
            <w:r>
              <w:rPr>
                <w:rFonts w:ascii="Times New Roman" w:cs="Times New Roman" w:eastAsia="Times New Roman" w:hAnsi="Times New Roman"/>
                <w:sz w:val="11"/>
                <w:szCs w:val="11"/>
                <w:color w:val="auto"/>
              </w:rPr>
              <w:t>8.87 %</w:t>
            </w:r>
          </w:p>
        </w:tc>
        <w:tc>
          <w:tcPr>
            <w:tcW w:w="140" w:type="dxa"/>
            <w:vAlign w:val="bottom"/>
            <w:shd w:val="clear" w:color="auto" w:fill="CCECFF"/>
          </w:tcPr>
          <w:p>
            <w:pPr>
              <w:spacing w:after="0"/>
              <w:rPr>
                <w:sz w:val="11"/>
                <w:szCs w:val="11"/>
                <w:color w:val="auto"/>
              </w:rPr>
            </w:pPr>
          </w:p>
        </w:tc>
        <w:tc>
          <w:tcPr>
            <w:tcW w:w="8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L+575</w:t>
            </w:r>
          </w:p>
        </w:tc>
        <w:tc>
          <w:tcPr>
            <w:tcW w:w="106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3,920</w:t>
            </w:r>
          </w:p>
        </w:tc>
        <w:tc>
          <w:tcPr>
            <w:tcW w:w="22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3,920</w:t>
            </w:r>
          </w:p>
        </w:tc>
        <w:tc>
          <w:tcPr>
            <w:tcW w:w="20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7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3,920</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03"/>
        </w:trPr>
        <w:tc>
          <w:tcPr>
            <w:tcW w:w="2880" w:type="dxa"/>
            <w:vAlign w:val="bottom"/>
          </w:tcPr>
          <w:p>
            <w:pPr>
              <w:ind w:left="20"/>
              <w:spacing w:after="0" w:line="103" w:lineRule="exact"/>
              <w:rPr>
                <w:sz w:val="20"/>
                <w:szCs w:val="20"/>
                <w:color w:val="auto"/>
              </w:rPr>
            </w:pPr>
            <w:r>
              <w:rPr>
                <w:rFonts w:ascii="Times New Roman" w:cs="Times New Roman" w:eastAsia="Times New Roman" w:hAnsi="Times New Roman"/>
                <w:sz w:val="11"/>
                <w:szCs w:val="11"/>
                <w:color w:val="auto"/>
              </w:rPr>
              <w:t>Dr. Squatch, LLC</w:t>
            </w:r>
          </w:p>
        </w:tc>
        <w:tc>
          <w:tcPr>
            <w:tcW w:w="900" w:type="dxa"/>
            <w:vAlign w:val="bottom"/>
          </w:tcPr>
          <w:p>
            <w:pPr>
              <w:jc w:val="center"/>
              <w:ind w:left="86"/>
              <w:spacing w:after="0" w:line="103" w:lineRule="exact"/>
              <w:rPr>
                <w:sz w:val="20"/>
                <w:szCs w:val="20"/>
                <w:color w:val="auto"/>
              </w:rPr>
            </w:pPr>
            <w:r>
              <w:rPr>
                <w:rFonts w:ascii="Times New Roman" w:cs="Times New Roman" w:eastAsia="Times New Roman" w:hAnsi="Times New Roman"/>
                <w:sz w:val="11"/>
                <w:szCs w:val="11"/>
                <w:color w:val="auto"/>
                <w:w w:val="95"/>
              </w:rPr>
              <w:t>08/31/2027</w:t>
            </w:r>
          </w:p>
        </w:tc>
        <w:tc>
          <w:tcPr>
            <w:tcW w:w="140" w:type="dxa"/>
            <w:vAlign w:val="bottom"/>
          </w:tcPr>
          <w:p>
            <w:pPr>
              <w:spacing w:after="0"/>
              <w:rPr>
                <w:sz w:val="8"/>
                <w:szCs w:val="8"/>
                <w:color w:val="auto"/>
              </w:rPr>
            </w:pPr>
          </w:p>
        </w:tc>
        <w:tc>
          <w:tcPr>
            <w:tcW w:w="2020" w:type="dxa"/>
            <w:vAlign w:val="bottom"/>
          </w:tcPr>
          <w:p>
            <w:pPr>
              <w:jc w:val="center"/>
              <w:spacing w:after="0" w:line="103" w:lineRule="exact"/>
              <w:rPr>
                <w:sz w:val="20"/>
                <w:szCs w:val="20"/>
                <w:color w:val="auto"/>
              </w:rPr>
            </w:pPr>
            <w:r>
              <w:rPr>
                <w:rFonts w:ascii="Times New Roman" w:cs="Times New Roman" w:eastAsia="Times New Roman" w:hAnsi="Times New Roman"/>
                <w:sz w:val="11"/>
                <w:szCs w:val="11"/>
                <w:color w:val="auto"/>
                <w:w w:val="98"/>
              </w:rPr>
              <w:t>Personal Products</w:t>
            </w:r>
          </w:p>
        </w:tc>
        <w:tc>
          <w:tcPr>
            <w:tcW w:w="1100" w:type="dxa"/>
            <w:vAlign w:val="bottom"/>
            <w:gridSpan w:val="3"/>
          </w:tcPr>
          <w:p>
            <w:pPr>
              <w:jc w:val="right"/>
              <w:ind w:right="20"/>
              <w:spacing w:after="0" w:line="103" w:lineRule="exact"/>
              <w:rPr>
                <w:sz w:val="20"/>
                <w:szCs w:val="20"/>
                <w:color w:val="auto"/>
              </w:rPr>
            </w:pPr>
            <w:r>
              <w:rPr>
                <w:rFonts w:ascii="Times New Roman" w:cs="Times New Roman" w:eastAsia="Times New Roman" w:hAnsi="Times New Roman"/>
                <w:sz w:val="11"/>
                <w:szCs w:val="11"/>
                <w:color w:val="auto"/>
              </w:rPr>
              <w:t>9.42 %</w:t>
            </w:r>
          </w:p>
        </w:tc>
        <w:tc>
          <w:tcPr>
            <w:tcW w:w="140" w:type="dxa"/>
            <w:vAlign w:val="bottom"/>
          </w:tcPr>
          <w:p>
            <w:pPr>
              <w:spacing w:after="0"/>
              <w:rPr>
                <w:sz w:val="8"/>
                <w:szCs w:val="8"/>
                <w:color w:val="auto"/>
              </w:rPr>
            </w:pPr>
          </w:p>
        </w:tc>
        <w:tc>
          <w:tcPr>
            <w:tcW w:w="820" w:type="dxa"/>
            <w:vAlign w:val="bottom"/>
          </w:tcPr>
          <w:p>
            <w:pPr>
              <w:jc w:val="right"/>
              <w:spacing w:after="0" w:line="103" w:lineRule="exact"/>
              <w:rPr>
                <w:sz w:val="20"/>
                <w:szCs w:val="20"/>
                <w:color w:val="auto"/>
              </w:rPr>
            </w:pPr>
            <w:r>
              <w:rPr>
                <w:rFonts w:ascii="Times New Roman" w:cs="Times New Roman" w:eastAsia="Times New Roman" w:hAnsi="Times New Roman"/>
                <w:sz w:val="11"/>
                <w:szCs w:val="11"/>
                <w:color w:val="auto"/>
              </w:rPr>
              <w:t>3M L+600</w:t>
            </w:r>
          </w:p>
        </w:tc>
        <w:tc>
          <w:tcPr>
            <w:tcW w:w="1060" w:type="dxa"/>
            <w:vAlign w:val="bottom"/>
            <w:gridSpan w:val="2"/>
          </w:tcPr>
          <w:p>
            <w:pPr>
              <w:jc w:val="right"/>
              <w:spacing w:after="0" w:line="103" w:lineRule="exact"/>
              <w:rPr>
                <w:sz w:val="20"/>
                <w:szCs w:val="20"/>
                <w:color w:val="auto"/>
              </w:rPr>
            </w:pPr>
            <w:r>
              <w:rPr>
                <w:rFonts w:ascii="Times New Roman" w:cs="Times New Roman" w:eastAsia="Times New Roman" w:hAnsi="Times New Roman"/>
                <w:sz w:val="11"/>
                <w:szCs w:val="11"/>
                <w:color w:val="auto"/>
              </w:rPr>
              <w:t>4,428</w:t>
            </w: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jc w:val="right"/>
              <w:spacing w:after="0" w:line="103" w:lineRule="exact"/>
              <w:rPr>
                <w:sz w:val="20"/>
                <w:szCs w:val="20"/>
                <w:color w:val="auto"/>
              </w:rPr>
            </w:pPr>
            <w:r>
              <w:rPr>
                <w:rFonts w:ascii="Times New Roman" w:cs="Times New Roman" w:eastAsia="Times New Roman" w:hAnsi="Times New Roman"/>
                <w:sz w:val="11"/>
                <w:szCs w:val="11"/>
                <w:color w:val="auto"/>
              </w:rPr>
              <w:t>4,356</w:t>
            </w: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jc w:val="right"/>
              <w:spacing w:after="0" w:line="103" w:lineRule="exact"/>
              <w:rPr>
                <w:sz w:val="20"/>
                <w:szCs w:val="20"/>
                <w:color w:val="auto"/>
              </w:rPr>
            </w:pPr>
            <w:r>
              <w:rPr>
                <w:rFonts w:ascii="Times New Roman" w:cs="Times New Roman" w:eastAsia="Times New Roman" w:hAnsi="Times New Roman"/>
                <w:sz w:val="11"/>
                <w:szCs w:val="11"/>
                <w:color w:val="auto"/>
              </w:rPr>
              <w:t>4,362</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288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Dr. Squatch, LLC (Revolver) </w:t>
            </w:r>
            <w:r>
              <w:rPr>
                <w:rFonts w:ascii="Times New Roman" w:cs="Times New Roman" w:eastAsia="Times New Roman" w:hAnsi="Times New Roman"/>
                <w:sz w:val="14"/>
                <w:szCs w:val="14"/>
                <w:color w:val="auto"/>
                <w:vertAlign w:val="superscript"/>
              </w:rPr>
              <w:t>(7)</w:t>
            </w:r>
          </w:p>
        </w:tc>
        <w:tc>
          <w:tcPr>
            <w:tcW w:w="900" w:type="dxa"/>
            <w:vAlign w:val="bottom"/>
          </w:tcPr>
          <w:p>
            <w:pPr>
              <w:jc w:val="center"/>
              <w:ind w:left="86"/>
              <w:spacing w:after="0"/>
              <w:rPr>
                <w:sz w:val="20"/>
                <w:szCs w:val="20"/>
                <w:color w:val="auto"/>
              </w:rPr>
            </w:pPr>
            <w:r>
              <w:rPr>
                <w:rFonts w:ascii="Times New Roman" w:cs="Times New Roman" w:eastAsia="Times New Roman" w:hAnsi="Times New Roman"/>
                <w:sz w:val="11"/>
                <w:szCs w:val="11"/>
                <w:color w:val="auto"/>
                <w:w w:val="95"/>
              </w:rPr>
              <w:t>08/31/2027</w:t>
            </w:r>
          </w:p>
        </w:tc>
        <w:tc>
          <w:tcPr>
            <w:tcW w:w="140" w:type="dxa"/>
            <w:vAlign w:val="bottom"/>
          </w:tcPr>
          <w:p>
            <w:pPr>
              <w:spacing w:after="0"/>
              <w:rPr>
                <w:sz w:val="11"/>
                <w:szCs w:val="11"/>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Personal Products</w:t>
            </w:r>
          </w:p>
        </w:tc>
        <w:tc>
          <w:tcPr>
            <w:tcW w:w="1100" w:type="dxa"/>
            <w:vAlign w:val="bottom"/>
            <w:gridSpan w:val="3"/>
          </w:tcPr>
          <w:p>
            <w:pPr>
              <w:jc w:val="right"/>
              <w:ind w:right="20"/>
              <w:spacing w:after="0"/>
              <w:rPr>
                <w:sz w:val="20"/>
                <w:szCs w:val="20"/>
                <w:color w:val="auto"/>
              </w:rPr>
            </w:pPr>
            <w:r>
              <w:rPr>
                <w:rFonts w:ascii="Times New Roman" w:cs="Times New Roman" w:eastAsia="Times New Roman" w:hAnsi="Times New Roman"/>
                <w:sz w:val="11"/>
                <w:szCs w:val="11"/>
                <w:color w:val="auto"/>
              </w:rPr>
              <w:t>8.95 %</w:t>
            </w:r>
          </w:p>
        </w:tc>
        <w:tc>
          <w:tcPr>
            <w:tcW w:w="140" w:type="dxa"/>
            <w:vAlign w:val="bottom"/>
          </w:tcPr>
          <w:p>
            <w:pPr>
              <w:spacing w:after="0"/>
              <w:rPr>
                <w:sz w:val="11"/>
                <w:szCs w:val="1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L+600</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1,118</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1,118</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1,101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880" w:type="dxa"/>
            <w:vAlign w:val="bottom"/>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Dr. Squatch, LLC (Revolver) </w:t>
            </w:r>
            <w:r>
              <w:rPr>
                <w:rFonts w:ascii="Times New Roman" w:cs="Times New Roman" w:eastAsia="Times New Roman" w:hAnsi="Times New Roman"/>
                <w:sz w:val="14"/>
                <w:szCs w:val="14"/>
                <w:color w:val="auto"/>
                <w:vertAlign w:val="superscript"/>
              </w:rPr>
              <w:t>(7), (9)</w:t>
            </w:r>
          </w:p>
        </w:tc>
        <w:tc>
          <w:tcPr>
            <w:tcW w:w="900" w:type="dxa"/>
            <w:vAlign w:val="bottom"/>
          </w:tcPr>
          <w:p>
            <w:pPr>
              <w:jc w:val="center"/>
              <w:ind w:left="86"/>
              <w:spacing w:after="0"/>
              <w:rPr>
                <w:sz w:val="20"/>
                <w:szCs w:val="20"/>
                <w:color w:val="auto"/>
              </w:rPr>
            </w:pPr>
            <w:r>
              <w:rPr>
                <w:rFonts w:ascii="Times New Roman" w:cs="Times New Roman" w:eastAsia="Times New Roman" w:hAnsi="Times New Roman"/>
                <w:sz w:val="11"/>
                <w:szCs w:val="11"/>
                <w:color w:val="auto"/>
                <w:w w:val="95"/>
              </w:rPr>
              <w:t>08/31/2027</w:t>
            </w:r>
          </w:p>
        </w:tc>
        <w:tc>
          <w:tcPr>
            <w:tcW w:w="140" w:type="dxa"/>
            <w:vAlign w:val="bottom"/>
          </w:tcPr>
          <w:p>
            <w:pPr>
              <w:spacing w:after="0"/>
              <w:rPr>
                <w:sz w:val="13"/>
                <w:szCs w:val="13"/>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Personal Products</w:t>
            </w:r>
          </w:p>
        </w:tc>
        <w:tc>
          <w:tcPr>
            <w:tcW w:w="120" w:type="dxa"/>
            <w:vAlign w:val="bottom"/>
          </w:tcPr>
          <w:p>
            <w:pPr>
              <w:spacing w:after="0"/>
              <w:rPr>
                <w:sz w:val="13"/>
                <w:szCs w:val="13"/>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2,236</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(34 )</w:t>
            </w:r>
          </w:p>
        </w:tc>
        <w:tc>
          <w:tcPr>
            <w:tcW w:w="0" w:type="dxa"/>
            <w:vAlign w:val="bottom"/>
          </w:tcPr>
          <w:p>
            <w:pPr>
              <w:spacing w:after="0"/>
              <w:rPr>
                <w:sz w:val="1"/>
                <w:szCs w:val="1"/>
                <w:color w:val="auto"/>
              </w:rPr>
            </w:pPr>
          </w:p>
        </w:tc>
      </w:tr>
      <w:tr>
        <w:trPr>
          <w:trHeight w:val="117"/>
        </w:trPr>
        <w:tc>
          <w:tcPr>
            <w:tcW w:w="2880" w:type="dxa"/>
            <w:vAlign w:val="bottom"/>
          </w:tcPr>
          <w:p>
            <w:pPr>
              <w:ind w:left="20"/>
              <w:spacing w:after="0" w:line="117" w:lineRule="exact"/>
              <w:rPr>
                <w:sz w:val="20"/>
                <w:szCs w:val="20"/>
                <w:color w:val="auto"/>
              </w:rPr>
            </w:pPr>
            <w:r>
              <w:rPr>
                <w:rFonts w:ascii="Times New Roman" w:cs="Times New Roman" w:eastAsia="Times New Roman" w:hAnsi="Times New Roman"/>
                <w:sz w:val="11"/>
                <w:szCs w:val="11"/>
                <w:color w:val="auto"/>
              </w:rPr>
              <w:t>DRS Holdings III, Inc.</w:t>
            </w:r>
          </w:p>
        </w:tc>
        <w:tc>
          <w:tcPr>
            <w:tcW w:w="900" w:type="dxa"/>
            <w:vAlign w:val="bottom"/>
          </w:tcPr>
          <w:p>
            <w:pPr>
              <w:jc w:val="center"/>
              <w:ind w:left="86"/>
              <w:spacing w:after="0" w:line="117" w:lineRule="exact"/>
              <w:rPr>
                <w:sz w:val="20"/>
                <w:szCs w:val="20"/>
                <w:color w:val="auto"/>
              </w:rPr>
            </w:pPr>
            <w:r>
              <w:rPr>
                <w:rFonts w:ascii="Times New Roman" w:cs="Times New Roman" w:eastAsia="Times New Roman" w:hAnsi="Times New Roman"/>
                <w:sz w:val="11"/>
                <w:szCs w:val="11"/>
                <w:color w:val="auto"/>
                <w:w w:val="95"/>
              </w:rPr>
              <w:t>11/03/2025</w:t>
            </w:r>
          </w:p>
        </w:tc>
        <w:tc>
          <w:tcPr>
            <w:tcW w:w="140" w:type="dxa"/>
            <w:vAlign w:val="bottom"/>
          </w:tcPr>
          <w:p>
            <w:pPr>
              <w:spacing w:after="0"/>
              <w:rPr>
                <w:sz w:val="10"/>
                <w:szCs w:val="10"/>
                <w:color w:val="auto"/>
              </w:rPr>
            </w:pPr>
          </w:p>
        </w:tc>
        <w:tc>
          <w:tcPr>
            <w:tcW w:w="202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color w:val="auto"/>
                <w:w w:val="98"/>
              </w:rPr>
              <w:t>Personal Products</w:t>
            </w:r>
          </w:p>
        </w:tc>
        <w:tc>
          <w:tcPr>
            <w:tcW w:w="1100" w:type="dxa"/>
            <w:vAlign w:val="bottom"/>
            <w:gridSpan w:val="3"/>
          </w:tcPr>
          <w:p>
            <w:pPr>
              <w:jc w:val="right"/>
              <w:ind w:right="20"/>
              <w:spacing w:after="0" w:line="117" w:lineRule="exact"/>
              <w:rPr>
                <w:sz w:val="20"/>
                <w:szCs w:val="20"/>
                <w:color w:val="auto"/>
              </w:rPr>
            </w:pPr>
            <w:r>
              <w:rPr>
                <w:rFonts w:ascii="Times New Roman" w:cs="Times New Roman" w:eastAsia="Times New Roman" w:hAnsi="Times New Roman"/>
                <w:sz w:val="11"/>
                <w:szCs w:val="11"/>
                <w:color w:val="auto"/>
              </w:rPr>
              <w:t>8.87 %</w:t>
            </w:r>
          </w:p>
        </w:tc>
        <w:tc>
          <w:tcPr>
            <w:tcW w:w="140" w:type="dxa"/>
            <w:vAlign w:val="bottom"/>
          </w:tcPr>
          <w:p>
            <w:pPr>
              <w:spacing w:after="0"/>
              <w:rPr>
                <w:sz w:val="10"/>
                <w:szCs w:val="10"/>
                <w:color w:val="auto"/>
              </w:rPr>
            </w:pPr>
          </w:p>
        </w:tc>
        <w:tc>
          <w:tcPr>
            <w:tcW w:w="82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3M L+575</w:t>
            </w:r>
          </w:p>
        </w:tc>
        <w:tc>
          <w:tcPr>
            <w:tcW w:w="106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1"/>
                <w:szCs w:val="11"/>
                <w:color w:val="auto"/>
              </w:rPr>
              <w:t>17,111</w:t>
            </w: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16,993</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16,564</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8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 xml:space="preserve">DRS Holdings III, Inc. (Revolver) </w:t>
            </w:r>
            <w:r>
              <w:rPr>
                <w:rFonts w:ascii="Times New Roman" w:cs="Times New Roman" w:eastAsia="Times New Roman" w:hAnsi="Times New Roman"/>
                <w:sz w:val="14"/>
                <w:szCs w:val="14"/>
                <w:color w:val="auto"/>
                <w:vertAlign w:val="superscript"/>
              </w:rPr>
              <w:t>(7), (9)</w:t>
            </w:r>
          </w:p>
        </w:tc>
        <w:tc>
          <w:tcPr>
            <w:tcW w:w="900" w:type="dxa"/>
            <w:vAlign w:val="bottom"/>
          </w:tcPr>
          <w:p>
            <w:pPr>
              <w:jc w:val="center"/>
              <w:ind w:left="86"/>
              <w:spacing w:after="0"/>
              <w:rPr>
                <w:sz w:val="20"/>
                <w:szCs w:val="20"/>
                <w:color w:val="auto"/>
              </w:rPr>
            </w:pPr>
            <w:r>
              <w:rPr>
                <w:rFonts w:ascii="Times New Roman" w:cs="Times New Roman" w:eastAsia="Times New Roman" w:hAnsi="Times New Roman"/>
                <w:sz w:val="11"/>
                <w:szCs w:val="11"/>
                <w:color w:val="auto"/>
                <w:w w:val="95"/>
              </w:rPr>
              <w:t>11/03/2025</w:t>
            </w:r>
          </w:p>
        </w:tc>
        <w:tc>
          <w:tcPr>
            <w:tcW w:w="140" w:type="dxa"/>
            <w:vAlign w:val="bottom"/>
          </w:tcPr>
          <w:p>
            <w:pPr>
              <w:spacing w:after="0"/>
              <w:rPr>
                <w:sz w:val="14"/>
                <w:szCs w:val="14"/>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Personal Products</w:t>
            </w:r>
          </w:p>
        </w:tc>
        <w:tc>
          <w:tcPr>
            <w:tcW w:w="120" w:type="dxa"/>
            <w:vAlign w:val="bottom"/>
          </w:tcPr>
          <w:p>
            <w:pPr>
              <w:spacing w:after="0"/>
              <w:rPr>
                <w:sz w:val="14"/>
                <w:szCs w:val="14"/>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1,426</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(46 )</w:t>
            </w:r>
          </w:p>
        </w:tc>
        <w:tc>
          <w:tcPr>
            <w:tcW w:w="0" w:type="dxa"/>
            <w:vAlign w:val="bottom"/>
          </w:tcPr>
          <w:p>
            <w:pPr>
              <w:spacing w:after="0"/>
              <w:rPr>
                <w:sz w:val="1"/>
                <w:szCs w:val="1"/>
                <w:color w:val="auto"/>
              </w:rPr>
            </w:pPr>
          </w:p>
        </w:tc>
      </w:tr>
      <w:tr>
        <w:trPr>
          <w:trHeight w:val="135"/>
        </w:trPr>
        <w:tc>
          <w:tcPr>
            <w:tcW w:w="28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Duraco Specialty Tapes LLC</w:t>
            </w:r>
          </w:p>
        </w:tc>
        <w:tc>
          <w:tcPr>
            <w:tcW w:w="900" w:type="dxa"/>
            <w:vAlign w:val="bottom"/>
            <w:shd w:val="clear" w:color="auto" w:fill="CCECFF"/>
          </w:tcPr>
          <w:p>
            <w:pPr>
              <w:jc w:val="center"/>
              <w:ind w:left="86"/>
              <w:spacing w:after="0"/>
              <w:rPr>
                <w:sz w:val="20"/>
                <w:szCs w:val="20"/>
                <w:color w:val="auto"/>
              </w:rPr>
            </w:pPr>
            <w:r>
              <w:rPr>
                <w:rFonts w:ascii="Times New Roman" w:cs="Times New Roman" w:eastAsia="Times New Roman" w:hAnsi="Times New Roman"/>
                <w:sz w:val="11"/>
                <w:szCs w:val="11"/>
                <w:color w:val="auto"/>
                <w:w w:val="95"/>
              </w:rPr>
              <w:t>06/30/2024</w:t>
            </w:r>
          </w:p>
        </w:tc>
        <w:tc>
          <w:tcPr>
            <w:tcW w:w="140" w:type="dxa"/>
            <w:vAlign w:val="bottom"/>
            <w:shd w:val="clear" w:color="auto" w:fill="CCECFF"/>
          </w:tcPr>
          <w:p>
            <w:pPr>
              <w:spacing w:after="0"/>
              <w:rPr>
                <w:sz w:val="11"/>
                <w:szCs w:val="11"/>
                <w:color w:val="auto"/>
              </w:rPr>
            </w:pPr>
          </w:p>
        </w:tc>
        <w:tc>
          <w:tcPr>
            <w:tcW w:w="2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9"/>
              </w:rPr>
              <w:t>Containers and Packaging</w:t>
            </w:r>
          </w:p>
        </w:tc>
        <w:tc>
          <w:tcPr>
            <w:tcW w:w="1100" w:type="dxa"/>
            <w:vAlign w:val="bottom"/>
            <w:gridSpan w:val="3"/>
            <w:shd w:val="clear" w:color="auto" w:fill="CCECFF"/>
          </w:tcPr>
          <w:p>
            <w:pPr>
              <w:jc w:val="right"/>
              <w:ind w:right="20"/>
              <w:spacing w:after="0"/>
              <w:rPr>
                <w:sz w:val="20"/>
                <w:szCs w:val="20"/>
                <w:color w:val="auto"/>
              </w:rPr>
            </w:pPr>
            <w:r>
              <w:rPr>
                <w:rFonts w:ascii="Times New Roman" w:cs="Times New Roman" w:eastAsia="Times New Roman" w:hAnsi="Times New Roman"/>
                <w:sz w:val="11"/>
                <w:szCs w:val="11"/>
                <w:color w:val="auto"/>
              </w:rPr>
              <w:t>8.62 %</w:t>
            </w:r>
          </w:p>
        </w:tc>
        <w:tc>
          <w:tcPr>
            <w:tcW w:w="140" w:type="dxa"/>
            <w:vAlign w:val="bottom"/>
            <w:shd w:val="clear" w:color="auto" w:fill="CCECFF"/>
          </w:tcPr>
          <w:p>
            <w:pPr>
              <w:spacing w:after="0"/>
              <w:rPr>
                <w:sz w:val="11"/>
                <w:szCs w:val="11"/>
                <w:color w:val="auto"/>
              </w:rPr>
            </w:pPr>
          </w:p>
        </w:tc>
        <w:tc>
          <w:tcPr>
            <w:tcW w:w="8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L+550</w:t>
            </w:r>
          </w:p>
        </w:tc>
        <w:tc>
          <w:tcPr>
            <w:tcW w:w="106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3,247</w:t>
            </w:r>
          </w:p>
        </w:tc>
        <w:tc>
          <w:tcPr>
            <w:tcW w:w="22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3,208</w:t>
            </w:r>
          </w:p>
        </w:tc>
        <w:tc>
          <w:tcPr>
            <w:tcW w:w="20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7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3,169</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880" w:type="dxa"/>
            <w:vAlign w:val="bottom"/>
          </w:tcPr>
          <w:p>
            <w:pPr>
              <w:ind w:left="20"/>
              <w:spacing w:after="0" w:line="122" w:lineRule="exact"/>
              <w:rPr>
                <w:sz w:val="20"/>
                <w:szCs w:val="20"/>
                <w:color w:val="auto"/>
              </w:rPr>
            </w:pPr>
            <w:r>
              <w:rPr>
                <w:rFonts w:ascii="Times New Roman" w:cs="Times New Roman" w:eastAsia="Times New Roman" w:hAnsi="Times New Roman"/>
                <w:sz w:val="11"/>
                <w:szCs w:val="11"/>
                <w:color w:val="auto"/>
              </w:rPr>
              <w:t>ECL Entertainment, LLC</w:t>
            </w:r>
          </w:p>
        </w:tc>
        <w:tc>
          <w:tcPr>
            <w:tcW w:w="900" w:type="dxa"/>
            <w:vAlign w:val="bottom"/>
          </w:tcPr>
          <w:p>
            <w:pPr>
              <w:jc w:val="center"/>
              <w:ind w:left="86"/>
              <w:spacing w:after="0" w:line="122" w:lineRule="exact"/>
              <w:rPr>
                <w:sz w:val="20"/>
                <w:szCs w:val="20"/>
                <w:color w:val="auto"/>
              </w:rPr>
            </w:pPr>
            <w:r>
              <w:rPr>
                <w:rFonts w:ascii="Times New Roman" w:cs="Times New Roman" w:eastAsia="Times New Roman" w:hAnsi="Times New Roman"/>
                <w:sz w:val="11"/>
                <w:szCs w:val="11"/>
                <w:color w:val="auto"/>
                <w:w w:val="95"/>
              </w:rPr>
              <w:t>05/01/2028</w:t>
            </w:r>
          </w:p>
        </w:tc>
        <w:tc>
          <w:tcPr>
            <w:tcW w:w="140" w:type="dxa"/>
            <w:vAlign w:val="bottom"/>
          </w:tcPr>
          <w:p>
            <w:pPr>
              <w:spacing w:after="0"/>
              <w:rPr>
                <w:sz w:val="10"/>
                <w:szCs w:val="10"/>
                <w:color w:val="auto"/>
              </w:rPr>
            </w:pPr>
          </w:p>
        </w:tc>
        <w:tc>
          <w:tcPr>
            <w:tcW w:w="202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Hotels, Restaurants and Leisure</w:t>
            </w:r>
          </w:p>
        </w:tc>
        <w:tc>
          <w:tcPr>
            <w:tcW w:w="1100" w:type="dxa"/>
            <w:vAlign w:val="bottom"/>
            <w:gridSpan w:val="3"/>
          </w:tcPr>
          <w:p>
            <w:pPr>
              <w:jc w:val="right"/>
              <w:ind w:right="20"/>
              <w:spacing w:after="0" w:line="122" w:lineRule="exact"/>
              <w:rPr>
                <w:sz w:val="20"/>
                <w:szCs w:val="20"/>
                <w:color w:val="auto"/>
              </w:rPr>
            </w:pPr>
            <w:r>
              <w:rPr>
                <w:rFonts w:ascii="Times New Roman" w:cs="Times New Roman" w:eastAsia="Times New Roman" w:hAnsi="Times New Roman"/>
                <w:sz w:val="11"/>
                <w:szCs w:val="11"/>
                <w:color w:val="auto"/>
              </w:rPr>
              <w:t>10.62 %</w:t>
            </w:r>
          </w:p>
        </w:tc>
        <w:tc>
          <w:tcPr>
            <w:tcW w:w="140" w:type="dxa"/>
            <w:vAlign w:val="bottom"/>
          </w:tcPr>
          <w:p>
            <w:pPr>
              <w:spacing w:after="0"/>
              <w:rPr>
                <w:sz w:val="10"/>
                <w:szCs w:val="10"/>
                <w:color w:val="auto"/>
              </w:rPr>
            </w:pPr>
          </w:p>
        </w:tc>
        <w:tc>
          <w:tcPr>
            <w:tcW w:w="8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1M L+750</w:t>
            </w:r>
          </w:p>
        </w:tc>
        <w:tc>
          <w:tcPr>
            <w:tcW w:w="106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5,203</w:t>
            </w: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5,158</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5,125</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880" w:type="dxa"/>
            <w:vAlign w:val="bottom"/>
          </w:tcPr>
          <w:p>
            <w:pPr>
              <w:ind w:left="20"/>
              <w:spacing w:after="0" w:line="109" w:lineRule="exact"/>
              <w:rPr>
                <w:sz w:val="20"/>
                <w:szCs w:val="20"/>
                <w:color w:val="auto"/>
              </w:rPr>
            </w:pPr>
            <w:r>
              <w:rPr>
                <w:rFonts w:ascii="Times New Roman" w:cs="Times New Roman" w:eastAsia="Times New Roman" w:hAnsi="Times New Roman"/>
                <w:sz w:val="11"/>
                <w:szCs w:val="11"/>
                <w:color w:val="auto"/>
              </w:rPr>
              <w:t>ECM Industries, LLC (Revolver)</w:t>
            </w:r>
          </w:p>
        </w:tc>
        <w:tc>
          <w:tcPr>
            <w:tcW w:w="900" w:type="dxa"/>
            <w:vAlign w:val="bottom"/>
          </w:tcPr>
          <w:p>
            <w:pPr>
              <w:jc w:val="center"/>
              <w:ind w:left="86"/>
              <w:spacing w:after="0" w:line="109" w:lineRule="exact"/>
              <w:rPr>
                <w:sz w:val="20"/>
                <w:szCs w:val="20"/>
                <w:color w:val="auto"/>
              </w:rPr>
            </w:pPr>
            <w:r>
              <w:rPr>
                <w:rFonts w:ascii="Times New Roman" w:cs="Times New Roman" w:eastAsia="Times New Roman" w:hAnsi="Times New Roman"/>
                <w:sz w:val="11"/>
                <w:szCs w:val="11"/>
                <w:color w:val="auto"/>
                <w:w w:val="95"/>
              </w:rPr>
              <w:t>12/23/2025</w:t>
            </w:r>
          </w:p>
        </w:tc>
        <w:tc>
          <w:tcPr>
            <w:tcW w:w="140" w:type="dxa"/>
            <w:vAlign w:val="bottom"/>
          </w:tcPr>
          <w:p>
            <w:pPr>
              <w:spacing w:after="0"/>
              <w:rPr>
                <w:sz w:val="9"/>
                <w:szCs w:val="9"/>
                <w:color w:val="auto"/>
              </w:rPr>
            </w:pPr>
          </w:p>
        </w:tc>
        <w:tc>
          <w:tcPr>
            <w:tcW w:w="2020" w:type="dxa"/>
            <w:vAlign w:val="bottom"/>
          </w:tcPr>
          <w:p>
            <w:pPr>
              <w:jc w:val="center"/>
              <w:spacing w:after="0" w:line="109" w:lineRule="exact"/>
              <w:rPr>
                <w:sz w:val="20"/>
                <w:szCs w:val="20"/>
                <w:color w:val="auto"/>
              </w:rPr>
            </w:pPr>
            <w:r>
              <w:rPr>
                <w:rFonts w:ascii="Times New Roman" w:cs="Times New Roman" w:eastAsia="Times New Roman" w:hAnsi="Times New Roman"/>
                <w:sz w:val="11"/>
                <w:szCs w:val="11"/>
                <w:color w:val="auto"/>
                <w:w w:val="98"/>
              </w:rPr>
              <w:t>Electronic Equipment, Instruments, and</w:t>
            </w:r>
          </w:p>
        </w:tc>
        <w:tc>
          <w:tcPr>
            <w:tcW w:w="120" w:type="dxa"/>
            <w:vAlign w:val="bottom"/>
          </w:tcPr>
          <w:p>
            <w:pPr>
              <w:spacing w:after="0"/>
              <w:rPr>
                <w:sz w:val="9"/>
                <w:szCs w:val="9"/>
                <w:color w:val="auto"/>
              </w:rPr>
            </w:pPr>
          </w:p>
        </w:tc>
        <w:tc>
          <w:tcPr>
            <w:tcW w:w="8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20" w:type="dxa"/>
            <w:vAlign w:val="bottom"/>
          </w:tcPr>
          <w:p>
            <w:pPr>
              <w:jc w:val="right"/>
              <w:spacing w:after="0" w:line="109" w:lineRule="exact"/>
              <w:rPr>
                <w:sz w:val="20"/>
                <w:szCs w:val="20"/>
                <w:color w:val="auto"/>
              </w:rPr>
            </w:pPr>
            <w:r>
              <w:rPr>
                <w:rFonts w:ascii="Times New Roman" w:cs="Times New Roman" w:eastAsia="Times New Roman" w:hAnsi="Times New Roman"/>
                <w:sz w:val="11"/>
                <w:szCs w:val="11"/>
                <w:color w:val="auto"/>
              </w:rPr>
              <w:t>1M L+475</w:t>
            </w:r>
          </w:p>
        </w:tc>
        <w:tc>
          <w:tcPr>
            <w:tcW w:w="220" w:type="dxa"/>
            <w:vAlign w:val="bottom"/>
          </w:tcPr>
          <w:p>
            <w:pPr>
              <w:spacing w:after="0"/>
              <w:rPr>
                <w:sz w:val="9"/>
                <w:szCs w:val="9"/>
                <w:color w:val="auto"/>
              </w:rPr>
            </w:pPr>
          </w:p>
        </w:tc>
        <w:tc>
          <w:tcPr>
            <w:tcW w:w="8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2880" w:type="dxa"/>
            <w:vAlign w:val="bottom"/>
            <w:vMerge w:val="restart"/>
          </w:tcPr>
          <w:p>
            <w:pPr>
              <w:ind w:left="20"/>
              <w:spacing w:after="0"/>
              <w:rPr>
                <w:sz w:val="20"/>
                <w:szCs w:val="20"/>
                <w:color w:val="auto"/>
              </w:rPr>
            </w:pPr>
            <w:r>
              <w:rPr>
                <w:rFonts w:ascii="Times New Roman" w:cs="Times New Roman" w:eastAsia="Times New Roman" w:hAnsi="Times New Roman"/>
                <w:sz w:val="11"/>
                <w:szCs w:val="11"/>
                <w:color w:val="auto"/>
              </w:rPr>
              <w:t xml:space="preserve">ECM Industries, LLC (Revolver) </w:t>
            </w:r>
            <w:r>
              <w:rPr>
                <w:rFonts w:ascii="Times New Roman" w:cs="Times New Roman" w:eastAsia="Times New Roman" w:hAnsi="Times New Roman"/>
                <w:sz w:val="14"/>
                <w:szCs w:val="14"/>
                <w:color w:val="auto"/>
                <w:vertAlign w:val="superscript"/>
              </w:rPr>
              <w:t>(9)</w:t>
            </w: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Components</w:t>
            </w:r>
          </w:p>
        </w:tc>
        <w:tc>
          <w:tcPr>
            <w:tcW w:w="1100" w:type="dxa"/>
            <w:vAlign w:val="bottom"/>
            <w:gridSpan w:val="3"/>
          </w:tcPr>
          <w:p>
            <w:pPr>
              <w:jc w:val="right"/>
              <w:ind w:right="20"/>
              <w:spacing w:after="0"/>
              <w:rPr>
                <w:sz w:val="20"/>
                <w:szCs w:val="20"/>
                <w:color w:val="auto"/>
              </w:rPr>
            </w:pPr>
            <w:r>
              <w:rPr>
                <w:rFonts w:ascii="Times New Roman" w:cs="Times New Roman" w:eastAsia="Times New Roman" w:hAnsi="Times New Roman"/>
                <w:sz w:val="11"/>
                <w:szCs w:val="11"/>
                <w:color w:val="auto"/>
              </w:rPr>
              <w:t>8.00 %</w:t>
            </w: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514</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514</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490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880" w:type="dxa"/>
            <w:vAlign w:val="bottom"/>
            <w:vMerge w:val="continue"/>
          </w:tcPr>
          <w:p>
            <w:pPr>
              <w:spacing w:after="0"/>
              <w:rPr>
                <w:sz w:val="9"/>
                <w:szCs w:val="9"/>
                <w:color w:val="auto"/>
              </w:rPr>
            </w:pPr>
          </w:p>
        </w:tc>
        <w:tc>
          <w:tcPr>
            <w:tcW w:w="900" w:type="dxa"/>
            <w:vAlign w:val="bottom"/>
          </w:tcPr>
          <w:p>
            <w:pPr>
              <w:jc w:val="center"/>
              <w:ind w:left="86"/>
              <w:spacing w:after="0" w:line="109" w:lineRule="exact"/>
              <w:rPr>
                <w:sz w:val="20"/>
                <w:szCs w:val="20"/>
                <w:color w:val="auto"/>
              </w:rPr>
            </w:pPr>
            <w:r>
              <w:rPr>
                <w:rFonts w:ascii="Times New Roman" w:cs="Times New Roman" w:eastAsia="Times New Roman" w:hAnsi="Times New Roman"/>
                <w:sz w:val="11"/>
                <w:szCs w:val="11"/>
                <w:color w:val="auto"/>
                <w:w w:val="95"/>
              </w:rPr>
              <w:t>12/23/2025</w:t>
            </w:r>
          </w:p>
        </w:tc>
        <w:tc>
          <w:tcPr>
            <w:tcW w:w="140" w:type="dxa"/>
            <w:vAlign w:val="bottom"/>
          </w:tcPr>
          <w:p>
            <w:pPr>
              <w:spacing w:after="0"/>
              <w:rPr>
                <w:sz w:val="9"/>
                <w:szCs w:val="9"/>
                <w:color w:val="auto"/>
              </w:rPr>
            </w:pPr>
          </w:p>
        </w:tc>
        <w:tc>
          <w:tcPr>
            <w:tcW w:w="2020" w:type="dxa"/>
            <w:vAlign w:val="bottom"/>
          </w:tcPr>
          <w:p>
            <w:pPr>
              <w:jc w:val="center"/>
              <w:spacing w:after="0" w:line="109" w:lineRule="exact"/>
              <w:rPr>
                <w:sz w:val="20"/>
                <w:szCs w:val="20"/>
                <w:color w:val="auto"/>
              </w:rPr>
            </w:pPr>
            <w:r>
              <w:rPr>
                <w:rFonts w:ascii="Times New Roman" w:cs="Times New Roman" w:eastAsia="Times New Roman" w:hAnsi="Times New Roman"/>
                <w:sz w:val="11"/>
                <w:szCs w:val="11"/>
                <w:color w:val="auto"/>
                <w:w w:val="98"/>
              </w:rPr>
              <w:t>Electronic Equipment, Instruments, and</w:t>
            </w:r>
          </w:p>
        </w:tc>
        <w:tc>
          <w:tcPr>
            <w:tcW w:w="120" w:type="dxa"/>
            <w:vAlign w:val="bottom"/>
          </w:tcPr>
          <w:p>
            <w:pPr>
              <w:spacing w:after="0"/>
              <w:rPr>
                <w:sz w:val="9"/>
                <w:szCs w:val="9"/>
                <w:color w:val="auto"/>
              </w:rPr>
            </w:pPr>
          </w:p>
        </w:tc>
        <w:tc>
          <w:tcPr>
            <w:tcW w:w="980" w:type="dxa"/>
            <w:vAlign w:val="bottom"/>
            <w:gridSpan w:val="2"/>
          </w:tcPr>
          <w:p>
            <w:pPr>
              <w:jc w:val="right"/>
              <w:ind w:right="140"/>
              <w:spacing w:after="0" w:line="109"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9"/>
                <w:szCs w:val="9"/>
                <w:color w:val="auto"/>
              </w:rPr>
            </w:pPr>
          </w:p>
        </w:tc>
        <w:tc>
          <w:tcPr>
            <w:tcW w:w="820" w:type="dxa"/>
            <w:vAlign w:val="bottom"/>
          </w:tcPr>
          <w:p>
            <w:pPr>
              <w:jc w:val="right"/>
              <w:spacing w:after="0" w:line="109" w:lineRule="exact"/>
              <w:rPr>
                <w:sz w:val="20"/>
                <w:szCs w:val="20"/>
                <w:color w:val="auto"/>
              </w:rPr>
            </w:pPr>
            <w:r>
              <w:rPr>
                <w:rFonts w:ascii="Times New Roman" w:cs="Times New Roman" w:eastAsia="Times New Roman" w:hAnsi="Times New Roman"/>
                <w:sz w:val="11"/>
                <w:szCs w:val="11"/>
                <w:color w:val="auto"/>
              </w:rPr>
              <w:t>—</w:t>
            </w:r>
          </w:p>
        </w:tc>
        <w:tc>
          <w:tcPr>
            <w:tcW w:w="1060" w:type="dxa"/>
            <w:vAlign w:val="bottom"/>
            <w:gridSpan w:val="2"/>
          </w:tcPr>
          <w:p>
            <w:pPr>
              <w:jc w:val="right"/>
              <w:spacing w:after="0" w:line="109" w:lineRule="exact"/>
              <w:rPr>
                <w:sz w:val="20"/>
                <w:szCs w:val="20"/>
                <w:color w:val="auto"/>
              </w:rPr>
            </w:pPr>
            <w:r>
              <w:rPr>
                <w:rFonts w:ascii="Times New Roman" w:cs="Times New Roman" w:eastAsia="Times New Roman" w:hAnsi="Times New Roman"/>
                <w:sz w:val="11"/>
                <w:szCs w:val="11"/>
                <w:color w:val="auto"/>
              </w:rPr>
              <w:t>400</w:t>
            </w: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jc w:val="right"/>
              <w:spacing w:after="0" w:line="109" w:lineRule="exact"/>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gridSpan w:val="2"/>
          </w:tcPr>
          <w:p>
            <w:pPr>
              <w:jc w:val="right"/>
              <w:ind w:right="60"/>
              <w:spacing w:after="0" w:line="109" w:lineRule="exact"/>
              <w:rPr>
                <w:sz w:val="20"/>
                <w:szCs w:val="20"/>
                <w:color w:val="auto"/>
              </w:rPr>
            </w:pPr>
            <w:r>
              <w:rPr>
                <w:rFonts w:ascii="Times New Roman" w:cs="Times New Roman" w:eastAsia="Times New Roman" w:hAnsi="Times New Roman"/>
                <w:sz w:val="11"/>
                <w:szCs w:val="11"/>
                <w:color w:val="auto"/>
              </w:rPr>
              <w:t>(19 )</w:t>
            </w:r>
          </w:p>
        </w:tc>
        <w:tc>
          <w:tcPr>
            <w:tcW w:w="0" w:type="dxa"/>
            <w:vAlign w:val="bottom"/>
          </w:tcPr>
          <w:p>
            <w:pPr>
              <w:spacing w:after="0"/>
              <w:rPr>
                <w:sz w:val="1"/>
                <w:szCs w:val="1"/>
                <w:color w:val="auto"/>
              </w:rPr>
            </w:pPr>
          </w:p>
        </w:tc>
      </w:tr>
      <w:tr>
        <w:trPr>
          <w:trHeight w:val="140"/>
        </w:trPr>
        <w:tc>
          <w:tcPr>
            <w:tcW w:w="2880" w:type="dxa"/>
            <w:vAlign w:val="bottom"/>
            <w:vMerge w:val="restart"/>
          </w:tcPr>
          <w:p>
            <w:pPr>
              <w:ind w:left="20"/>
              <w:spacing w:after="0"/>
              <w:rPr>
                <w:sz w:val="20"/>
                <w:szCs w:val="20"/>
                <w:color w:val="auto"/>
              </w:rPr>
            </w:pPr>
            <w:r>
              <w:rPr>
                <w:rFonts w:ascii="Times New Roman" w:cs="Times New Roman" w:eastAsia="Times New Roman" w:hAnsi="Times New Roman"/>
                <w:sz w:val="11"/>
                <w:szCs w:val="11"/>
                <w:color w:val="auto"/>
              </w:rPr>
              <w:t xml:space="preserve">eCommission Financial Services, Inc. </w:t>
            </w:r>
            <w:r>
              <w:rPr>
                <w:rFonts w:ascii="Times New Roman" w:cs="Times New Roman" w:eastAsia="Times New Roman" w:hAnsi="Times New Roman"/>
                <w:sz w:val="14"/>
                <w:szCs w:val="14"/>
                <w:color w:val="auto"/>
                <w:vertAlign w:val="superscript"/>
              </w:rPr>
              <w:t>(10)</w:t>
            </w: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Components</w:t>
            </w: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2880" w:type="dxa"/>
            <w:vAlign w:val="bottom"/>
            <w:vMerge w:val="continue"/>
          </w:tcPr>
          <w:p>
            <w:pPr>
              <w:spacing w:after="0"/>
              <w:rPr>
                <w:sz w:val="10"/>
                <w:szCs w:val="10"/>
                <w:color w:val="auto"/>
              </w:rPr>
            </w:pPr>
          </w:p>
        </w:tc>
        <w:tc>
          <w:tcPr>
            <w:tcW w:w="900" w:type="dxa"/>
            <w:vAlign w:val="bottom"/>
          </w:tcPr>
          <w:p>
            <w:pPr>
              <w:jc w:val="center"/>
              <w:ind w:left="86"/>
              <w:spacing w:after="0" w:line="125" w:lineRule="exact"/>
              <w:rPr>
                <w:sz w:val="20"/>
                <w:szCs w:val="20"/>
                <w:color w:val="auto"/>
              </w:rPr>
            </w:pPr>
            <w:r>
              <w:rPr>
                <w:rFonts w:ascii="Times New Roman" w:cs="Times New Roman" w:eastAsia="Times New Roman" w:hAnsi="Times New Roman"/>
                <w:sz w:val="11"/>
                <w:szCs w:val="11"/>
                <w:color w:val="auto"/>
                <w:w w:val="95"/>
              </w:rPr>
              <w:t>10/05/2023</w:t>
            </w:r>
          </w:p>
        </w:tc>
        <w:tc>
          <w:tcPr>
            <w:tcW w:w="140" w:type="dxa"/>
            <w:vAlign w:val="bottom"/>
          </w:tcPr>
          <w:p>
            <w:pPr>
              <w:spacing w:after="0"/>
              <w:rPr>
                <w:sz w:val="10"/>
                <w:szCs w:val="10"/>
                <w:color w:val="auto"/>
              </w:rPr>
            </w:pPr>
          </w:p>
        </w:tc>
        <w:tc>
          <w:tcPr>
            <w:tcW w:w="2020" w:type="dxa"/>
            <w:vAlign w:val="bottom"/>
          </w:tcPr>
          <w:p>
            <w:pPr>
              <w:jc w:val="center"/>
              <w:spacing w:after="0" w:line="125" w:lineRule="exact"/>
              <w:rPr>
                <w:sz w:val="20"/>
                <w:szCs w:val="20"/>
                <w:color w:val="auto"/>
              </w:rPr>
            </w:pPr>
            <w:r>
              <w:rPr>
                <w:rFonts w:ascii="Times New Roman" w:cs="Times New Roman" w:eastAsia="Times New Roman" w:hAnsi="Times New Roman"/>
                <w:sz w:val="11"/>
                <w:szCs w:val="11"/>
                <w:color w:val="auto"/>
                <w:w w:val="98"/>
              </w:rPr>
              <w:t>Banking, Finance, Insurance &amp; Real Estate</w:t>
            </w:r>
          </w:p>
        </w:tc>
        <w:tc>
          <w:tcPr>
            <w:tcW w:w="1100" w:type="dxa"/>
            <w:vAlign w:val="bottom"/>
            <w:gridSpan w:val="3"/>
          </w:tcPr>
          <w:p>
            <w:pPr>
              <w:jc w:val="right"/>
              <w:ind w:right="20"/>
              <w:spacing w:after="0" w:line="125" w:lineRule="exact"/>
              <w:rPr>
                <w:sz w:val="20"/>
                <w:szCs w:val="20"/>
                <w:color w:val="auto"/>
              </w:rPr>
            </w:pPr>
            <w:r>
              <w:rPr>
                <w:rFonts w:ascii="Times New Roman" w:cs="Times New Roman" w:eastAsia="Times New Roman" w:hAnsi="Times New Roman"/>
                <w:sz w:val="11"/>
                <w:szCs w:val="11"/>
                <w:color w:val="auto"/>
              </w:rPr>
              <w:t>7.63 %</w:t>
            </w:r>
          </w:p>
        </w:tc>
        <w:tc>
          <w:tcPr>
            <w:tcW w:w="140" w:type="dxa"/>
            <w:vAlign w:val="bottom"/>
          </w:tcPr>
          <w:p>
            <w:pPr>
              <w:spacing w:after="0"/>
              <w:rPr>
                <w:sz w:val="10"/>
                <w:szCs w:val="10"/>
                <w:color w:val="auto"/>
              </w:rPr>
            </w:pPr>
          </w:p>
        </w:tc>
        <w:tc>
          <w:tcPr>
            <w:tcW w:w="820" w:type="dxa"/>
            <w:vAlign w:val="bottom"/>
          </w:tcPr>
          <w:p>
            <w:pPr>
              <w:jc w:val="right"/>
              <w:spacing w:after="0" w:line="125" w:lineRule="exact"/>
              <w:rPr>
                <w:sz w:val="20"/>
                <w:szCs w:val="20"/>
                <w:color w:val="auto"/>
              </w:rPr>
            </w:pPr>
            <w:r>
              <w:rPr>
                <w:rFonts w:ascii="Times New Roman" w:cs="Times New Roman" w:eastAsia="Times New Roman" w:hAnsi="Times New Roman"/>
                <w:sz w:val="11"/>
                <w:szCs w:val="11"/>
                <w:color w:val="auto"/>
              </w:rPr>
              <w:t>1M L+500</w:t>
            </w:r>
          </w:p>
        </w:tc>
        <w:tc>
          <w:tcPr>
            <w:tcW w:w="1060" w:type="dxa"/>
            <w:vAlign w:val="bottom"/>
            <w:gridSpan w:val="2"/>
          </w:tcPr>
          <w:p>
            <w:pPr>
              <w:jc w:val="right"/>
              <w:spacing w:after="0" w:line="125" w:lineRule="exact"/>
              <w:rPr>
                <w:sz w:val="20"/>
                <w:szCs w:val="20"/>
                <w:color w:val="auto"/>
              </w:rPr>
            </w:pPr>
            <w:r>
              <w:rPr>
                <w:rFonts w:ascii="Times New Roman" w:cs="Times New Roman" w:eastAsia="Times New Roman" w:hAnsi="Times New Roman"/>
                <w:sz w:val="11"/>
                <w:szCs w:val="11"/>
                <w:color w:val="auto"/>
              </w:rPr>
              <w:t>5,837</w:t>
            </w: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jc w:val="right"/>
              <w:spacing w:after="0" w:line="125" w:lineRule="exact"/>
              <w:rPr>
                <w:sz w:val="20"/>
                <w:szCs w:val="20"/>
                <w:color w:val="auto"/>
              </w:rPr>
            </w:pPr>
            <w:r>
              <w:rPr>
                <w:rFonts w:ascii="Times New Roman" w:cs="Times New Roman" w:eastAsia="Times New Roman" w:hAnsi="Times New Roman"/>
                <w:sz w:val="11"/>
                <w:szCs w:val="11"/>
                <w:color w:val="auto"/>
              </w:rPr>
              <w:t>5,837</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jc w:val="right"/>
              <w:spacing w:after="0" w:line="125" w:lineRule="exact"/>
              <w:rPr>
                <w:sz w:val="20"/>
                <w:szCs w:val="20"/>
                <w:color w:val="auto"/>
              </w:rPr>
            </w:pPr>
            <w:r>
              <w:rPr>
                <w:rFonts w:ascii="Times New Roman" w:cs="Times New Roman" w:eastAsia="Times New Roman" w:hAnsi="Times New Roman"/>
                <w:sz w:val="11"/>
                <w:szCs w:val="11"/>
                <w:color w:val="auto"/>
              </w:rPr>
              <w:t>5,837</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88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eCommission Financial Services, Inc. (Revolver) </w:t>
            </w:r>
            <w:r>
              <w:rPr>
                <w:rFonts w:ascii="Times New Roman" w:cs="Times New Roman" w:eastAsia="Times New Roman" w:hAnsi="Times New Roman"/>
                <w:sz w:val="14"/>
                <w:szCs w:val="14"/>
                <w:color w:val="auto"/>
                <w:vertAlign w:val="superscript"/>
              </w:rPr>
              <w:t>(7), (10)</w:t>
            </w:r>
          </w:p>
        </w:tc>
        <w:tc>
          <w:tcPr>
            <w:tcW w:w="900" w:type="dxa"/>
            <w:vAlign w:val="bottom"/>
          </w:tcPr>
          <w:p>
            <w:pPr>
              <w:jc w:val="center"/>
              <w:ind w:left="86"/>
              <w:spacing w:after="0"/>
              <w:rPr>
                <w:sz w:val="20"/>
                <w:szCs w:val="20"/>
                <w:color w:val="auto"/>
              </w:rPr>
            </w:pPr>
            <w:r>
              <w:rPr>
                <w:rFonts w:ascii="Times New Roman" w:cs="Times New Roman" w:eastAsia="Times New Roman" w:hAnsi="Times New Roman"/>
                <w:sz w:val="11"/>
                <w:szCs w:val="11"/>
                <w:color w:val="auto"/>
                <w:w w:val="95"/>
              </w:rPr>
              <w:t>10/05/2023</w:t>
            </w:r>
          </w:p>
        </w:tc>
        <w:tc>
          <w:tcPr>
            <w:tcW w:w="140" w:type="dxa"/>
            <w:vAlign w:val="bottom"/>
          </w:tcPr>
          <w:p>
            <w:pPr>
              <w:spacing w:after="0"/>
              <w:rPr>
                <w:sz w:val="11"/>
                <w:szCs w:val="11"/>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Banking, Finance, Insurance &amp; Real Estate</w:t>
            </w:r>
          </w:p>
        </w:tc>
        <w:tc>
          <w:tcPr>
            <w:tcW w:w="1100" w:type="dxa"/>
            <w:vAlign w:val="bottom"/>
            <w:gridSpan w:val="3"/>
          </w:tcPr>
          <w:p>
            <w:pPr>
              <w:jc w:val="right"/>
              <w:ind w:right="20"/>
              <w:spacing w:after="0"/>
              <w:rPr>
                <w:sz w:val="20"/>
                <w:szCs w:val="20"/>
                <w:color w:val="auto"/>
              </w:rPr>
            </w:pPr>
            <w:r>
              <w:rPr>
                <w:rFonts w:ascii="Times New Roman" w:cs="Times New Roman" w:eastAsia="Times New Roman" w:hAnsi="Times New Roman"/>
                <w:sz w:val="11"/>
                <w:szCs w:val="11"/>
                <w:color w:val="auto"/>
              </w:rPr>
              <w:t>7.63 %</w:t>
            </w:r>
          </w:p>
        </w:tc>
        <w:tc>
          <w:tcPr>
            <w:tcW w:w="140" w:type="dxa"/>
            <w:vAlign w:val="bottom"/>
          </w:tcPr>
          <w:p>
            <w:pPr>
              <w:spacing w:after="0"/>
              <w:rPr>
                <w:sz w:val="11"/>
                <w:szCs w:val="1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1M L+500</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2,500</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2,500</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2,500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880" w:type="dxa"/>
            <w:vAlign w:val="bottom"/>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eCommission Financial Services, Inc. (Revolver) </w:t>
            </w:r>
            <w:r>
              <w:rPr>
                <w:rFonts w:ascii="Times New Roman" w:cs="Times New Roman" w:eastAsia="Times New Roman" w:hAnsi="Times New Roman"/>
                <w:sz w:val="14"/>
                <w:szCs w:val="14"/>
                <w:color w:val="auto"/>
                <w:vertAlign w:val="superscript"/>
              </w:rPr>
              <w:t>(7), (9), (10)</w:t>
            </w:r>
          </w:p>
        </w:tc>
        <w:tc>
          <w:tcPr>
            <w:tcW w:w="900" w:type="dxa"/>
            <w:vAlign w:val="bottom"/>
          </w:tcPr>
          <w:p>
            <w:pPr>
              <w:jc w:val="center"/>
              <w:ind w:left="86"/>
              <w:spacing w:after="0"/>
              <w:rPr>
                <w:sz w:val="20"/>
                <w:szCs w:val="20"/>
                <w:color w:val="auto"/>
              </w:rPr>
            </w:pPr>
            <w:r>
              <w:rPr>
                <w:rFonts w:ascii="Times New Roman" w:cs="Times New Roman" w:eastAsia="Times New Roman" w:hAnsi="Times New Roman"/>
                <w:sz w:val="11"/>
                <w:szCs w:val="11"/>
                <w:color w:val="auto"/>
                <w:w w:val="95"/>
              </w:rPr>
              <w:t>10/05/2023</w:t>
            </w:r>
          </w:p>
        </w:tc>
        <w:tc>
          <w:tcPr>
            <w:tcW w:w="140" w:type="dxa"/>
            <w:vAlign w:val="bottom"/>
          </w:tcPr>
          <w:p>
            <w:pPr>
              <w:spacing w:after="0"/>
              <w:rPr>
                <w:sz w:val="13"/>
                <w:szCs w:val="13"/>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Banking, Finance, Insurance &amp; Real Estate</w:t>
            </w:r>
          </w:p>
        </w:tc>
        <w:tc>
          <w:tcPr>
            <w:tcW w:w="120" w:type="dxa"/>
            <w:vAlign w:val="bottom"/>
          </w:tcPr>
          <w:p>
            <w:pPr>
              <w:spacing w:after="0"/>
              <w:rPr>
                <w:sz w:val="13"/>
                <w:szCs w:val="13"/>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2,500</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17"/>
        </w:trPr>
        <w:tc>
          <w:tcPr>
            <w:tcW w:w="2880" w:type="dxa"/>
            <w:vAlign w:val="bottom"/>
          </w:tcPr>
          <w:p>
            <w:pPr>
              <w:ind w:left="20"/>
              <w:spacing w:after="0" w:line="117" w:lineRule="exact"/>
              <w:rPr>
                <w:sz w:val="20"/>
                <w:szCs w:val="20"/>
                <w:color w:val="auto"/>
              </w:rPr>
            </w:pPr>
            <w:r>
              <w:rPr>
                <w:rFonts w:ascii="Times New Roman" w:cs="Times New Roman" w:eastAsia="Times New Roman" w:hAnsi="Times New Roman"/>
                <w:sz w:val="11"/>
                <w:szCs w:val="11"/>
                <w:color w:val="auto"/>
              </w:rPr>
              <w:t>Efficient Collaborative Retail Marketing Company, LLC</w:t>
            </w:r>
          </w:p>
        </w:tc>
        <w:tc>
          <w:tcPr>
            <w:tcW w:w="900" w:type="dxa"/>
            <w:vAlign w:val="bottom"/>
          </w:tcPr>
          <w:p>
            <w:pPr>
              <w:jc w:val="center"/>
              <w:ind w:left="86"/>
              <w:spacing w:after="0" w:line="117" w:lineRule="exact"/>
              <w:rPr>
                <w:sz w:val="20"/>
                <w:szCs w:val="20"/>
                <w:color w:val="auto"/>
              </w:rPr>
            </w:pPr>
            <w:r>
              <w:rPr>
                <w:rFonts w:ascii="Times New Roman" w:cs="Times New Roman" w:eastAsia="Times New Roman" w:hAnsi="Times New Roman"/>
                <w:sz w:val="11"/>
                <w:szCs w:val="11"/>
                <w:color w:val="auto"/>
                <w:w w:val="95"/>
              </w:rPr>
              <w:t>06/15/2024</w:t>
            </w:r>
          </w:p>
        </w:tc>
        <w:tc>
          <w:tcPr>
            <w:tcW w:w="140" w:type="dxa"/>
            <w:vAlign w:val="bottom"/>
          </w:tcPr>
          <w:p>
            <w:pPr>
              <w:spacing w:after="0"/>
              <w:rPr>
                <w:sz w:val="10"/>
                <w:szCs w:val="10"/>
                <w:color w:val="auto"/>
              </w:rPr>
            </w:pPr>
          </w:p>
        </w:tc>
        <w:tc>
          <w:tcPr>
            <w:tcW w:w="202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color w:val="auto"/>
                <w:w w:val="97"/>
              </w:rPr>
              <w:t>Media: Diversified and Production</w:t>
            </w:r>
          </w:p>
        </w:tc>
        <w:tc>
          <w:tcPr>
            <w:tcW w:w="1100" w:type="dxa"/>
            <w:vAlign w:val="bottom"/>
            <w:gridSpan w:val="3"/>
          </w:tcPr>
          <w:p>
            <w:pPr>
              <w:jc w:val="right"/>
              <w:ind w:right="20"/>
              <w:spacing w:after="0" w:line="117" w:lineRule="exact"/>
              <w:rPr>
                <w:sz w:val="20"/>
                <w:szCs w:val="20"/>
                <w:color w:val="auto"/>
              </w:rPr>
            </w:pPr>
            <w:r>
              <w:rPr>
                <w:rFonts w:ascii="Times New Roman" w:cs="Times New Roman" w:eastAsia="Times New Roman" w:hAnsi="Times New Roman"/>
                <w:sz w:val="11"/>
                <w:szCs w:val="11"/>
                <w:color w:val="auto"/>
              </w:rPr>
              <w:t>10.42 %</w:t>
            </w:r>
          </w:p>
        </w:tc>
        <w:tc>
          <w:tcPr>
            <w:tcW w:w="140" w:type="dxa"/>
            <w:vAlign w:val="bottom"/>
          </w:tcPr>
          <w:p>
            <w:pPr>
              <w:spacing w:after="0"/>
              <w:rPr>
                <w:sz w:val="10"/>
                <w:szCs w:val="10"/>
                <w:color w:val="auto"/>
              </w:rPr>
            </w:pPr>
          </w:p>
        </w:tc>
        <w:tc>
          <w:tcPr>
            <w:tcW w:w="82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3M L+675</w:t>
            </w:r>
          </w:p>
        </w:tc>
        <w:tc>
          <w:tcPr>
            <w:tcW w:w="106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1"/>
                <w:szCs w:val="11"/>
                <w:color w:val="auto"/>
              </w:rPr>
              <w:t>7,150</w:t>
            </w: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7,123</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6,936</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880" w:type="dxa"/>
            <w:vAlign w:val="bottom"/>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Exigo Intermediate II, LLC </w:t>
            </w:r>
            <w:r>
              <w:rPr>
                <w:rFonts w:ascii="Times New Roman" w:cs="Times New Roman" w:eastAsia="Times New Roman" w:hAnsi="Times New Roman"/>
                <w:sz w:val="14"/>
                <w:szCs w:val="14"/>
                <w:color w:val="auto"/>
                <w:vertAlign w:val="superscript"/>
              </w:rPr>
              <w:t>(9)</w:t>
            </w:r>
          </w:p>
        </w:tc>
        <w:tc>
          <w:tcPr>
            <w:tcW w:w="900" w:type="dxa"/>
            <w:vAlign w:val="bottom"/>
          </w:tcPr>
          <w:p>
            <w:pPr>
              <w:jc w:val="center"/>
              <w:ind w:left="86"/>
              <w:spacing w:after="0"/>
              <w:rPr>
                <w:sz w:val="20"/>
                <w:szCs w:val="20"/>
                <w:color w:val="auto"/>
              </w:rPr>
            </w:pPr>
            <w:r>
              <w:rPr>
                <w:rFonts w:ascii="Times New Roman" w:cs="Times New Roman" w:eastAsia="Times New Roman" w:hAnsi="Times New Roman"/>
                <w:sz w:val="11"/>
                <w:szCs w:val="11"/>
                <w:color w:val="auto"/>
                <w:w w:val="95"/>
              </w:rPr>
              <w:t>03/15/2024</w:t>
            </w:r>
          </w:p>
        </w:tc>
        <w:tc>
          <w:tcPr>
            <w:tcW w:w="140" w:type="dxa"/>
            <w:vAlign w:val="bottom"/>
          </w:tcPr>
          <w:p>
            <w:pPr>
              <w:spacing w:after="0"/>
              <w:rPr>
                <w:sz w:val="13"/>
                <w:szCs w:val="13"/>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5"/>
              </w:rPr>
              <w:t>Software</w:t>
            </w:r>
          </w:p>
        </w:tc>
        <w:tc>
          <w:tcPr>
            <w:tcW w:w="120" w:type="dxa"/>
            <w:vAlign w:val="bottom"/>
          </w:tcPr>
          <w:p>
            <w:pPr>
              <w:spacing w:after="0"/>
              <w:rPr>
                <w:sz w:val="13"/>
                <w:szCs w:val="13"/>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2,758</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(41 )</w:t>
            </w:r>
          </w:p>
        </w:tc>
        <w:tc>
          <w:tcPr>
            <w:tcW w:w="0" w:type="dxa"/>
            <w:vAlign w:val="bottom"/>
          </w:tcPr>
          <w:p>
            <w:pPr>
              <w:spacing w:after="0"/>
              <w:rPr>
                <w:sz w:val="1"/>
                <w:szCs w:val="1"/>
                <w:color w:val="auto"/>
              </w:rPr>
            </w:pPr>
          </w:p>
        </w:tc>
      </w:tr>
      <w:tr>
        <w:trPr>
          <w:trHeight w:val="117"/>
        </w:trPr>
        <w:tc>
          <w:tcPr>
            <w:tcW w:w="2880" w:type="dxa"/>
            <w:vAlign w:val="bottom"/>
          </w:tcPr>
          <w:p>
            <w:pPr>
              <w:ind w:left="20"/>
              <w:spacing w:after="0" w:line="117" w:lineRule="exact"/>
              <w:rPr>
                <w:sz w:val="20"/>
                <w:szCs w:val="20"/>
                <w:color w:val="auto"/>
              </w:rPr>
            </w:pPr>
            <w:r>
              <w:rPr>
                <w:rFonts w:ascii="Times New Roman" w:cs="Times New Roman" w:eastAsia="Times New Roman" w:hAnsi="Times New Roman"/>
                <w:sz w:val="11"/>
                <w:szCs w:val="11"/>
                <w:color w:val="auto"/>
              </w:rPr>
              <w:t>Exigo Intermediate II, LLC (Revolver)</w:t>
            </w:r>
          </w:p>
        </w:tc>
        <w:tc>
          <w:tcPr>
            <w:tcW w:w="900" w:type="dxa"/>
            <w:vAlign w:val="bottom"/>
          </w:tcPr>
          <w:p>
            <w:pPr>
              <w:jc w:val="center"/>
              <w:ind w:left="86"/>
              <w:spacing w:after="0" w:line="117" w:lineRule="exact"/>
              <w:rPr>
                <w:sz w:val="20"/>
                <w:szCs w:val="20"/>
                <w:color w:val="auto"/>
              </w:rPr>
            </w:pPr>
            <w:r>
              <w:rPr>
                <w:rFonts w:ascii="Times New Roman" w:cs="Times New Roman" w:eastAsia="Times New Roman" w:hAnsi="Times New Roman"/>
                <w:sz w:val="11"/>
                <w:szCs w:val="11"/>
                <w:color w:val="auto"/>
                <w:w w:val="95"/>
              </w:rPr>
              <w:t>03/15/2027</w:t>
            </w:r>
          </w:p>
        </w:tc>
        <w:tc>
          <w:tcPr>
            <w:tcW w:w="140" w:type="dxa"/>
            <w:vAlign w:val="bottom"/>
          </w:tcPr>
          <w:p>
            <w:pPr>
              <w:spacing w:after="0"/>
              <w:rPr>
                <w:sz w:val="10"/>
                <w:szCs w:val="10"/>
                <w:color w:val="auto"/>
              </w:rPr>
            </w:pPr>
          </w:p>
        </w:tc>
        <w:tc>
          <w:tcPr>
            <w:tcW w:w="202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color w:val="auto"/>
                <w:w w:val="95"/>
              </w:rPr>
              <w:t>Software</w:t>
            </w:r>
          </w:p>
        </w:tc>
        <w:tc>
          <w:tcPr>
            <w:tcW w:w="1100" w:type="dxa"/>
            <w:vAlign w:val="bottom"/>
            <w:gridSpan w:val="3"/>
          </w:tcPr>
          <w:p>
            <w:pPr>
              <w:jc w:val="right"/>
              <w:ind w:right="20"/>
              <w:spacing w:after="0" w:line="117" w:lineRule="exact"/>
              <w:rPr>
                <w:sz w:val="20"/>
                <w:szCs w:val="20"/>
                <w:color w:val="auto"/>
              </w:rPr>
            </w:pPr>
            <w:r>
              <w:rPr>
                <w:rFonts w:ascii="Times New Roman" w:cs="Times New Roman" w:eastAsia="Times New Roman" w:hAnsi="Times New Roman"/>
                <w:sz w:val="11"/>
                <w:szCs w:val="11"/>
                <w:color w:val="auto"/>
              </w:rPr>
              <w:t>8.87 %</w:t>
            </w:r>
          </w:p>
        </w:tc>
        <w:tc>
          <w:tcPr>
            <w:tcW w:w="140" w:type="dxa"/>
            <w:vAlign w:val="bottom"/>
          </w:tcPr>
          <w:p>
            <w:pPr>
              <w:spacing w:after="0"/>
              <w:rPr>
                <w:sz w:val="10"/>
                <w:szCs w:val="10"/>
                <w:color w:val="auto"/>
              </w:rPr>
            </w:pPr>
          </w:p>
        </w:tc>
        <w:tc>
          <w:tcPr>
            <w:tcW w:w="82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3M L+575</w:t>
            </w:r>
          </w:p>
        </w:tc>
        <w:tc>
          <w:tcPr>
            <w:tcW w:w="106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1"/>
                <w:szCs w:val="11"/>
                <w:color w:val="auto"/>
              </w:rPr>
              <w:t>138</w:t>
            </w: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138</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135</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88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Exigo Intermediate II, LLC (Revolver) </w:t>
            </w:r>
            <w:r>
              <w:rPr>
                <w:rFonts w:ascii="Times New Roman" w:cs="Times New Roman" w:eastAsia="Times New Roman" w:hAnsi="Times New Roman"/>
                <w:sz w:val="14"/>
                <w:szCs w:val="14"/>
                <w:color w:val="auto"/>
                <w:vertAlign w:val="superscript"/>
              </w:rPr>
              <w:t>(9)</w:t>
            </w:r>
          </w:p>
        </w:tc>
        <w:tc>
          <w:tcPr>
            <w:tcW w:w="900" w:type="dxa"/>
            <w:vAlign w:val="bottom"/>
          </w:tcPr>
          <w:p>
            <w:pPr>
              <w:jc w:val="center"/>
              <w:ind w:left="86"/>
              <w:spacing w:after="0"/>
              <w:rPr>
                <w:sz w:val="20"/>
                <w:szCs w:val="20"/>
                <w:color w:val="auto"/>
              </w:rPr>
            </w:pPr>
            <w:r>
              <w:rPr>
                <w:rFonts w:ascii="Times New Roman" w:cs="Times New Roman" w:eastAsia="Times New Roman" w:hAnsi="Times New Roman"/>
                <w:sz w:val="11"/>
                <w:szCs w:val="11"/>
                <w:color w:val="auto"/>
                <w:w w:val="95"/>
              </w:rPr>
              <w:t>03/15/2027</w:t>
            </w:r>
          </w:p>
        </w:tc>
        <w:tc>
          <w:tcPr>
            <w:tcW w:w="140" w:type="dxa"/>
            <w:vAlign w:val="bottom"/>
          </w:tcPr>
          <w:p>
            <w:pPr>
              <w:spacing w:after="0"/>
              <w:rPr>
                <w:sz w:val="11"/>
                <w:szCs w:val="11"/>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5"/>
              </w:rPr>
              <w:t>Software</w:t>
            </w:r>
          </w:p>
        </w:tc>
        <w:tc>
          <w:tcPr>
            <w:tcW w:w="120" w:type="dxa"/>
            <w:vAlign w:val="bottom"/>
          </w:tcPr>
          <w:p>
            <w:pPr>
              <w:spacing w:after="0"/>
              <w:rPr>
                <w:sz w:val="11"/>
                <w:szCs w:val="11"/>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1"/>
                <w:szCs w:val="1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552</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(12 )</w:t>
            </w:r>
          </w:p>
        </w:tc>
        <w:tc>
          <w:tcPr>
            <w:tcW w:w="0" w:type="dxa"/>
            <w:vAlign w:val="bottom"/>
          </w:tcPr>
          <w:p>
            <w:pPr>
              <w:spacing w:after="0"/>
              <w:rPr>
                <w:sz w:val="1"/>
                <w:szCs w:val="1"/>
                <w:color w:val="auto"/>
              </w:rPr>
            </w:pPr>
          </w:p>
        </w:tc>
      </w:tr>
      <w:tr>
        <w:trPr>
          <w:trHeight w:val="153"/>
        </w:trPr>
        <w:tc>
          <w:tcPr>
            <w:tcW w:w="2880" w:type="dxa"/>
            <w:vAlign w:val="bottom"/>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Findex Group Limited </w:t>
            </w:r>
            <w:r>
              <w:rPr>
                <w:rFonts w:ascii="Times New Roman" w:cs="Times New Roman" w:eastAsia="Times New Roman" w:hAnsi="Times New Roman"/>
                <w:sz w:val="14"/>
                <w:szCs w:val="14"/>
                <w:color w:val="auto"/>
                <w:vertAlign w:val="superscript"/>
              </w:rPr>
              <w:t>(5)(10)(11)</w:t>
            </w:r>
          </w:p>
        </w:tc>
        <w:tc>
          <w:tcPr>
            <w:tcW w:w="900" w:type="dxa"/>
            <w:vAlign w:val="bottom"/>
          </w:tcPr>
          <w:p>
            <w:pPr>
              <w:jc w:val="center"/>
              <w:ind w:left="86"/>
              <w:spacing w:after="0"/>
              <w:rPr>
                <w:sz w:val="20"/>
                <w:szCs w:val="20"/>
                <w:color w:val="auto"/>
              </w:rPr>
            </w:pPr>
            <w:r>
              <w:rPr>
                <w:rFonts w:ascii="Times New Roman" w:cs="Times New Roman" w:eastAsia="Times New Roman" w:hAnsi="Times New Roman"/>
                <w:sz w:val="11"/>
                <w:szCs w:val="11"/>
                <w:color w:val="auto"/>
                <w:w w:val="95"/>
              </w:rPr>
              <w:t>05/31/2024</w:t>
            </w:r>
          </w:p>
        </w:tc>
        <w:tc>
          <w:tcPr>
            <w:tcW w:w="140" w:type="dxa"/>
            <w:vAlign w:val="bottom"/>
          </w:tcPr>
          <w:p>
            <w:pPr>
              <w:spacing w:after="0"/>
              <w:rPr>
                <w:sz w:val="13"/>
                <w:szCs w:val="13"/>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Diversified Financial Services</w:t>
            </w:r>
          </w:p>
        </w:tc>
        <w:tc>
          <w:tcPr>
            <w:tcW w:w="1100" w:type="dxa"/>
            <w:vAlign w:val="bottom"/>
            <w:gridSpan w:val="3"/>
          </w:tcPr>
          <w:p>
            <w:pPr>
              <w:jc w:val="right"/>
              <w:ind w:right="20"/>
              <w:spacing w:after="0"/>
              <w:rPr>
                <w:sz w:val="20"/>
                <w:szCs w:val="20"/>
                <w:color w:val="auto"/>
              </w:rPr>
            </w:pPr>
            <w:r>
              <w:rPr>
                <w:rFonts w:ascii="Times New Roman" w:cs="Times New Roman" w:eastAsia="Times New Roman" w:hAnsi="Times New Roman"/>
                <w:sz w:val="11"/>
                <w:szCs w:val="11"/>
                <w:color w:val="auto"/>
              </w:rPr>
              <w:t>7.17 %</w:t>
            </w:r>
          </w:p>
        </w:tc>
        <w:tc>
          <w:tcPr>
            <w:tcW w:w="14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L+450</w:t>
            </w:r>
          </w:p>
        </w:tc>
        <w:tc>
          <w:tcPr>
            <w:tcW w:w="220" w:type="dxa"/>
            <w:vAlign w:val="bottom"/>
          </w:tcPr>
          <w:p>
            <w:pPr>
              <w:spacing w:after="0"/>
              <w:rPr>
                <w:sz w:val="13"/>
                <w:szCs w:val="13"/>
                <w:color w:val="auto"/>
              </w:rPr>
            </w:pPr>
          </w:p>
        </w:tc>
        <w:tc>
          <w:tcPr>
            <w:tcW w:w="840" w:type="dxa"/>
            <w:vAlign w:val="bottom"/>
          </w:tcPr>
          <w:p>
            <w:pPr>
              <w:ind w:left="280"/>
              <w:spacing w:after="0"/>
              <w:rPr>
                <w:sz w:val="20"/>
                <w:szCs w:val="20"/>
                <w:color w:val="auto"/>
              </w:rPr>
            </w:pPr>
            <w:r>
              <w:rPr>
                <w:rFonts w:ascii="Times New Roman" w:cs="Times New Roman" w:eastAsia="Times New Roman" w:hAnsi="Times New Roman"/>
                <w:sz w:val="11"/>
                <w:szCs w:val="11"/>
                <w:color w:val="auto"/>
                <w:w w:val="94"/>
              </w:rPr>
              <w:t>AUD 10,000</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7,399</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6,430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2880" w:type="dxa"/>
            <w:vAlign w:val="bottom"/>
          </w:tcPr>
          <w:p>
            <w:pPr>
              <w:ind w:left="20"/>
              <w:spacing w:after="0" w:line="117" w:lineRule="exact"/>
              <w:rPr>
                <w:sz w:val="20"/>
                <w:szCs w:val="20"/>
                <w:color w:val="auto"/>
              </w:rPr>
            </w:pPr>
            <w:r>
              <w:rPr>
                <w:rFonts w:ascii="Times New Roman" w:cs="Times New Roman" w:eastAsia="Times New Roman" w:hAnsi="Times New Roman"/>
                <w:sz w:val="11"/>
                <w:szCs w:val="11"/>
                <w:color w:val="auto"/>
              </w:rPr>
              <w:t>Gantech Acquisition Corp.</w:t>
            </w:r>
          </w:p>
        </w:tc>
        <w:tc>
          <w:tcPr>
            <w:tcW w:w="900" w:type="dxa"/>
            <w:vAlign w:val="bottom"/>
          </w:tcPr>
          <w:p>
            <w:pPr>
              <w:jc w:val="center"/>
              <w:ind w:left="86"/>
              <w:spacing w:after="0" w:line="117" w:lineRule="exact"/>
              <w:rPr>
                <w:sz w:val="20"/>
                <w:szCs w:val="20"/>
                <w:color w:val="auto"/>
              </w:rPr>
            </w:pPr>
            <w:r>
              <w:rPr>
                <w:rFonts w:ascii="Times New Roman" w:cs="Times New Roman" w:eastAsia="Times New Roman" w:hAnsi="Times New Roman"/>
                <w:sz w:val="11"/>
                <w:szCs w:val="11"/>
                <w:color w:val="auto"/>
                <w:w w:val="95"/>
              </w:rPr>
              <w:t>05/14/2026</w:t>
            </w:r>
          </w:p>
        </w:tc>
        <w:tc>
          <w:tcPr>
            <w:tcW w:w="140" w:type="dxa"/>
            <w:vAlign w:val="bottom"/>
          </w:tcPr>
          <w:p>
            <w:pPr>
              <w:spacing w:after="0"/>
              <w:rPr>
                <w:sz w:val="10"/>
                <w:szCs w:val="10"/>
                <w:color w:val="auto"/>
              </w:rPr>
            </w:pPr>
          </w:p>
        </w:tc>
        <w:tc>
          <w:tcPr>
            <w:tcW w:w="202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color w:val="auto"/>
                <w:w w:val="99"/>
              </w:rPr>
              <w:t>IT Services</w:t>
            </w:r>
          </w:p>
        </w:tc>
        <w:tc>
          <w:tcPr>
            <w:tcW w:w="1100" w:type="dxa"/>
            <w:vAlign w:val="bottom"/>
            <w:gridSpan w:val="3"/>
          </w:tcPr>
          <w:p>
            <w:pPr>
              <w:jc w:val="right"/>
              <w:ind w:right="20"/>
              <w:spacing w:after="0" w:line="117" w:lineRule="exact"/>
              <w:rPr>
                <w:sz w:val="20"/>
                <w:szCs w:val="20"/>
                <w:color w:val="auto"/>
              </w:rPr>
            </w:pPr>
            <w:r>
              <w:rPr>
                <w:rFonts w:ascii="Times New Roman" w:cs="Times New Roman" w:eastAsia="Times New Roman" w:hAnsi="Times New Roman"/>
                <w:sz w:val="11"/>
                <w:szCs w:val="11"/>
                <w:color w:val="auto"/>
              </w:rPr>
              <w:t>9.37 %</w:t>
            </w:r>
          </w:p>
        </w:tc>
        <w:tc>
          <w:tcPr>
            <w:tcW w:w="140" w:type="dxa"/>
            <w:vAlign w:val="bottom"/>
          </w:tcPr>
          <w:p>
            <w:pPr>
              <w:spacing w:after="0"/>
              <w:rPr>
                <w:sz w:val="10"/>
                <w:szCs w:val="10"/>
                <w:color w:val="auto"/>
              </w:rPr>
            </w:pPr>
          </w:p>
        </w:tc>
        <w:tc>
          <w:tcPr>
            <w:tcW w:w="82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1M L+625</w:t>
            </w:r>
          </w:p>
        </w:tc>
        <w:tc>
          <w:tcPr>
            <w:tcW w:w="106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1"/>
                <w:szCs w:val="11"/>
                <w:color w:val="auto"/>
              </w:rPr>
              <w:t>21,982</w:t>
            </w: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21,632</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21,322</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88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Gantech Acquisition Corp. (Revolver) </w:t>
            </w:r>
            <w:r>
              <w:rPr>
                <w:rFonts w:ascii="Times New Roman" w:cs="Times New Roman" w:eastAsia="Times New Roman" w:hAnsi="Times New Roman"/>
                <w:sz w:val="14"/>
                <w:szCs w:val="14"/>
                <w:color w:val="auto"/>
                <w:vertAlign w:val="superscript"/>
              </w:rPr>
              <w:t>(7)</w:t>
            </w:r>
          </w:p>
        </w:tc>
        <w:tc>
          <w:tcPr>
            <w:tcW w:w="900" w:type="dxa"/>
            <w:vAlign w:val="bottom"/>
          </w:tcPr>
          <w:p>
            <w:pPr>
              <w:jc w:val="center"/>
              <w:ind w:left="86"/>
              <w:spacing w:after="0"/>
              <w:rPr>
                <w:sz w:val="20"/>
                <w:szCs w:val="20"/>
                <w:color w:val="auto"/>
              </w:rPr>
            </w:pPr>
            <w:r>
              <w:rPr>
                <w:rFonts w:ascii="Times New Roman" w:cs="Times New Roman" w:eastAsia="Times New Roman" w:hAnsi="Times New Roman"/>
                <w:sz w:val="11"/>
                <w:szCs w:val="11"/>
                <w:color w:val="auto"/>
                <w:w w:val="95"/>
              </w:rPr>
              <w:t>05/14/2026</w:t>
            </w:r>
          </w:p>
        </w:tc>
        <w:tc>
          <w:tcPr>
            <w:tcW w:w="140" w:type="dxa"/>
            <w:vAlign w:val="bottom"/>
          </w:tcPr>
          <w:p>
            <w:pPr>
              <w:spacing w:after="0"/>
              <w:rPr>
                <w:sz w:val="11"/>
                <w:szCs w:val="11"/>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IT Services</w:t>
            </w:r>
          </w:p>
        </w:tc>
        <w:tc>
          <w:tcPr>
            <w:tcW w:w="1100" w:type="dxa"/>
            <w:vAlign w:val="bottom"/>
            <w:gridSpan w:val="3"/>
          </w:tcPr>
          <w:p>
            <w:pPr>
              <w:jc w:val="right"/>
              <w:ind w:right="20"/>
              <w:spacing w:after="0"/>
              <w:rPr>
                <w:sz w:val="20"/>
                <w:szCs w:val="20"/>
                <w:color w:val="auto"/>
              </w:rPr>
            </w:pPr>
            <w:r>
              <w:rPr>
                <w:rFonts w:ascii="Times New Roman" w:cs="Times New Roman" w:eastAsia="Times New Roman" w:hAnsi="Times New Roman"/>
                <w:sz w:val="11"/>
                <w:szCs w:val="11"/>
                <w:color w:val="auto"/>
              </w:rPr>
              <w:t>9.37 %</w:t>
            </w:r>
          </w:p>
        </w:tc>
        <w:tc>
          <w:tcPr>
            <w:tcW w:w="140" w:type="dxa"/>
            <w:vAlign w:val="bottom"/>
          </w:tcPr>
          <w:p>
            <w:pPr>
              <w:spacing w:after="0"/>
              <w:rPr>
                <w:sz w:val="11"/>
                <w:szCs w:val="1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1M L+625</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249</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249</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880" w:type="dxa"/>
            <w:vAlign w:val="bottom"/>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Gantech Acquisition Corp. (Revolver) </w:t>
            </w:r>
            <w:r>
              <w:rPr>
                <w:rFonts w:ascii="Times New Roman" w:cs="Times New Roman" w:eastAsia="Times New Roman" w:hAnsi="Times New Roman"/>
                <w:sz w:val="14"/>
                <w:szCs w:val="14"/>
                <w:color w:val="auto"/>
                <w:vertAlign w:val="superscript"/>
              </w:rPr>
              <w:t>(7), (9)</w:t>
            </w:r>
          </w:p>
        </w:tc>
        <w:tc>
          <w:tcPr>
            <w:tcW w:w="900" w:type="dxa"/>
            <w:vAlign w:val="bottom"/>
          </w:tcPr>
          <w:p>
            <w:pPr>
              <w:jc w:val="center"/>
              <w:ind w:left="86"/>
              <w:spacing w:after="0"/>
              <w:rPr>
                <w:sz w:val="20"/>
                <w:szCs w:val="20"/>
                <w:color w:val="auto"/>
              </w:rPr>
            </w:pPr>
            <w:r>
              <w:rPr>
                <w:rFonts w:ascii="Times New Roman" w:cs="Times New Roman" w:eastAsia="Times New Roman" w:hAnsi="Times New Roman"/>
                <w:sz w:val="11"/>
                <w:szCs w:val="11"/>
                <w:color w:val="auto"/>
                <w:w w:val="95"/>
              </w:rPr>
              <w:t>05/14/2026</w:t>
            </w:r>
          </w:p>
        </w:tc>
        <w:tc>
          <w:tcPr>
            <w:tcW w:w="140" w:type="dxa"/>
            <w:vAlign w:val="bottom"/>
          </w:tcPr>
          <w:p>
            <w:pPr>
              <w:spacing w:after="0"/>
              <w:rPr>
                <w:sz w:val="13"/>
                <w:szCs w:val="13"/>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IT Services</w:t>
            </w:r>
          </w:p>
        </w:tc>
        <w:tc>
          <w:tcPr>
            <w:tcW w:w="120" w:type="dxa"/>
            <w:vAlign w:val="bottom"/>
          </w:tcPr>
          <w:p>
            <w:pPr>
              <w:spacing w:after="0"/>
              <w:rPr>
                <w:sz w:val="13"/>
                <w:szCs w:val="13"/>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3,484</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(105 )</w:t>
            </w:r>
          </w:p>
        </w:tc>
        <w:tc>
          <w:tcPr>
            <w:tcW w:w="0" w:type="dxa"/>
            <w:vAlign w:val="bottom"/>
          </w:tcPr>
          <w:p>
            <w:pPr>
              <w:spacing w:after="0"/>
              <w:rPr>
                <w:sz w:val="1"/>
                <w:szCs w:val="1"/>
                <w:color w:val="auto"/>
              </w:rPr>
            </w:pPr>
          </w:p>
        </w:tc>
      </w:tr>
      <w:tr>
        <w:trPr>
          <w:trHeight w:val="140"/>
        </w:trPr>
        <w:tc>
          <w:tcPr>
            <w:tcW w:w="28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Global Holdings InterCo LLC</w:t>
            </w:r>
          </w:p>
        </w:tc>
        <w:tc>
          <w:tcPr>
            <w:tcW w:w="900" w:type="dxa"/>
            <w:vAlign w:val="bottom"/>
          </w:tcPr>
          <w:p>
            <w:pPr>
              <w:jc w:val="center"/>
              <w:ind w:left="86"/>
              <w:spacing w:after="0"/>
              <w:rPr>
                <w:sz w:val="20"/>
                <w:szCs w:val="20"/>
                <w:color w:val="auto"/>
              </w:rPr>
            </w:pPr>
            <w:r>
              <w:rPr>
                <w:rFonts w:ascii="Times New Roman" w:cs="Times New Roman" w:eastAsia="Times New Roman" w:hAnsi="Times New Roman"/>
                <w:sz w:val="11"/>
                <w:szCs w:val="11"/>
                <w:color w:val="auto"/>
                <w:w w:val="95"/>
              </w:rPr>
              <w:t>03/16/2026</w:t>
            </w:r>
          </w:p>
        </w:tc>
        <w:tc>
          <w:tcPr>
            <w:tcW w:w="140" w:type="dxa"/>
            <w:vAlign w:val="bottom"/>
          </w:tcPr>
          <w:p>
            <w:pPr>
              <w:spacing w:after="0"/>
              <w:rPr>
                <w:sz w:val="12"/>
                <w:szCs w:val="12"/>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Diversified Financial Services</w:t>
            </w:r>
          </w:p>
        </w:tc>
        <w:tc>
          <w:tcPr>
            <w:tcW w:w="1100" w:type="dxa"/>
            <w:vAlign w:val="bottom"/>
            <w:gridSpan w:val="3"/>
          </w:tcPr>
          <w:p>
            <w:pPr>
              <w:jc w:val="right"/>
              <w:ind w:right="20"/>
              <w:spacing w:after="0"/>
              <w:rPr>
                <w:sz w:val="20"/>
                <w:szCs w:val="20"/>
                <w:color w:val="auto"/>
              </w:rPr>
            </w:pPr>
            <w:r>
              <w:rPr>
                <w:rFonts w:ascii="Times New Roman" w:cs="Times New Roman" w:eastAsia="Times New Roman" w:hAnsi="Times New Roman"/>
                <w:sz w:val="11"/>
                <w:szCs w:val="11"/>
                <w:color w:val="auto"/>
              </w:rPr>
              <w:t>8.74 %</w:t>
            </w:r>
          </w:p>
        </w:tc>
        <w:tc>
          <w:tcPr>
            <w:tcW w:w="14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L+600</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3,427</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3,388</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3,273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44"/>
        </w:trPr>
        <w:tc>
          <w:tcPr>
            <w:tcW w:w="288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0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-7568565</wp:posOffset>
            </wp:positionV>
            <wp:extent cx="7132320" cy="9398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-7388860</wp:posOffset>
            </wp:positionV>
            <wp:extent cx="7132320" cy="8572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-7217410</wp:posOffset>
            </wp:positionV>
            <wp:extent cx="7132320" cy="8572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-7045960</wp:posOffset>
            </wp:positionV>
            <wp:extent cx="7132320" cy="8572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-6874510</wp:posOffset>
            </wp:positionV>
            <wp:extent cx="7132320" cy="8572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-6454140</wp:posOffset>
            </wp:positionV>
            <wp:extent cx="7132320" cy="8572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-6282690</wp:posOffset>
            </wp:positionV>
            <wp:extent cx="7132320" cy="8572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-5939790</wp:posOffset>
            </wp:positionV>
            <wp:extent cx="7132320" cy="8572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-5520055</wp:posOffset>
            </wp:positionV>
            <wp:extent cx="7132320" cy="8572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-5348605</wp:posOffset>
            </wp:positionV>
            <wp:extent cx="7132320" cy="8572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-5177155</wp:posOffset>
            </wp:positionV>
            <wp:extent cx="7132320" cy="8572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-5005705</wp:posOffset>
            </wp:positionV>
            <wp:extent cx="7132320" cy="8572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-4662805</wp:posOffset>
            </wp:positionV>
            <wp:extent cx="7132320" cy="8572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-4491355</wp:posOffset>
            </wp:positionV>
            <wp:extent cx="7132320" cy="17145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-4234180</wp:posOffset>
            </wp:positionV>
            <wp:extent cx="7132320" cy="8572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-4062730</wp:posOffset>
            </wp:positionV>
            <wp:extent cx="7132320" cy="8572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-3891280</wp:posOffset>
            </wp:positionV>
            <wp:extent cx="7132320" cy="8572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-3719830</wp:posOffset>
            </wp:positionV>
            <wp:extent cx="7132320" cy="8572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-3548380</wp:posOffset>
            </wp:positionV>
            <wp:extent cx="7132320" cy="8572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-3376930</wp:posOffset>
            </wp:positionV>
            <wp:extent cx="7132320" cy="8572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-3205480</wp:posOffset>
            </wp:positionV>
            <wp:extent cx="7132320" cy="8572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-3034030</wp:posOffset>
            </wp:positionV>
            <wp:extent cx="7132320" cy="8572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-2862580</wp:posOffset>
            </wp:positionV>
            <wp:extent cx="7132320" cy="8572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-2691130</wp:posOffset>
            </wp:positionV>
            <wp:extent cx="7132320" cy="8572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-2348230</wp:posOffset>
            </wp:positionV>
            <wp:extent cx="7132320" cy="8572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-2176780</wp:posOffset>
            </wp:positionV>
            <wp:extent cx="7132320" cy="8572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-1833880</wp:posOffset>
            </wp:positionV>
            <wp:extent cx="7132320" cy="16319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-1508125</wp:posOffset>
            </wp:positionV>
            <wp:extent cx="7132320" cy="8572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-1336675</wp:posOffset>
            </wp:positionV>
            <wp:extent cx="7132320" cy="8572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-1165225</wp:posOffset>
            </wp:positionV>
            <wp:extent cx="7132320" cy="8572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-993775</wp:posOffset>
            </wp:positionV>
            <wp:extent cx="7132320" cy="8572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-822325</wp:posOffset>
            </wp:positionV>
            <wp:extent cx="7132320" cy="8572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-650875</wp:posOffset>
            </wp:positionV>
            <wp:extent cx="7132320" cy="8572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4"/>
          <w:szCs w:val="14"/>
          <w:b w:val="1"/>
          <w:bCs w:val="1"/>
          <w:color w:val="auto"/>
        </w:rPr>
        <w:t>PENNANTPARK FLOATING RATE CAPITAL LTD. AND SUBSIDIARIES</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CONSOLIDATED SCHEDULE OF INVESTMENTS—(Continued)</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SEPTEMBER 30, 2022</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(in thousands, except share data)</w:t>
      </w:r>
    </w:p>
    <w:tbl>
      <w:tblPr>
        <w:tblLayout w:type="fixed"/>
        <w:tblInd w:w="0" w:type="dxa"/>
        <w:tblCellMar>
          <w:top w:w="0" w:type="dxa"/>
          <w:left w:w="0" w:type="dxa"/>
          <w:bottom w:w="0" w:type="dxa"/>
          <w:right w:w="0" w:type="dxa"/>
        </w:tblCellMar>
      </w:tblPr>
      <w:tr>
        <w:trPr>
          <w:trHeight w:val="102"/>
        </w:trPr>
        <w:tc>
          <w:tcPr>
            <w:tcW w:w="2940" w:type="dxa"/>
            <w:vAlign w:val="bottom"/>
          </w:tcPr>
          <w:p>
            <w:pPr>
              <w:spacing w:after="0"/>
              <w:rPr>
                <w:sz w:val="8"/>
                <w:szCs w:val="8"/>
                <w:color w:val="auto"/>
              </w:rPr>
            </w:pPr>
          </w:p>
        </w:tc>
        <w:tc>
          <w:tcPr>
            <w:tcW w:w="140" w:type="dxa"/>
            <w:vAlign w:val="bottom"/>
          </w:tcPr>
          <w:p>
            <w:pPr>
              <w:spacing w:after="0"/>
              <w:rPr>
                <w:sz w:val="8"/>
                <w:szCs w:val="8"/>
                <w:color w:val="auto"/>
              </w:rPr>
            </w:pPr>
          </w:p>
        </w:tc>
        <w:tc>
          <w:tcPr>
            <w:tcW w:w="76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20" w:type="dxa"/>
            <w:vAlign w:val="bottom"/>
          </w:tcPr>
          <w:p>
            <w:pPr>
              <w:spacing w:after="0"/>
              <w:rPr>
                <w:sz w:val="8"/>
                <w:szCs w:val="8"/>
                <w:color w:val="auto"/>
              </w:rPr>
            </w:pPr>
          </w:p>
        </w:tc>
        <w:tc>
          <w:tcPr>
            <w:tcW w:w="240" w:type="dxa"/>
            <w:vAlign w:val="bottom"/>
          </w:tcPr>
          <w:p>
            <w:pPr>
              <w:spacing w:after="0"/>
              <w:rPr>
                <w:sz w:val="8"/>
                <w:szCs w:val="8"/>
                <w:color w:val="auto"/>
              </w:rPr>
            </w:pPr>
          </w:p>
        </w:tc>
        <w:tc>
          <w:tcPr>
            <w:tcW w:w="860" w:type="dxa"/>
            <w:vAlign w:val="bottom"/>
          </w:tcPr>
          <w:p>
            <w:pPr>
              <w:jc w:val="center"/>
              <w:spacing w:after="0" w:line="102" w:lineRule="exact"/>
              <w:rPr>
                <w:sz w:val="20"/>
                <w:szCs w:val="20"/>
                <w:color w:val="auto"/>
              </w:rPr>
            </w:pPr>
            <w:r>
              <w:rPr>
                <w:rFonts w:ascii="Times New Roman" w:cs="Times New Roman" w:eastAsia="Times New Roman" w:hAnsi="Times New Roman"/>
                <w:sz w:val="11"/>
                <w:szCs w:val="11"/>
                <w:b w:val="1"/>
                <w:bCs w:val="1"/>
                <w:color w:val="auto"/>
                <w:w w:val="95"/>
              </w:rPr>
              <w:t>Basis Point</w:t>
            </w:r>
          </w:p>
        </w:tc>
        <w:tc>
          <w:tcPr>
            <w:tcW w:w="22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9"/>
        </w:trPr>
        <w:tc>
          <w:tcPr>
            <w:tcW w:w="29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60" w:type="dxa"/>
            <w:vAlign w:val="bottom"/>
          </w:tcPr>
          <w:p>
            <w:pPr>
              <w:jc w:val="center"/>
              <w:spacing w:after="0" w:line="120" w:lineRule="exact"/>
              <w:rPr>
                <w:sz w:val="20"/>
                <w:szCs w:val="20"/>
                <w:color w:val="auto"/>
              </w:rPr>
            </w:pPr>
            <w:r>
              <w:rPr>
                <w:rFonts w:ascii="Times New Roman" w:cs="Times New Roman" w:eastAsia="Times New Roman" w:hAnsi="Times New Roman"/>
                <w:sz w:val="11"/>
                <w:szCs w:val="11"/>
                <w:b w:val="1"/>
                <w:bCs w:val="1"/>
                <w:color w:val="auto"/>
                <w:w w:val="95"/>
              </w:rPr>
              <w:t>Spread</w:t>
            </w:r>
          </w:p>
        </w:tc>
        <w:tc>
          <w:tcPr>
            <w:tcW w:w="2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0"/>
        </w:trPr>
        <w:tc>
          <w:tcPr>
            <w:tcW w:w="2940" w:type="dxa"/>
            <w:vAlign w:val="bottom"/>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60" w:type="dxa"/>
            <w:vAlign w:val="bottom"/>
            <w:gridSpan w:val="2"/>
          </w:tcPr>
          <w:p>
            <w:pPr>
              <w:jc w:val="right"/>
              <w:ind w:right="460"/>
              <w:spacing w:after="0" w:line="111" w:lineRule="exact"/>
              <w:rPr>
                <w:sz w:val="20"/>
                <w:szCs w:val="20"/>
                <w:color w:val="auto"/>
              </w:rPr>
            </w:pPr>
            <w:r>
              <w:rPr>
                <w:rFonts w:ascii="Times New Roman" w:cs="Times New Roman" w:eastAsia="Times New Roman" w:hAnsi="Times New Roman"/>
                <w:sz w:val="11"/>
                <w:szCs w:val="11"/>
                <w:b w:val="1"/>
                <w:bCs w:val="1"/>
                <w:color w:val="auto"/>
              </w:rPr>
              <w:t>Current</w:t>
            </w:r>
          </w:p>
        </w:tc>
        <w:tc>
          <w:tcPr>
            <w:tcW w:w="860" w:type="dxa"/>
            <w:vAlign w:val="bottom"/>
          </w:tcPr>
          <w:p>
            <w:pPr>
              <w:jc w:val="center"/>
              <w:spacing w:after="0" w:line="111" w:lineRule="exact"/>
              <w:rPr>
                <w:sz w:val="20"/>
                <w:szCs w:val="20"/>
                <w:color w:val="auto"/>
              </w:rPr>
            </w:pPr>
            <w:r>
              <w:rPr>
                <w:rFonts w:ascii="Times New Roman" w:cs="Times New Roman" w:eastAsia="Times New Roman" w:hAnsi="Times New Roman"/>
                <w:sz w:val="11"/>
                <w:szCs w:val="11"/>
                <w:b w:val="1"/>
                <w:bCs w:val="1"/>
                <w:color w:val="auto"/>
                <w:w w:val="93"/>
              </w:rPr>
              <w:t>Above</w:t>
            </w:r>
          </w:p>
        </w:tc>
        <w:tc>
          <w:tcPr>
            <w:tcW w:w="220" w:type="dxa"/>
            <w:vAlign w:val="bottom"/>
          </w:tcPr>
          <w:p>
            <w:pPr>
              <w:spacing w:after="0"/>
              <w:rPr>
                <w:sz w:val="9"/>
                <w:szCs w:val="9"/>
                <w:color w:val="auto"/>
              </w:rPr>
            </w:pPr>
          </w:p>
        </w:tc>
        <w:tc>
          <w:tcPr>
            <w:tcW w:w="800" w:type="dxa"/>
            <w:vAlign w:val="bottom"/>
          </w:tcPr>
          <w:p>
            <w:pPr>
              <w:jc w:val="right"/>
              <w:ind w:right="246"/>
              <w:spacing w:after="0" w:line="111" w:lineRule="exact"/>
              <w:rPr>
                <w:sz w:val="20"/>
                <w:szCs w:val="20"/>
                <w:color w:val="auto"/>
              </w:rPr>
            </w:pPr>
            <w:r>
              <w:rPr>
                <w:rFonts w:ascii="Times New Roman" w:cs="Times New Roman" w:eastAsia="Times New Roman" w:hAnsi="Times New Roman"/>
                <w:sz w:val="11"/>
                <w:szCs w:val="11"/>
                <w:b w:val="1"/>
                <w:bCs w:val="1"/>
                <w:color w:val="auto"/>
              </w:rPr>
              <w:t>Par /</w:t>
            </w: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840" w:type="dxa"/>
            <w:vAlign w:val="bottom"/>
            <w:gridSpan w:val="2"/>
            <w:vMerge w:val="restart"/>
          </w:tcPr>
          <w:p>
            <w:pPr>
              <w:jc w:val="right"/>
              <w:ind w:right="182"/>
              <w:spacing w:after="0"/>
              <w:rPr>
                <w:sz w:val="20"/>
                <w:szCs w:val="20"/>
                <w:color w:val="auto"/>
              </w:rPr>
            </w:pPr>
            <w:r>
              <w:rPr>
                <w:rFonts w:ascii="Times New Roman" w:cs="Times New Roman" w:eastAsia="Times New Roman" w:hAnsi="Times New Roman"/>
                <w:sz w:val="11"/>
                <w:szCs w:val="11"/>
                <w:b w:val="1"/>
                <w:bCs w:val="1"/>
                <w:color w:val="auto"/>
                <w:w w:val="93"/>
              </w:rPr>
              <w:t xml:space="preserve">Fair Value </w:t>
            </w:r>
            <w:r>
              <w:rPr>
                <w:rFonts w:ascii="Times New Roman" w:cs="Times New Roman" w:eastAsia="Times New Roman" w:hAnsi="Times New Roman"/>
                <w:sz w:val="14"/>
                <w:szCs w:val="14"/>
                <w:b w:val="1"/>
                <w:bCs w:val="1"/>
                <w:color w:val="auto"/>
                <w:w w:val="93"/>
                <w:vertAlign w:val="superscript"/>
              </w:rPr>
              <w:t>(2)</w:t>
            </w:r>
          </w:p>
        </w:tc>
        <w:tc>
          <w:tcPr>
            <w:tcW w:w="0" w:type="dxa"/>
            <w:vAlign w:val="bottom"/>
          </w:tcPr>
          <w:p>
            <w:pPr>
              <w:spacing w:after="0"/>
              <w:rPr>
                <w:sz w:val="1"/>
                <w:szCs w:val="1"/>
                <w:color w:val="auto"/>
              </w:rPr>
            </w:pPr>
          </w:p>
        </w:tc>
      </w:tr>
      <w:tr>
        <w:trPr>
          <w:trHeight w:val="156"/>
        </w:trPr>
        <w:tc>
          <w:tcPr>
            <w:tcW w:w="294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Issuer Name</w:t>
            </w:r>
          </w:p>
        </w:tc>
        <w:tc>
          <w:tcPr>
            <w:tcW w:w="140" w:type="dxa"/>
            <w:vAlign w:val="bottom"/>
          </w:tcPr>
          <w:p>
            <w:pPr>
              <w:spacing w:after="0"/>
              <w:rPr>
                <w:sz w:val="13"/>
                <w:szCs w:val="13"/>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Maturity</w:t>
            </w:r>
          </w:p>
        </w:tc>
        <w:tc>
          <w:tcPr>
            <w:tcW w:w="160" w:type="dxa"/>
            <w:vAlign w:val="bottom"/>
          </w:tcPr>
          <w:p>
            <w:pPr>
              <w:spacing w:after="0"/>
              <w:rPr>
                <w:sz w:val="13"/>
                <w:szCs w:val="13"/>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Industry</w:t>
            </w:r>
          </w:p>
        </w:tc>
        <w:tc>
          <w:tcPr>
            <w:tcW w:w="140" w:type="dxa"/>
            <w:vAlign w:val="bottom"/>
          </w:tcPr>
          <w:p>
            <w:pPr>
              <w:spacing w:after="0"/>
              <w:rPr>
                <w:sz w:val="13"/>
                <w:szCs w:val="13"/>
                <w:color w:val="auto"/>
              </w:rPr>
            </w:pPr>
          </w:p>
        </w:tc>
        <w:tc>
          <w:tcPr>
            <w:tcW w:w="1060" w:type="dxa"/>
            <w:vAlign w:val="bottom"/>
            <w:gridSpan w:val="2"/>
          </w:tcPr>
          <w:p>
            <w:pPr>
              <w:jc w:val="right"/>
              <w:ind w:right="460"/>
              <w:spacing w:after="0"/>
              <w:rPr>
                <w:sz w:val="20"/>
                <w:szCs w:val="20"/>
                <w:color w:val="auto"/>
              </w:rPr>
            </w:pPr>
            <w:r>
              <w:rPr>
                <w:rFonts w:ascii="Times New Roman" w:cs="Times New Roman" w:eastAsia="Times New Roman" w:hAnsi="Times New Roman"/>
                <w:sz w:val="11"/>
                <w:szCs w:val="11"/>
                <w:b w:val="1"/>
                <w:bCs w:val="1"/>
                <w:color w:val="auto"/>
              </w:rPr>
              <w:t>Coupon</w:t>
            </w:r>
          </w:p>
        </w:tc>
        <w:tc>
          <w:tcPr>
            <w:tcW w:w="860" w:type="dxa"/>
            <w:vAlign w:val="bottom"/>
          </w:tcPr>
          <w:p>
            <w:pPr>
              <w:jc w:val="center"/>
              <w:spacing w:after="0" w:line="143" w:lineRule="exact"/>
              <w:rPr>
                <w:sz w:val="20"/>
                <w:szCs w:val="20"/>
                <w:color w:val="auto"/>
              </w:rPr>
            </w:pPr>
            <w:r>
              <w:rPr>
                <w:rFonts w:ascii="Times New Roman" w:cs="Times New Roman" w:eastAsia="Times New Roman" w:hAnsi="Times New Roman"/>
                <w:sz w:val="11"/>
                <w:szCs w:val="11"/>
                <w:b w:val="1"/>
                <w:bCs w:val="1"/>
                <w:color w:val="auto"/>
                <w:w w:val="93"/>
              </w:rPr>
              <w:t xml:space="preserve">Index </w:t>
            </w:r>
            <w:r>
              <w:rPr>
                <w:rFonts w:ascii="Times New Roman" w:cs="Times New Roman" w:eastAsia="Times New Roman" w:hAnsi="Times New Roman"/>
                <w:sz w:val="14"/>
                <w:szCs w:val="14"/>
                <w:b w:val="1"/>
                <w:bCs w:val="1"/>
                <w:color w:val="auto"/>
                <w:w w:val="93"/>
                <w:vertAlign w:val="superscript"/>
              </w:rPr>
              <w:t>(1)</w:t>
            </w:r>
          </w:p>
        </w:tc>
        <w:tc>
          <w:tcPr>
            <w:tcW w:w="220" w:type="dxa"/>
            <w:vAlign w:val="bottom"/>
          </w:tcPr>
          <w:p>
            <w:pPr>
              <w:spacing w:after="0"/>
              <w:rPr>
                <w:sz w:val="13"/>
                <w:szCs w:val="13"/>
                <w:color w:val="auto"/>
              </w:rPr>
            </w:pPr>
          </w:p>
        </w:tc>
        <w:tc>
          <w:tcPr>
            <w:tcW w:w="800" w:type="dxa"/>
            <w:vAlign w:val="bottom"/>
          </w:tcPr>
          <w:p>
            <w:pPr>
              <w:jc w:val="right"/>
              <w:ind w:right="186"/>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jc w:val="right"/>
              <w:ind w:right="226"/>
              <w:spacing w:after="0"/>
              <w:rPr>
                <w:sz w:val="20"/>
                <w:szCs w:val="20"/>
                <w:color w:val="auto"/>
              </w:rPr>
            </w:pPr>
            <w:r>
              <w:rPr>
                <w:rFonts w:ascii="Times New Roman" w:cs="Times New Roman" w:eastAsia="Times New Roman" w:hAnsi="Times New Roman"/>
                <w:sz w:val="11"/>
                <w:szCs w:val="11"/>
                <w:b w:val="1"/>
                <w:bCs w:val="1"/>
                <w:color w:val="auto"/>
              </w:rPr>
              <w:t>Cost</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03"/>
        </w:trPr>
        <w:tc>
          <w:tcPr>
            <w:tcW w:w="2940" w:type="dxa"/>
            <w:vAlign w:val="bottom"/>
          </w:tcPr>
          <w:p>
            <w:pPr>
              <w:ind w:left="20"/>
              <w:spacing w:after="0" w:line="103" w:lineRule="exact"/>
              <w:rPr>
                <w:sz w:val="20"/>
                <w:szCs w:val="20"/>
                <w:color w:val="auto"/>
              </w:rPr>
            </w:pPr>
            <w:r>
              <w:rPr>
                <w:rFonts w:ascii="Times New Roman" w:cs="Times New Roman" w:eastAsia="Times New Roman" w:hAnsi="Times New Roman"/>
                <w:sz w:val="9"/>
                <w:szCs w:val="9"/>
                <w:color w:val="auto"/>
              </w:rPr>
              <w:t xml:space="preserve">Graffiti Buyer, Inc. </w:t>
            </w:r>
            <w:r>
              <w:rPr>
                <w:rFonts w:ascii="Times New Roman" w:cs="Times New Roman" w:eastAsia="Times New Roman" w:hAnsi="Times New Roman"/>
                <w:sz w:val="11"/>
                <w:szCs w:val="11"/>
                <w:color w:val="auto"/>
                <w:vertAlign w:val="superscript"/>
              </w:rPr>
              <w:t>(7), (9)</w:t>
            </w:r>
          </w:p>
        </w:tc>
        <w:tc>
          <w:tcPr>
            <w:tcW w:w="140" w:type="dxa"/>
            <w:vAlign w:val="bottom"/>
          </w:tcPr>
          <w:p>
            <w:pPr>
              <w:spacing w:after="0"/>
              <w:rPr>
                <w:sz w:val="8"/>
                <w:szCs w:val="8"/>
                <w:color w:val="auto"/>
              </w:rPr>
            </w:pPr>
          </w:p>
        </w:tc>
        <w:tc>
          <w:tcPr>
            <w:tcW w:w="760" w:type="dxa"/>
            <w:vAlign w:val="bottom"/>
            <w:tcBorders>
              <w:top w:val="single" w:sz="8" w:color="auto"/>
            </w:tcBorders>
          </w:tcPr>
          <w:p>
            <w:pPr>
              <w:jc w:val="center"/>
              <w:spacing w:after="0" w:line="103" w:lineRule="exact"/>
              <w:rPr>
                <w:sz w:val="20"/>
                <w:szCs w:val="20"/>
                <w:color w:val="auto"/>
              </w:rPr>
            </w:pPr>
            <w:r>
              <w:rPr>
                <w:rFonts w:ascii="Times New Roman" w:cs="Times New Roman" w:eastAsia="Times New Roman" w:hAnsi="Times New Roman"/>
                <w:sz w:val="11"/>
                <w:szCs w:val="11"/>
                <w:color w:val="auto"/>
                <w:w w:val="99"/>
              </w:rPr>
              <w:t>08/10/2023</w:t>
            </w:r>
          </w:p>
        </w:tc>
        <w:tc>
          <w:tcPr>
            <w:tcW w:w="160" w:type="dxa"/>
            <w:vAlign w:val="bottom"/>
          </w:tcPr>
          <w:p>
            <w:pPr>
              <w:spacing w:after="0"/>
              <w:rPr>
                <w:sz w:val="8"/>
                <w:szCs w:val="8"/>
                <w:color w:val="auto"/>
              </w:rPr>
            </w:pPr>
          </w:p>
        </w:tc>
        <w:tc>
          <w:tcPr>
            <w:tcW w:w="2020" w:type="dxa"/>
            <w:vAlign w:val="bottom"/>
            <w:tcBorders>
              <w:top w:val="single" w:sz="8" w:color="auto"/>
            </w:tcBorders>
          </w:tcPr>
          <w:p>
            <w:pPr>
              <w:jc w:val="center"/>
              <w:spacing w:after="0" w:line="103" w:lineRule="exact"/>
              <w:rPr>
                <w:sz w:val="20"/>
                <w:szCs w:val="20"/>
                <w:color w:val="auto"/>
              </w:rPr>
            </w:pPr>
            <w:r>
              <w:rPr>
                <w:rFonts w:ascii="Times New Roman" w:cs="Times New Roman" w:eastAsia="Times New Roman" w:hAnsi="Times New Roman"/>
                <w:sz w:val="11"/>
                <w:szCs w:val="11"/>
                <w:color w:val="auto"/>
                <w:w w:val="97"/>
              </w:rPr>
              <w:t>Trading Companies &amp; Distributors</w:t>
            </w:r>
          </w:p>
        </w:tc>
        <w:tc>
          <w:tcPr>
            <w:tcW w:w="140" w:type="dxa"/>
            <w:vAlign w:val="bottom"/>
          </w:tcPr>
          <w:p>
            <w:pPr>
              <w:spacing w:after="0"/>
              <w:rPr>
                <w:sz w:val="8"/>
                <w:szCs w:val="8"/>
                <w:color w:val="auto"/>
              </w:rPr>
            </w:pPr>
          </w:p>
        </w:tc>
        <w:tc>
          <w:tcPr>
            <w:tcW w:w="820" w:type="dxa"/>
            <w:vAlign w:val="bottom"/>
            <w:tcBorders>
              <w:top w:val="single" w:sz="8" w:color="auto"/>
            </w:tcBorders>
          </w:tcPr>
          <w:p>
            <w:pPr>
              <w:jc w:val="right"/>
              <w:spacing w:after="0" w:line="103" w:lineRule="exact"/>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8"/>
                <w:szCs w:val="8"/>
                <w:color w:val="auto"/>
              </w:rPr>
            </w:pPr>
          </w:p>
        </w:tc>
        <w:tc>
          <w:tcPr>
            <w:tcW w:w="860" w:type="dxa"/>
            <w:vAlign w:val="bottom"/>
            <w:tcBorders>
              <w:top w:val="single" w:sz="8" w:color="auto"/>
            </w:tcBorders>
          </w:tcPr>
          <w:p>
            <w:pPr>
              <w:jc w:val="right"/>
              <w:spacing w:after="0" w:line="103"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8"/>
                <w:szCs w:val="8"/>
                <w:color w:val="auto"/>
              </w:rPr>
            </w:pPr>
          </w:p>
        </w:tc>
        <w:tc>
          <w:tcPr>
            <w:tcW w:w="800" w:type="dxa"/>
            <w:vAlign w:val="bottom"/>
            <w:tcBorders>
              <w:top w:val="single" w:sz="8" w:color="auto"/>
            </w:tcBorders>
          </w:tcPr>
          <w:p>
            <w:pPr>
              <w:jc w:val="right"/>
              <w:spacing w:after="0" w:line="103" w:lineRule="exact"/>
              <w:rPr>
                <w:sz w:val="20"/>
                <w:szCs w:val="20"/>
                <w:color w:val="auto"/>
              </w:rPr>
            </w:pPr>
            <w:r>
              <w:rPr>
                <w:rFonts w:ascii="Times New Roman" w:cs="Times New Roman" w:eastAsia="Times New Roman" w:hAnsi="Times New Roman"/>
                <w:sz w:val="11"/>
                <w:szCs w:val="11"/>
                <w:color w:val="auto"/>
              </w:rPr>
              <w:t>1,071</w:t>
            </w:r>
          </w:p>
        </w:tc>
        <w:tc>
          <w:tcPr>
            <w:tcW w:w="200" w:type="dxa"/>
            <w:vAlign w:val="bottom"/>
          </w:tcPr>
          <w:p>
            <w:pPr>
              <w:spacing w:after="0"/>
              <w:rPr>
                <w:sz w:val="8"/>
                <w:szCs w:val="8"/>
                <w:color w:val="auto"/>
              </w:rPr>
            </w:pPr>
          </w:p>
        </w:tc>
        <w:tc>
          <w:tcPr>
            <w:tcW w:w="180" w:type="dxa"/>
            <w:vAlign w:val="bottom"/>
            <w:tcBorders>
              <w:top w:val="single" w:sz="8" w:color="auto"/>
            </w:tcBorders>
          </w:tcPr>
          <w:p>
            <w:pPr>
              <w:jc w:val="right"/>
              <w:ind w:right="46"/>
              <w:spacing w:after="0" w:line="103" w:lineRule="exact"/>
              <w:rPr>
                <w:sz w:val="20"/>
                <w:szCs w:val="20"/>
                <w:color w:val="auto"/>
              </w:rPr>
            </w:pPr>
            <w:r>
              <w:rPr>
                <w:rFonts w:ascii="Times New Roman" w:cs="Times New Roman" w:eastAsia="Times New Roman" w:hAnsi="Times New Roman"/>
                <w:sz w:val="11"/>
                <w:szCs w:val="11"/>
                <w:color w:val="auto"/>
              </w:rPr>
              <w:t>$</w:t>
            </w:r>
          </w:p>
        </w:tc>
        <w:tc>
          <w:tcPr>
            <w:tcW w:w="620" w:type="dxa"/>
            <w:vAlign w:val="bottom"/>
            <w:tcBorders>
              <w:top w:val="single" w:sz="8" w:color="auto"/>
            </w:tcBorders>
          </w:tcPr>
          <w:p>
            <w:pPr>
              <w:jc w:val="right"/>
              <w:spacing w:after="0" w:line="103"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8"/>
                <w:szCs w:val="8"/>
                <w:color w:val="auto"/>
              </w:rPr>
            </w:pPr>
          </w:p>
        </w:tc>
        <w:tc>
          <w:tcPr>
            <w:tcW w:w="80" w:type="dxa"/>
            <w:vAlign w:val="bottom"/>
            <w:tcBorders>
              <w:top w:val="single" w:sz="8" w:color="auto"/>
            </w:tcBorders>
          </w:tcPr>
          <w:p>
            <w:pPr>
              <w:jc w:val="right"/>
              <w:spacing w:after="0" w:line="103" w:lineRule="exact"/>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top w:val="single" w:sz="8" w:color="auto"/>
            </w:tcBorders>
          </w:tcPr>
          <w:p>
            <w:pPr>
              <w:jc w:val="right"/>
              <w:spacing w:after="0" w:line="103" w:lineRule="exact"/>
              <w:rPr>
                <w:sz w:val="20"/>
                <w:szCs w:val="20"/>
                <w:color w:val="auto"/>
              </w:rPr>
            </w:pPr>
            <w:r>
              <w:rPr>
                <w:rFonts w:ascii="Times New Roman" w:cs="Times New Roman" w:eastAsia="Times New Roman" w:hAnsi="Times New Roman"/>
                <w:sz w:val="11"/>
                <w:szCs w:val="11"/>
                <w:color w:val="auto"/>
              </w:rPr>
              <w:t>(24</w:t>
            </w:r>
          </w:p>
        </w:tc>
        <w:tc>
          <w:tcPr>
            <w:tcW w:w="100" w:type="dxa"/>
            <w:vAlign w:val="bottom"/>
          </w:tcPr>
          <w:p>
            <w:pPr>
              <w:jc w:val="right"/>
              <w:ind w:right="22"/>
              <w:spacing w:after="0"/>
              <w:rPr>
                <w:sz w:val="20"/>
                <w:szCs w:val="20"/>
                <w:color w:val="auto"/>
              </w:rPr>
            </w:pPr>
            <w:r>
              <w:rPr>
                <w:rFonts w:ascii="Times New Roman" w:cs="Times New Roman" w:eastAsia="Times New Roman" w:hAnsi="Times New Roman"/>
                <w:sz w:val="8"/>
                <w:szCs w:val="8"/>
                <w:color w:val="auto"/>
                <w:w w:val="73"/>
              </w:rPr>
              <w:t>)</w:t>
            </w:r>
          </w:p>
        </w:tc>
        <w:tc>
          <w:tcPr>
            <w:tcW w:w="0" w:type="dxa"/>
            <w:vAlign w:val="bottom"/>
          </w:tcPr>
          <w:p>
            <w:pPr>
              <w:spacing w:after="0"/>
              <w:rPr>
                <w:sz w:val="1"/>
                <w:szCs w:val="1"/>
                <w:color w:val="auto"/>
              </w:rPr>
            </w:pPr>
          </w:p>
        </w:tc>
      </w:tr>
      <w:tr>
        <w:trPr>
          <w:trHeight w:val="135"/>
        </w:trPr>
        <w:tc>
          <w:tcPr>
            <w:tcW w:w="294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Graffiti Buyer, Inc. (Revolver) </w:t>
            </w:r>
            <w:r>
              <w:rPr>
                <w:rFonts w:ascii="Times New Roman" w:cs="Times New Roman" w:eastAsia="Times New Roman" w:hAnsi="Times New Roman"/>
                <w:sz w:val="14"/>
                <w:szCs w:val="14"/>
                <w:color w:val="auto"/>
                <w:vertAlign w:val="superscript"/>
              </w:rPr>
              <w:t>(7)</w:t>
            </w:r>
          </w:p>
        </w:tc>
        <w:tc>
          <w:tcPr>
            <w:tcW w:w="900" w:type="dxa"/>
            <w:vAlign w:val="bottom"/>
            <w:gridSpan w:val="2"/>
          </w:tcPr>
          <w:p>
            <w:pPr>
              <w:jc w:val="center"/>
              <w:ind w:left="106"/>
              <w:spacing w:after="0"/>
              <w:rPr>
                <w:sz w:val="20"/>
                <w:szCs w:val="20"/>
                <w:color w:val="auto"/>
              </w:rPr>
            </w:pPr>
            <w:r>
              <w:rPr>
                <w:rFonts w:ascii="Times New Roman" w:cs="Times New Roman" w:eastAsia="Times New Roman" w:hAnsi="Times New Roman"/>
                <w:sz w:val="11"/>
                <w:szCs w:val="11"/>
                <w:color w:val="auto"/>
                <w:w w:val="99"/>
              </w:rPr>
              <w:t>08/10/2027</w:t>
            </w:r>
          </w:p>
        </w:tc>
        <w:tc>
          <w:tcPr>
            <w:tcW w:w="160" w:type="dxa"/>
            <w:vAlign w:val="bottom"/>
          </w:tcPr>
          <w:p>
            <w:pPr>
              <w:spacing w:after="0"/>
              <w:rPr>
                <w:sz w:val="11"/>
                <w:szCs w:val="11"/>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Trading Companies &amp; Distributors</w:t>
            </w:r>
          </w:p>
        </w:tc>
        <w:tc>
          <w:tcPr>
            <w:tcW w:w="1200" w:type="dxa"/>
            <w:vAlign w:val="bottom"/>
            <w:gridSpan w:val="3"/>
          </w:tcPr>
          <w:p>
            <w:pPr>
              <w:jc w:val="right"/>
              <w:ind w:right="140"/>
              <w:spacing w:after="0"/>
              <w:rPr>
                <w:sz w:val="20"/>
                <w:szCs w:val="20"/>
                <w:color w:val="auto"/>
              </w:rPr>
            </w:pPr>
            <w:r>
              <w:rPr>
                <w:rFonts w:ascii="Times New Roman" w:cs="Times New Roman" w:eastAsia="Times New Roman" w:hAnsi="Times New Roman"/>
                <w:sz w:val="11"/>
                <w:szCs w:val="11"/>
                <w:color w:val="auto"/>
              </w:rPr>
              <w:t>8.92 %</w:t>
            </w: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L+575</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418</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418</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401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940" w:type="dxa"/>
            <w:vAlign w:val="bottom"/>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Graffiti Buyer, Inc. (Revolver) </w:t>
            </w:r>
            <w:r>
              <w:rPr>
                <w:rFonts w:ascii="Times New Roman" w:cs="Times New Roman" w:eastAsia="Times New Roman" w:hAnsi="Times New Roman"/>
                <w:sz w:val="14"/>
                <w:szCs w:val="14"/>
                <w:color w:val="auto"/>
                <w:vertAlign w:val="superscript"/>
              </w:rPr>
              <w:t>(7), (9)</w:t>
            </w:r>
          </w:p>
        </w:tc>
        <w:tc>
          <w:tcPr>
            <w:tcW w:w="900" w:type="dxa"/>
            <w:vAlign w:val="bottom"/>
            <w:gridSpan w:val="2"/>
          </w:tcPr>
          <w:p>
            <w:pPr>
              <w:jc w:val="center"/>
              <w:ind w:left="106"/>
              <w:spacing w:after="0"/>
              <w:rPr>
                <w:sz w:val="20"/>
                <w:szCs w:val="20"/>
                <w:color w:val="auto"/>
              </w:rPr>
            </w:pPr>
            <w:r>
              <w:rPr>
                <w:rFonts w:ascii="Times New Roman" w:cs="Times New Roman" w:eastAsia="Times New Roman" w:hAnsi="Times New Roman"/>
                <w:sz w:val="11"/>
                <w:szCs w:val="11"/>
                <w:color w:val="auto"/>
                <w:w w:val="99"/>
              </w:rPr>
              <w:t>08/10/2027</w:t>
            </w:r>
          </w:p>
        </w:tc>
        <w:tc>
          <w:tcPr>
            <w:tcW w:w="160" w:type="dxa"/>
            <w:vAlign w:val="bottom"/>
          </w:tcPr>
          <w:p>
            <w:pPr>
              <w:spacing w:after="0"/>
              <w:rPr>
                <w:sz w:val="13"/>
                <w:szCs w:val="13"/>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Trading Companies &amp; Distributors</w:t>
            </w:r>
          </w:p>
        </w:tc>
        <w:tc>
          <w:tcPr>
            <w:tcW w:w="140" w:type="dxa"/>
            <w:vAlign w:val="bottom"/>
          </w:tcPr>
          <w:p>
            <w:pPr>
              <w:spacing w:after="0"/>
              <w:rPr>
                <w:sz w:val="13"/>
                <w:szCs w:val="13"/>
                <w:color w:val="auto"/>
              </w:rPr>
            </w:pP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447</w:t>
            </w: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gridSpan w:val="2"/>
          </w:tcPr>
          <w:p>
            <w:pPr>
              <w:jc w:val="right"/>
              <w:ind w:right="22"/>
              <w:spacing w:after="0"/>
              <w:rPr>
                <w:sz w:val="20"/>
                <w:szCs w:val="20"/>
                <w:color w:val="auto"/>
              </w:rPr>
            </w:pPr>
            <w:r>
              <w:rPr>
                <w:rFonts w:ascii="Times New Roman" w:cs="Times New Roman" w:eastAsia="Times New Roman" w:hAnsi="Times New Roman"/>
                <w:sz w:val="11"/>
                <w:szCs w:val="11"/>
                <w:color w:val="auto"/>
              </w:rPr>
              <w:t>(18 )</w:t>
            </w:r>
          </w:p>
        </w:tc>
        <w:tc>
          <w:tcPr>
            <w:tcW w:w="0" w:type="dxa"/>
            <w:vAlign w:val="bottom"/>
          </w:tcPr>
          <w:p>
            <w:pPr>
              <w:spacing w:after="0"/>
              <w:rPr>
                <w:sz w:val="1"/>
                <w:szCs w:val="1"/>
                <w:color w:val="auto"/>
              </w:rPr>
            </w:pPr>
          </w:p>
        </w:tc>
      </w:tr>
      <w:tr>
        <w:trPr>
          <w:trHeight w:val="117"/>
        </w:trPr>
        <w:tc>
          <w:tcPr>
            <w:tcW w:w="2940" w:type="dxa"/>
            <w:vAlign w:val="bottom"/>
          </w:tcPr>
          <w:p>
            <w:pPr>
              <w:ind w:left="20"/>
              <w:spacing w:after="0" w:line="117" w:lineRule="exact"/>
              <w:rPr>
                <w:sz w:val="20"/>
                <w:szCs w:val="20"/>
                <w:color w:val="auto"/>
              </w:rPr>
            </w:pPr>
            <w:r>
              <w:rPr>
                <w:rFonts w:ascii="Times New Roman" w:cs="Times New Roman" w:eastAsia="Times New Roman" w:hAnsi="Times New Roman"/>
                <w:sz w:val="11"/>
                <w:szCs w:val="11"/>
                <w:color w:val="auto"/>
              </w:rPr>
              <w:t>Hancock Roofing and Construction L.L.C.</w:t>
            </w:r>
          </w:p>
        </w:tc>
        <w:tc>
          <w:tcPr>
            <w:tcW w:w="900" w:type="dxa"/>
            <w:vAlign w:val="bottom"/>
            <w:gridSpan w:val="2"/>
          </w:tcPr>
          <w:p>
            <w:pPr>
              <w:jc w:val="center"/>
              <w:ind w:left="106"/>
              <w:spacing w:after="0" w:line="117" w:lineRule="exact"/>
              <w:rPr>
                <w:sz w:val="20"/>
                <w:szCs w:val="20"/>
                <w:color w:val="auto"/>
              </w:rPr>
            </w:pPr>
            <w:r>
              <w:rPr>
                <w:rFonts w:ascii="Times New Roman" w:cs="Times New Roman" w:eastAsia="Times New Roman" w:hAnsi="Times New Roman"/>
                <w:sz w:val="11"/>
                <w:szCs w:val="11"/>
                <w:color w:val="auto"/>
                <w:w w:val="99"/>
              </w:rPr>
              <w:t>12/31/2026</w:t>
            </w:r>
          </w:p>
        </w:tc>
        <w:tc>
          <w:tcPr>
            <w:tcW w:w="160" w:type="dxa"/>
            <w:vAlign w:val="bottom"/>
          </w:tcPr>
          <w:p>
            <w:pPr>
              <w:spacing w:after="0"/>
              <w:rPr>
                <w:sz w:val="10"/>
                <w:szCs w:val="10"/>
                <w:color w:val="auto"/>
              </w:rPr>
            </w:pPr>
          </w:p>
        </w:tc>
        <w:tc>
          <w:tcPr>
            <w:tcW w:w="202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color w:val="auto"/>
                <w:w w:val="98"/>
              </w:rPr>
              <w:t>Insurance</w:t>
            </w:r>
          </w:p>
        </w:tc>
        <w:tc>
          <w:tcPr>
            <w:tcW w:w="1200" w:type="dxa"/>
            <w:vAlign w:val="bottom"/>
            <w:gridSpan w:val="3"/>
          </w:tcPr>
          <w:p>
            <w:pPr>
              <w:jc w:val="right"/>
              <w:ind w:right="140"/>
              <w:spacing w:after="0" w:line="117" w:lineRule="exact"/>
              <w:rPr>
                <w:sz w:val="20"/>
                <w:szCs w:val="20"/>
                <w:color w:val="auto"/>
              </w:rPr>
            </w:pPr>
            <w:r>
              <w:rPr>
                <w:rFonts w:ascii="Times New Roman" w:cs="Times New Roman" w:eastAsia="Times New Roman" w:hAnsi="Times New Roman"/>
                <w:sz w:val="11"/>
                <w:szCs w:val="11"/>
                <w:color w:val="auto"/>
              </w:rPr>
              <w:t>8.67 %</w:t>
            </w:r>
          </w:p>
        </w:tc>
        <w:tc>
          <w:tcPr>
            <w:tcW w:w="86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3M L+500</w:t>
            </w:r>
          </w:p>
        </w:tc>
        <w:tc>
          <w:tcPr>
            <w:tcW w:w="102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1"/>
                <w:szCs w:val="11"/>
                <w:color w:val="auto"/>
              </w:rPr>
              <w:t>4,441</w:t>
            </w: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4,378</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4,374</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94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Hancock Roofing and Construction L.L.C. </w:t>
            </w:r>
            <w:r>
              <w:rPr>
                <w:rFonts w:ascii="Times New Roman" w:cs="Times New Roman" w:eastAsia="Times New Roman" w:hAnsi="Times New Roman"/>
                <w:sz w:val="14"/>
                <w:szCs w:val="14"/>
                <w:color w:val="auto"/>
                <w:vertAlign w:val="superscript"/>
              </w:rPr>
              <w:t>(7), (9)</w:t>
            </w:r>
          </w:p>
        </w:tc>
        <w:tc>
          <w:tcPr>
            <w:tcW w:w="900" w:type="dxa"/>
            <w:vAlign w:val="bottom"/>
            <w:gridSpan w:val="2"/>
          </w:tcPr>
          <w:p>
            <w:pPr>
              <w:jc w:val="center"/>
              <w:ind w:left="106"/>
              <w:spacing w:after="0"/>
              <w:rPr>
                <w:sz w:val="20"/>
                <w:szCs w:val="20"/>
                <w:color w:val="auto"/>
              </w:rPr>
            </w:pPr>
            <w:r>
              <w:rPr>
                <w:rFonts w:ascii="Times New Roman" w:cs="Times New Roman" w:eastAsia="Times New Roman" w:hAnsi="Times New Roman"/>
                <w:sz w:val="11"/>
                <w:szCs w:val="11"/>
                <w:color w:val="auto"/>
                <w:w w:val="99"/>
              </w:rPr>
              <w:t>12/31/2022</w:t>
            </w:r>
          </w:p>
        </w:tc>
        <w:tc>
          <w:tcPr>
            <w:tcW w:w="160" w:type="dxa"/>
            <w:vAlign w:val="bottom"/>
          </w:tcPr>
          <w:p>
            <w:pPr>
              <w:spacing w:after="0"/>
              <w:rPr>
                <w:sz w:val="11"/>
                <w:szCs w:val="11"/>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Insurance</w:t>
            </w:r>
          </w:p>
        </w:tc>
        <w:tc>
          <w:tcPr>
            <w:tcW w:w="140" w:type="dxa"/>
            <w:vAlign w:val="bottom"/>
          </w:tcPr>
          <w:p>
            <w:pPr>
              <w:spacing w:after="0"/>
              <w:rPr>
                <w:sz w:val="11"/>
                <w:szCs w:val="11"/>
                <w:color w:val="auto"/>
              </w:rPr>
            </w:pP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400</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gridSpan w:val="2"/>
          </w:tcPr>
          <w:p>
            <w:pPr>
              <w:jc w:val="right"/>
              <w:ind w:right="22"/>
              <w:spacing w:after="0"/>
              <w:rPr>
                <w:sz w:val="20"/>
                <w:szCs w:val="20"/>
                <w:color w:val="auto"/>
              </w:rPr>
            </w:pPr>
            <w:r>
              <w:rPr>
                <w:rFonts w:ascii="Times New Roman" w:cs="Times New Roman" w:eastAsia="Times New Roman" w:hAnsi="Times New Roman"/>
                <w:sz w:val="11"/>
                <w:szCs w:val="11"/>
                <w:color w:val="auto"/>
              </w:rPr>
              <w:t>(6 )</w:t>
            </w:r>
          </w:p>
        </w:tc>
        <w:tc>
          <w:tcPr>
            <w:tcW w:w="0" w:type="dxa"/>
            <w:vAlign w:val="bottom"/>
          </w:tcPr>
          <w:p>
            <w:pPr>
              <w:spacing w:after="0"/>
              <w:rPr>
                <w:sz w:val="1"/>
                <w:szCs w:val="1"/>
                <w:color w:val="auto"/>
              </w:rPr>
            </w:pPr>
          </w:p>
        </w:tc>
      </w:tr>
      <w:tr>
        <w:trPr>
          <w:trHeight w:val="135"/>
        </w:trPr>
        <w:tc>
          <w:tcPr>
            <w:tcW w:w="294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Hancock Roofing and Construction L.L.C. (Revolver) </w:t>
            </w:r>
            <w:r>
              <w:rPr>
                <w:rFonts w:ascii="Times New Roman" w:cs="Times New Roman" w:eastAsia="Times New Roman" w:hAnsi="Times New Roman"/>
                <w:sz w:val="14"/>
                <w:szCs w:val="14"/>
                <w:color w:val="auto"/>
                <w:vertAlign w:val="superscript"/>
              </w:rPr>
              <w:t>(7)</w:t>
            </w:r>
          </w:p>
        </w:tc>
        <w:tc>
          <w:tcPr>
            <w:tcW w:w="900" w:type="dxa"/>
            <w:vAlign w:val="bottom"/>
            <w:gridSpan w:val="2"/>
          </w:tcPr>
          <w:p>
            <w:pPr>
              <w:jc w:val="center"/>
              <w:ind w:left="106"/>
              <w:spacing w:after="0"/>
              <w:rPr>
                <w:sz w:val="20"/>
                <w:szCs w:val="20"/>
                <w:color w:val="auto"/>
              </w:rPr>
            </w:pPr>
            <w:r>
              <w:rPr>
                <w:rFonts w:ascii="Times New Roman" w:cs="Times New Roman" w:eastAsia="Times New Roman" w:hAnsi="Times New Roman"/>
                <w:sz w:val="11"/>
                <w:szCs w:val="11"/>
                <w:color w:val="auto"/>
                <w:w w:val="99"/>
              </w:rPr>
              <w:t>12/31/2026</w:t>
            </w:r>
          </w:p>
        </w:tc>
        <w:tc>
          <w:tcPr>
            <w:tcW w:w="160" w:type="dxa"/>
            <w:vAlign w:val="bottom"/>
          </w:tcPr>
          <w:p>
            <w:pPr>
              <w:spacing w:after="0"/>
              <w:rPr>
                <w:sz w:val="11"/>
                <w:szCs w:val="11"/>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Insurance</w:t>
            </w:r>
          </w:p>
        </w:tc>
        <w:tc>
          <w:tcPr>
            <w:tcW w:w="1200" w:type="dxa"/>
            <w:vAlign w:val="bottom"/>
            <w:gridSpan w:val="3"/>
          </w:tcPr>
          <w:p>
            <w:pPr>
              <w:jc w:val="right"/>
              <w:ind w:right="140"/>
              <w:spacing w:after="0"/>
              <w:rPr>
                <w:sz w:val="20"/>
                <w:szCs w:val="20"/>
                <w:color w:val="auto"/>
              </w:rPr>
            </w:pPr>
            <w:r>
              <w:rPr>
                <w:rFonts w:ascii="Times New Roman" w:cs="Times New Roman" w:eastAsia="Times New Roman" w:hAnsi="Times New Roman"/>
                <w:sz w:val="11"/>
                <w:szCs w:val="11"/>
                <w:color w:val="auto"/>
              </w:rPr>
              <w:t>7.82 %</w:t>
            </w: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L+500</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270</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270</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266</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940" w:type="dxa"/>
            <w:vAlign w:val="bottom"/>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Hancock Roofing and Construction L.L.C. (Revolver) </w:t>
            </w:r>
            <w:r>
              <w:rPr>
                <w:rFonts w:ascii="Times New Roman" w:cs="Times New Roman" w:eastAsia="Times New Roman" w:hAnsi="Times New Roman"/>
                <w:sz w:val="14"/>
                <w:szCs w:val="14"/>
                <w:color w:val="auto"/>
                <w:vertAlign w:val="superscript"/>
              </w:rPr>
              <w:t>(7), (9)</w:t>
            </w:r>
          </w:p>
        </w:tc>
        <w:tc>
          <w:tcPr>
            <w:tcW w:w="900" w:type="dxa"/>
            <w:vAlign w:val="bottom"/>
            <w:gridSpan w:val="2"/>
          </w:tcPr>
          <w:p>
            <w:pPr>
              <w:jc w:val="center"/>
              <w:ind w:left="106"/>
              <w:spacing w:after="0"/>
              <w:rPr>
                <w:sz w:val="20"/>
                <w:szCs w:val="20"/>
                <w:color w:val="auto"/>
              </w:rPr>
            </w:pPr>
            <w:r>
              <w:rPr>
                <w:rFonts w:ascii="Times New Roman" w:cs="Times New Roman" w:eastAsia="Times New Roman" w:hAnsi="Times New Roman"/>
                <w:sz w:val="11"/>
                <w:szCs w:val="11"/>
                <w:color w:val="auto"/>
                <w:w w:val="99"/>
              </w:rPr>
              <w:t>12/31/2026</w:t>
            </w:r>
          </w:p>
        </w:tc>
        <w:tc>
          <w:tcPr>
            <w:tcW w:w="160" w:type="dxa"/>
            <w:vAlign w:val="bottom"/>
          </w:tcPr>
          <w:p>
            <w:pPr>
              <w:spacing w:after="0"/>
              <w:rPr>
                <w:sz w:val="13"/>
                <w:szCs w:val="13"/>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Insurance</w:t>
            </w:r>
          </w:p>
        </w:tc>
        <w:tc>
          <w:tcPr>
            <w:tcW w:w="140" w:type="dxa"/>
            <w:vAlign w:val="bottom"/>
          </w:tcPr>
          <w:p>
            <w:pPr>
              <w:spacing w:after="0"/>
              <w:rPr>
                <w:sz w:val="13"/>
                <w:szCs w:val="13"/>
                <w:color w:val="auto"/>
              </w:rPr>
            </w:pP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Pr>
          <w:p>
            <w:pPr>
              <w:spacing w:after="0"/>
              <w:rPr>
                <w:sz w:val="13"/>
                <w:szCs w:val="13"/>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480</w:t>
            </w: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gridSpan w:val="2"/>
          </w:tcPr>
          <w:p>
            <w:pPr>
              <w:jc w:val="right"/>
              <w:ind w:right="22"/>
              <w:spacing w:after="0"/>
              <w:rPr>
                <w:sz w:val="20"/>
                <w:szCs w:val="20"/>
                <w:color w:val="auto"/>
              </w:rPr>
            </w:pPr>
            <w:r>
              <w:rPr>
                <w:rFonts w:ascii="Times New Roman" w:cs="Times New Roman" w:eastAsia="Times New Roman" w:hAnsi="Times New Roman"/>
                <w:sz w:val="11"/>
                <w:szCs w:val="11"/>
                <w:color w:val="auto"/>
              </w:rPr>
              <w:t>(7 )</w:t>
            </w:r>
          </w:p>
        </w:tc>
        <w:tc>
          <w:tcPr>
            <w:tcW w:w="0" w:type="dxa"/>
            <w:vAlign w:val="bottom"/>
          </w:tcPr>
          <w:p>
            <w:pPr>
              <w:spacing w:after="0"/>
              <w:rPr>
                <w:sz w:val="1"/>
                <w:szCs w:val="1"/>
                <w:color w:val="auto"/>
              </w:rPr>
            </w:pPr>
          </w:p>
        </w:tc>
      </w:tr>
      <w:tr>
        <w:trPr>
          <w:trHeight w:val="117"/>
        </w:trPr>
        <w:tc>
          <w:tcPr>
            <w:tcW w:w="2940" w:type="dxa"/>
            <w:vAlign w:val="bottom"/>
          </w:tcPr>
          <w:p>
            <w:pPr>
              <w:ind w:left="20"/>
              <w:spacing w:after="0" w:line="117" w:lineRule="exact"/>
              <w:rPr>
                <w:sz w:val="20"/>
                <w:szCs w:val="20"/>
                <w:color w:val="auto"/>
              </w:rPr>
            </w:pPr>
            <w:r>
              <w:rPr>
                <w:rFonts w:ascii="Times New Roman" w:cs="Times New Roman" w:eastAsia="Times New Roman" w:hAnsi="Times New Roman"/>
                <w:sz w:val="11"/>
                <w:szCs w:val="11"/>
                <w:color w:val="auto"/>
              </w:rPr>
              <w:t>Holdco Sands Intermediate, LLC</w:t>
            </w:r>
          </w:p>
        </w:tc>
        <w:tc>
          <w:tcPr>
            <w:tcW w:w="900" w:type="dxa"/>
            <w:vAlign w:val="bottom"/>
            <w:gridSpan w:val="2"/>
          </w:tcPr>
          <w:p>
            <w:pPr>
              <w:jc w:val="center"/>
              <w:ind w:left="86"/>
              <w:spacing w:after="0" w:line="117" w:lineRule="exact"/>
              <w:rPr>
                <w:sz w:val="20"/>
                <w:szCs w:val="20"/>
                <w:color w:val="auto"/>
              </w:rPr>
            </w:pPr>
            <w:r>
              <w:rPr>
                <w:rFonts w:ascii="Times New Roman" w:cs="Times New Roman" w:eastAsia="Times New Roman" w:hAnsi="Times New Roman"/>
                <w:sz w:val="11"/>
                <w:szCs w:val="11"/>
                <w:color w:val="auto"/>
                <w:w w:val="95"/>
              </w:rPr>
              <w:t>11/23/2028</w:t>
            </w:r>
          </w:p>
        </w:tc>
        <w:tc>
          <w:tcPr>
            <w:tcW w:w="160" w:type="dxa"/>
            <w:vAlign w:val="bottom"/>
          </w:tcPr>
          <w:p>
            <w:pPr>
              <w:spacing w:after="0"/>
              <w:rPr>
                <w:sz w:val="10"/>
                <w:szCs w:val="10"/>
                <w:color w:val="auto"/>
              </w:rPr>
            </w:pPr>
          </w:p>
        </w:tc>
        <w:tc>
          <w:tcPr>
            <w:tcW w:w="202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color w:val="auto"/>
                <w:w w:val="98"/>
              </w:rPr>
              <w:t>Aerospace and Defense</w:t>
            </w:r>
          </w:p>
        </w:tc>
        <w:tc>
          <w:tcPr>
            <w:tcW w:w="1200" w:type="dxa"/>
            <w:vAlign w:val="bottom"/>
            <w:gridSpan w:val="3"/>
          </w:tcPr>
          <w:p>
            <w:pPr>
              <w:jc w:val="right"/>
              <w:ind w:right="140"/>
              <w:spacing w:after="0" w:line="117" w:lineRule="exact"/>
              <w:rPr>
                <w:sz w:val="20"/>
                <w:szCs w:val="20"/>
                <w:color w:val="auto"/>
              </w:rPr>
            </w:pPr>
            <w:r>
              <w:rPr>
                <w:rFonts w:ascii="Times New Roman" w:cs="Times New Roman" w:eastAsia="Times New Roman" w:hAnsi="Times New Roman"/>
                <w:sz w:val="11"/>
                <w:szCs w:val="11"/>
                <w:color w:val="auto"/>
              </w:rPr>
              <w:t>10.17 %</w:t>
            </w:r>
          </w:p>
        </w:tc>
        <w:tc>
          <w:tcPr>
            <w:tcW w:w="86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3M L+600</w:t>
            </w:r>
          </w:p>
        </w:tc>
        <w:tc>
          <w:tcPr>
            <w:tcW w:w="102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1"/>
                <w:szCs w:val="11"/>
                <w:color w:val="auto"/>
              </w:rPr>
              <w:t>4,963</w:t>
            </w: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4,872</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4,863</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940" w:type="dxa"/>
            <w:vAlign w:val="bottom"/>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Holdco Sands Intermediate, LLC (Revolver) </w:t>
            </w:r>
            <w:r>
              <w:rPr>
                <w:rFonts w:ascii="Times New Roman" w:cs="Times New Roman" w:eastAsia="Times New Roman" w:hAnsi="Times New Roman"/>
                <w:sz w:val="14"/>
                <w:szCs w:val="14"/>
                <w:color w:val="auto"/>
                <w:vertAlign w:val="superscript"/>
              </w:rPr>
              <w:t>(9)</w:t>
            </w:r>
          </w:p>
        </w:tc>
        <w:tc>
          <w:tcPr>
            <w:tcW w:w="90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5"/>
              </w:rPr>
              <w:t>11/23/2027</w:t>
            </w:r>
          </w:p>
        </w:tc>
        <w:tc>
          <w:tcPr>
            <w:tcW w:w="160" w:type="dxa"/>
            <w:vAlign w:val="bottom"/>
          </w:tcPr>
          <w:p>
            <w:pPr>
              <w:spacing w:after="0"/>
              <w:rPr>
                <w:sz w:val="13"/>
                <w:szCs w:val="13"/>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140" w:type="dxa"/>
            <w:vAlign w:val="bottom"/>
          </w:tcPr>
          <w:p>
            <w:pPr>
              <w:spacing w:after="0"/>
              <w:rPr>
                <w:sz w:val="13"/>
                <w:szCs w:val="13"/>
                <w:color w:val="auto"/>
              </w:rPr>
            </w:pP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1,791</w:t>
            </w: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gridSpan w:val="2"/>
          </w:tcPr>
          <w:p>
            <w:pPr>
              <w:jc w:val="right"/>
              <w:ind w:right="22"/>
              <w:spacing w:after="0"/>
              <w:rPr>
                <w:sz w:val="20"/>
                <w:szCs w:val="20"/>
                <w:color w:val="auto"/>
              </w:rPr>
            </w:pPr>
            <w:r>
              <w:rPr>
                <w:rFonts w:ascii="Times New Roman" w:cs="Times New Roman" w:eastAsia="Times New Roman" w:hAnsi="Times New Roman"/>
                <w:sz w:val="11"/>
                <w:szCs w:val="11"/>
                <w:color w:val="auto"/>
              </w:rPr>
              <w:t>(36 )</w:t>
            </w:r>
          </w:p>
        </w:tc>
        <w:tc>
          <w:tcPr>
            <w:tcW w:w="0" w:type="dxa"/>
            <w:vAlign w:val="bottom"/>
          </w:tcPr>
          <w:p>
            <w:pPr>
              <w:spacing w:after="0"/>
              <w:rPr>
                <w:sz w:val="1"/>
                <w:szCs w:val="1"/>
                <w:color w:val="auto"/>
              </w:rPr>
            </w:pPr>
          </w:p>
        </w:tc>
      </w:tr>
      <w:tr>
        <w:trPr>
          <w:trHeight w:val="117"/>
        </w:trPr>
        <w:tc>
          <w:tcPr>
            <w:tcW w:w="2940" w:type="dxa"/>
            <w:vAlign w:val="bottom"/>
          </w:tcPr>
          <w:p>
            <w:pPr>
              <w:ind w:left="20"/>
              <w:spacing w:after="0" w:line="117" w:lineRule="exact"/>
              <w:rPr>
                <w:sz w:val="20"/>
                <w:szCs w:val="20"/>
                <w:color w:val="auto"/>
              </w:rPr>
            </w:pPr>
            <w:r>
              <w:rPr>
                <w:rFonts w:ascii="Times New Roman" w:cs="Times New Roman" w:eastAsia="Times New Roman" w:hAnsi="Times New Roman"/>
                <w:sz w:val="11"/>
                <w:szCs w:val="11"/>
                <w:color w:val="auto"/>
              </w:rPr>
              <w:t>HW Holdco, LLC</w:t>
            </w:r>
          </w:p>
        </w:tc>
        <w:tc>
          <w:tcPr>
            <w:tcW w:w="900" w:type="dxa"/>
            <w:vAlign w:val="bottom"/>
            <w:gridSpan w:val="2"/>
          </w:tcPr>
          <w:p>
            <w:pPr>
              <w:jc w:val="center"/>
              <w:ind w:left="106"/>
              <w:spacing w:after="0" w:line="117" w:lineRule="exact"/>
              <w:rPr>
                <w:sz w:val="20"/>
                <w:szCs w:val="20"/>
                <w:color w:val="auto"/>
              </w:rPr>
            </w:pPr>
            <w:r>
              <w:rPr>
                <w:rFonts w:ascii="Times New Roman" w:cs="Times New Roman" w:eastAsia="Times New Roman" w:hAnsi="Times New Roman"/>
                <w:sz w:val="11"/>
                <w:szCs w:val="11"/>
                <w:color w:val="auto"/>
                <w:w w:val="99"/>
              </w:rPr>
              <w:t>12/10/2024</w:t>
            </w:r>
          </w:p>
        </w:tc>
        <w:tc>
          <w:tcPr>
            <w:tcW w:w="160" w:type="dxa"/>
            <w:vAlign w:val="bottom"/>
          </w:tcPr>
          <w:p>
            <w:pPr>
              <w:spacing w:after="0"/>
              <w:rPr>
                <w:sz w:val="10"/>
                <w:szCs w:val="10"/>
                <w:color w:val="auto"/>
              </w:rPr>
            </w:pPr>
          </w:p>
        </w:tc>
        <w:tc>
          <w:tcPr>
            <w:tcW w:w="202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color w:val="auto"/>
                <w:w w:val="92"/>
              </w:rPr>
              <w:t>Media</w:t>
            </w:r>
          </w:p>
        </w:tc>
        <w:tc>
          <w:tcPr>
            <w:tcW w:w="1200" w:type="dxa"/>
            <w:vAlign w:val="bottom"/>
            <w:gridSpan w:val="3"/>
          </w:tcPr>
          <w:p>
            <w:pPr>
              <w:jc w:val="right"/>
              <w:ind w:right="140"/>
              <w:spacing w:after="0" w:line="117" w:lineRule="exact"/>
              <w:rPr>
                <w:sz w:val="20"/>
                <w:szCs w:val="20"/>
                <w:color w:val="auto"/>
              </w:rPr>
            </w:pPr>
            <w:r>
              <w:rPr>
                <w:rFonts w:ascii="Times New Roman" w:cs="Times New Roman" w:eastAsia="Times New Roman" w:hAnsi="Times New Roman"/>
                <w:sz w:val="11"/>
                <w:szCs w:val="11"/>
                <w:color w:val="auto"/>
              </w:rPr>
              <w:t>6.00 %</w:t>
            </w:r>
          </w:p>
        </w:tc>
        <w:tc>
          <w:tcPr>
            <w:tcW w:w="86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1M L+500</w:t>
            </w:r>
          </w:p>
        </w:tc>
        <w:tc>
          <w:tcPr>
            <w:tcW w:w="102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1"/>
                <w:szCs w:val="11"/>
                <w:color w:val="auto"/>
              </w:rPr>
              <w:t>8,457</w:t>
            </w: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8,416</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8,352</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94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HW Holdco, LLC </w:t>
            </w:r>
            <w:r>
              <w:rPr>
                <w:rFonts w:ascii="Times New Roman" w:cs="Times New Roman" w:eastAsia="Times New Roman" w:hAnsi="Times New Roman"/>
                <w:sz w:val="14"/>
                <w:szCs w:val="14"/>
                <w:color w:val="auto"/>
                <w:vertAlign w:val="superscript"/>
              </w:rPr>
              <w:t>(9)</w:t>
            </w:r>
          </w:p>
        </w:tc>
        <w:tc>
          <w:tcPr>
            <w:tcW w:w="900" w:type="dxa"/>
            <w:vAlign w:val="bottom"/>
            <w:gridSpan w:val="2"/>
          </w:tcPr>
          <w:p>
            <w:pPr>
              <w:jc w:val="center"/>
              <w:ind w:left="106"/>
              <w:spacing w:after="0"/>
              <w:rPr>
                <w:sz w:val="20"/>
                <w:szCs w:val="20"/>
                <w:color w:val="auto"/>
              </w:rPr>
            </w:pPr>
            <w:r>
              <w:rPr>
                <w:rFonts w:ascii="Times New Roman" w:cs="Times New Roman" w:eastAsia="Times New Roman" w:hAnsi="Times New Roman"/>
                <w:sz w:val="11"/>
                <w:szCs w:val="11"/>
                <w:color w:val="auto"/>
                <w:w w:val="99"/>
              </w:rPr>
              <w:t>12/10/2024</w:t>
            </w:r>
          </w:p>
        </w:tc>
        <w:tc>
          <w:tcPr>
            <w:tcW w:w="160" w:type="dxa"/>
            <w:vAlign w:val="bottom"/>
          </w:tcPr>
          <w:p>
            <w:pPr>
              <w:spacing w:after="0"/>
              <w:rPr>
                <w:sz w:val="11"/>
                <w:szCs w:val="11"/>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2"/>
              </w:rPr>
              <w:t>Media</w:t>
            </w:r>
          </w:p>
        </w:tc>
        <w:tc>
          <w:tcPr>
            <w:tcW w:w="140" w:type="dxa"/>
            <w:vAlign w:val="bottom"/>
          </w:tcPr>
          <w:p>
            <w:pPr>
              <w:spacing w:after="0"/>
              <w:rPr>
                <w:sz w:val="11"/>
                <w:szCs w:val="11"/>
                <w:color w:val="auto"/>
              </w:rPr>
            </w:pP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1,686</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gridSpan w:val="2"/>
          </w:tcPr>
          <w:p>
            <w:pPr>
              <w:jc w:val="right"/>
              <w:ind w:right="22"/>
              <w:spacing w:after="0"/>
              <w:rPr>
                <w:sz w:val="20"/>
                <w:szCs w:val="20"/>
                <w:color w:val="auto"/>
              </w:rPr>
            </w:pPr>
            <w:r>
              <w:rPr>
                <w:rFonts w:ascii="Times New Roman" w:cs="Times New Roman" w:eastAsia="Times New Roman" w:hAnsi="Times New Roman"/>
                <w:sz w:val="11"/>
                <w:szCs w:val="11"/>
                <w:color w:val="auto"/>
              </w:rPr>
              <w:t>(4 )</w:t>
            </w:r>
          </w:p>
        </w:tc>
        <w:tc>
          <w:tcPr>
            <w:tcW w:w="0" w:type="dxa"/>
            <w:vAlign w:val="bottom"/>
          </w:tcPr>
          <w:p>
            <w:pPr>
              <w:spacing w:after="0"/>
              <w:rPr>
                <w:sz w:val="1"/>
                <w:szCs w:val="1"/>
                <w:color w:val="auto"/>
              </w:rPr>
            </w:pPr>
          </w:p>
        </w:tc>
      </w:tr>
      <w:tr>
        <w:trPr>
          <w:trHeight w:val="153"/>
        </w:trPr>
        <w:tc>
          <w:tcPr>
            <w:tcW w:w="2940" w:type="dxa"/>
            <w:vAlign w:val="bottom"/>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HW Holdco, LLC (Revolver) </w:t>
            </w:r>
            <w:r>
              <w:rPr>
                <w:rFonts w:ascii="Times New Roman" w:cs="Times New Roman" w:eastAsia="Times New Roman" w:hAnsi="Times New Roman"/>
                <w:sz w:val="14"/>
                <w:szCs w:val="14"/>
                <w:color w:val="auto"/>
                <w:vertAlign w:val="superscript"/>
              </w:rPr>
              <w:t>(7), (9)</w:t>
            </w:r>
          </w:p>
        </w:tc>
        <w:tc>
          <w:tcPr>
            <w:tcW w:w="900" w:type="dxa"/>
            <w:vAlign w:val="bottom"/>
            <w:gridSpan w:val="2"/>
          </w:tcPr>
          <w:p>
            <w:pPr>
              <w:jc w:val="center"/>
              <w:ind w:left="106"/>
              <w:spacing w:after="0"/>
              <w:rPr>
                <w:sz w:val="20"/>
                <w:szCs w:val="20"/>
                <w:color w:val="auto"/>
              </w:rPr>
            </w:pPr>
            <w:r>
              <w:rPr>
                <w:rFonts w:ascii="Times New Roman" w:cs="Times New Roman" w:eastAsia="Times New Roman" w:hAnsi="Times New Roman"/>
                <w:sz w:val="11"/>
                <w:szCs w:val="11"/>
                <w:color w:val="auto"/>
                <w:w w:val="99"/>
              </w:rPr>
              <w:t>12/10/2024</w:t>
            </w:r>
          </w:p>
        </w:tc>
        <w:tc>
          <w:tcPr>
            <w:tcW w:w="160" w:type="dxa"/>
            <w:vAlign w:val="bottom"/>
          </w:tcPr>
          <w:p>
            <w:pPr>
              <w:spacing w:after="0"/>
              <w:rPr>
                <w:sz w:val="13"/>
                <w:szCs w:val="13"/>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2"/>
              </w:rPr>
              <w:t>Media</w:t>
            </w:r>
          </w:p>
        </w:tc>
        <w:tc>
          <w:tcPr>
            <w:tcW w:w="140" w:type="dxa"/>
            <w:vAlign w:val="bottom"/>
          </w:tcPr>
          <w:p>
            <w:pPr>
              <w:spacing w:after="0"/>
              <w:rPr>
                <w:sz w:val="13"/>
                <w:szCs w:val="13"/>
                <w:color w:val="auto"/>
              </w:rPr>
            </w:pP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1,452</w:t>
            </w: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gridSpan w:val="2"/>
          </w:tcPr>
          <w:p>
            <w:pPr>
              <w:jc w:val="right"/>
              <w:ind w:right="22"/>
              <w:spacing w:after="0"/>
              <w:rPr>
                <w:sz w:val="20"/>
                <w:szCs w:val="20"/>
                <w:color w:val="auto"/>
              </w:rPr>
            </w:pPr>
            <w:r>
              <w:rPr>
                <w:rFonts w:ascii="Times New Roman" w:cs="Times New Roman" w:eastAsia="Times New Roman" w:hAnsi="Times New Roman"/>
                <w:sz w:val="11"/>
                <w:szCs w:val="11"/>
                <w:color w:val="auto"/>
              </w:rPr>
              <w:t>(18 )</w:t>
            </w:r>
          </w:p>
        </w:tc>
        <w:tc>
          <w:tcPr>
            <w:tcW w:w="0" w:type="dxa"/>
            <w:vAlign w:val="bottom"/>
          </w:tcPr>
          <w:p>
            <w:pPr>
              <w:spacing w:after="0"/>
              <w:rPr>
                <w:sz w:val="1"/>
                <w:szCs w:val="1"/>
                <w:color w:val="auto"/>
              </w:rPr>
            </w:pPr>
          </w:p>
        </w:tc>
      </w:tr>
      <w:tr>
        <w:trPr>
          <w:trHeight w:val="117"/>
        </w:trPr>
        <w:tc>
          <w:tcPr>
            <w:tcW w:w="2940" w:type="dxa"/>
            <w:vAlign w:val="bottom"/>
          </w:tcPr>
          <w:p>
            <w:pPr>
              <w:ind w:left="20"/>
              <w:spacing w:after="0" w:line="117" w:lineRule="exact"/>
              <w:rPr>
                <w:sz w:val="20"/>
                <w:szCs w:val="20"/>
                <w:color w:val="auto"/>
              </w:rPr>
            </w:pPr>
            <w:r>
              <w:rPr>
                <w:rFonts w:ascii="Times New Roman" w:cs="Times New Roman" w:eastAsia="Times New Roman" w:hAnsi="Times New Roman"/>
                <w:sz w:val="11"/>
                <w:szCs w:val="11"/>
                <w:color w:val="auto"/>
              </w:rPr>
              <w:t>IDC Infusion Services, Inc.</w:t>
            </w:r>
          </w:p>
        </w:tc>
        <w:tc>
          <w:tcPr>
            <w:tcW w:w="900" w:type="dxa"/>
            <w:vAlign w:val="bottom"/>
            <w:gridSpan w:val="2"/>
          </w:tcPr>
          <w:p>
            <w:pPr>
              <w:jc w:val="center"/>
              <w:ind w:left="106"/>
              <w:spacing w:after="0" w:line="117" w:lineRule="exact"/>
              <w:rPr>
                <w:sz w:val="20"/>
                <w:szCs w:val="20"/>
                <w:color w:val="auto"/>
              </w:rPr>
            </w:pPr>
            <w:r>
              <w:rPr>
                <w:rFonts w:ascii="Times New Roman" w:cs="Times New Roman" w:eastAsia="Times New Roman" w:hAnsi="Times New Roman"/>
                <w:sz w:val="11"/>
                <w:szCs w:val="11"/>
                <w:color w:val="auto"/>
                <w:w w:val="99"/>
              </w:rPr>
              <w:t>12/30/2026</w:t>
            </w:r>
          </w:p>
        </w:tc>
        <w:tc>
          <w:tcPr>
            <w:tcW w:w="160" w:type="dxa"/>
            <w:vAlign w:val="bottom"/>
          </w:tcPr>
          <w:p>
            <w:pPr>
              <w:spacing w:after="0"/>
              <w:rPr>
                <w:sz w:val="10"/>
                <w:szCs w:val="10"/>
                <w:color w:val="auto"/>
              </w:rPr>
            </w:pPr>
          </w:p>
        </w:tc>
        <w:tc>
          <w:tcPr>
            <w:tcW w:w="202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color w:val="auto"/>
                <w:w w:val="97"/>
              </w:rPr>
              <w:t>Healthcare Equipment and Supplies</w:t>
            </w:r>
          </w:p>
        </w:tc>
        <w:tc>
          <w:tcPr>
            <w:tcW w:w="1200" w:type="dxa"/>
            <w:vAlign w:val="bottom"/>
            <w:gridSpan w:val="3"/>
          </w:tcPr>
          <w:p>
            <w:pPr>
              <w:jc w:val="right"/>
              <w:ind w:right="140"/>
              <w:spacing w:after="0" w:line="117" w:lineRule="exact"/>
              <w:rPr>
                <w:sz w:val="20"/>
                <w:szCs w:val="20"/>
                <w:color w:val="auto"/>
              </w:rPr>
            </w:pPr>
            <w:r>
              <w:rPr>
                <w:rFonts w:ascii="Times New Roman" w:cs="Times New Roman" w:eastAsia="Times New Roman" w:hAnsi="Times New Roman"/>
                <w:sz w:val="11"/>
                <w:szCs w:val="11"/>
                <w:color w:val="auto"/>
              </w:rPr>
              <w:t>10.44 %</w:t>
            </w:r>
          </w:p>
        </w:tc>
        <w:tc>
          <w:tcPr>
            <w:tcW w:w="86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3M L+700</w:t>
            </w:r>
          </w:p>
        </w:tc>
        <w:tc>
          <w:tcPr>
            <w:tcW w:w="102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1"/>
                <w:szCs w:val="11"/>
                <w:color w:val="auto"/>
              </w:rPr>
              <w:t>5,723</w:t>
            </w: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5,616</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5,506</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94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IDC Infusion Services, Inc. (Revolver) </w:t>
            </w:r>
            <w:r>
              <w:rPr>
                <w:rFonts w:ascii="Times New Roman" w:cs="Times New Roman" w:eastAsia="Times New Roman" w:hAnsi="Times New Roman"/>
                <w:sz w:val="14"/>
                <w:szCs w:val="14"/>
                <w:color w:val="auto"/>
                <w:vertAlign w:val="superscript"/>
              </w:rPr>
              <w:t>(9)</w:t>
            </w:r>
          </w:p>
        </w:tc>
        <w:tc>
          <w:tcPr>
            <w:tcW w:w="900" w:type="dxa"/>
            <w:vAlign w:val="bottom"/>
            <w:gridSpan w:val="2"/>
          </w:tcPr>
          <w:p>
            <w:pPr>
              <w:jc w:val="center"/>
              <w:ind w:left="106"/>
              <w:spacing w:after="0"/>
              <w:rPr>
                <w:sz w:val="20"/>
                <w:szCs w:val="20"/>
                <w:color w:val="auto"/>
              </w:rPr>
            </w:pPr>
            <w:r>
              <w:rPr>
                <w:rFonts w:ascii="Times New Roman" w:cs="Times New Roman" w:eastAsia="Times New Roman" w:hAnsi="Times New Roman"/>
                <w:sz w:val="11"/>
                <w:szCs w:val="11"/>
                <w:color w:val="auto"/>
                <w:w w:val="99"/>
              </w:rPr>
              <w:t>12/30/2026</w:t>
            </w:r>
          </w:p>
        </w:tc>
        <w:tc>
          <w:tcPr>
            <w:tcW w:w="160" w:type="dxa"/>
            <w:vAlign w:val="bottom"/>
          </w:tcPr>
          <w:p>
            <w:pPr>
              <w:spacing w:after="0"/>
              <w:rPr>
                <w:sz w:val="11"/>
                <w:szCs w:val="11"/>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Healthcare Equipment and Supplies</w:t>
            </w:r>
          </w:p>
        </w:tc>
        <w:tc>
          <w:tcPr>
            <w:tcW w:w="140" w:type="dxa"/>
            <w:vAlign w:val="bottom"/>
          </w:tcPr>
          <w:p>
            <w:pPr>
              <w:spacing w:after="0"/>
              <w:rPr>
                <w:sz w:val="11"/>
                <w:szCs w:val="11"/>
                <w:color w:val="auto"/>
              </w:rPr>
            </w:pP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4,167</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gridSpan w:val="2"/>
          </w:tcPr>
          <w:p>
            <w:pPr>
              <w:jc w:val="right"/>
              <w:ind w:right="22"/>
              <w:spacing w:after="0"/>
              <w:rPr>
                <w:sz w:val="20"/>
                <w:szCs w:val="20"/>
                <w:color w:val="auto"/>
              </w:rPr>
            </w:pPr>
            <w:r>
              <w:rPr>
                <w:rFonts w:ascii="Times New Roman" w:cs="Times New Roman" w:eastAsia="Times New Roman" w:hAnsi="Times New Roman"/>
                <w:sz w:val="11"/>
                <w:szCs w:val="11"/>
                <w:color w:val="auto"/>
              </w:rPr>
              <w:t>(188 )</w:t>
            </w:r>
          </w:p>
        </w:tc>
        <w:tc>
          <w:tcPr>
            <w:tcW w:w="0" w:type="dxa"/>
            <w:vAlign w:val="bottom"/>
          </w:tcPr>
          <w:p>
            <w:pPr>
              <w:spacing w:after="0"/>
              <w:rPr>
                <w:sz w:val="1"/>
                <w:szCs w:val="1"/>
                <w:color w:val="auto"/>
              </w:rPr>
            </w:pPr>
          </w:p>
        </w:tc>
      </w:tr>
      <w:tr>
        <w:trPr>
          <w:trHeight w:val="135"/>
        </w:trPr>
        <w:tc>
          <w:tcPr>
            <w:tcW w:w="294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IG Investments Holdings, LLC </w:t>
            </w:r>
            <w:r>
              <w:rPr>
                <w:rFonts w:ascii="Times New Roman" w:cs="Times New Roman" w:eastAsia="Times New Roman" w:hAnsi="Times New Roman"/>
                <w:sz w:val="14"/>
                <w:szCs w:val="14"/>
                <w:color w:val="auto"/>
                <w:vertAlign w:val="superscript"/>
              </w:rPr>
              <w:t>(7)</w:t>
            </w:r>
          </w:p>
        </w:tc>
        <w:tc>
          <w:tcPr>
            <w:tcW w:w="900" w:type="dxa"/>
            <w:vAlign w:val="bottom"/>
            <w:gridSpan w:val="2"/>
          </w:tcPr>
          <w:p>
            <w:pPr>
              <w:jc w:val="center"/>
              <w:ind w:left="106"/>
              <w:spacing w:after="0"/>
              <w:rPr>
                <w:sz w:val="20"/>
                <w:szCs w:val="20"/>
                <w:color w:val="auto"/>
              </w:rPr>
            </w:pPr>
            <w:r>
              <w:rPr>
                <w:rFonts w:ascii="Times New Roman" w:cs="Times New Roman" w:eastAsia="Times New Roman" w:hAnsi="Times New Roman"/>
                <w:sz w:val="11"/>
                <w:szCs w:val="11"/>
                <w:color w:val="auto"/>
                <w:w w:val="99"/>
              </w:rPr>
              <w:t>09/22/2028</w:t>
            </w:r>
          </w:p>
        </w:tc>
        <w:tc>
          <w:tcPr>
            <w:tcW w:w="160" w:type="dxa"/>
            <w:vAlign w:val="bottom"/>
          </w:tcPr>
          <w:p>
            <w:pPr>
              <w:spacing w:after="0"/>
              <w:rPr>
                <w:sz w:val="11"/>
                <w:szCs w:val="11"/>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Professional Services</w:t>
            </w:r>
          </w:p>
        </w:tc>
        <w:tc>
          <w:tcPr>
            <w:tcW w:w="1200" w:type="dxa"/>
            <w:vAlign w:val="bottom"/>
            <w:gridSpan w:val="3"/>
          </w:tcPr>
          <w:p>
            <w:pPr>
              <w:jc w:val="right"/>
              <w:ind w:right="140"/>
              <w:spacing w:after="0"/>
              <w:rPr>
                <w:sz w:val="20"/>
                <w:szCs w:val="20"/>
                <w:color w:val="auto"/>
              </w:rPr>
            </w:pPr>
            <w:r>
              <w:rPr>
                <w:rFonts w:ascii="Times New Roman" w:cs="Times New Roman" w:eastAsia="Times New Roman" w:hAnsi="Times New Roman"/>
                <w:sz w:val="11"/>
                <w:szCs w:val="11"/>
                <w:color w:val="auto"/>
              </w:rPr>
              <w:t>9.45 %</w:t>
            </w: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L+600</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4,473</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4,390</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4,429</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940" w:type="dxa"/>
            <w:vAlign w:val="bottom"/>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IG Investments Holdings, LLC (Revolver) </w:t>
            </w:r>
            <w:r>
              <w:rPr>
                <w:rFonts w:ascii="Times New Roman" w:cs="Times New Roman" w:eastAsia="Times New Roman" w:hAnsi="Times New Roman"/>
                <w:sz w:val="14"/>
                <w:szCs w:val="14"/>
                <w:color w:val="auto"/>
                <w:vertAlign w:val="superscript"/>
              </w:rPr>
              <w:t>(7), (9)</w:t>
            </w:r>
          </w:p>
        </w:tc>
        <w:tc>
          <w:tcPr>
            <w:tcW w:w="900" w:type="dxa"/>
            <w:vAlign w:val="bottom"/>
            <w:gridSpan w:val="2"/>
          </w:tcPr>
          <w:p>
            <w:pPr>
              <w:jc w:val="center"/>
              <w:ind w:left="106"/>
              <w:spacing w:after="0"/>
              <w:rPr>
                <w:sz w:val="20"/>
                <w:szCs w:val="20"/>
                <w:color w:val="auto"/>
              </w:rPr>
            </w:pPr>
            <w:r>
              <w:rPr>
                <w:rFonts w:ascii="Times New Roman" w:cs="Times New Roman" w:eastAsia="Times New Roman" w:hAnsi="Times New Roman"/>
                <w:sz w:val="11"/>
                <w:szCs w:val="11"/>
                <w:color w:val="auto"/>
                <w:w w:val="99"/>
              </w:rPr>
              <w:t>09/22/2027</w:t>
            </w:r>
          </w:p>
        </w:tc>
        <w:tc>
          <w:tcPr>
            <w:tcW w:w="160" w:type="dxa"/>
            <w:vAlign w:val="bottom"/>
          </w:tcPr>
          <w:p>
            <w:pPr>
              <w:spacing w:after="0"/>
              <w:rPr>
                <w:sz w:val="13"/>
                <w:szCs w:val="13"/>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Professional Services</w:t>
            </w:r>
          </w:p>
        </w:tc>
        <w:tc>
          <w:tcPr>
            <w:tcW w:w="140" w:type="dxa"/>
            <w:vAlign w:val="bottom"/>
          </w:tcPr>
          <w:p>
            <w:pPr>
              <w:spacing w:after="0"/>
              <w:rPr>
                <w:sz w:val="13"/>
                <w:szCs w:val="13"/>
                <w:color w:val="auto"/>
              </w:rPr>
            </w:pP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477</w:t>
            </w: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gridSpan w:val="2"/>
          </w:tcPr>
          <w:p>
            <w:pPr>
              <w:jc w:val="right"/>
              <w:ind w:right="22"/>
              <w:spacing w:after="0"/>
              <w:rPr>
                <w:sz w:val="20"/>
                <w:szCs w:val="20"/>
                <w:color w:val="auto"/>
              </w:rPr>
            </w:pPr>
            <w:r>
              <w:rPr>
                <w:rFonts w:ascii="Times New Roman" w:cs="Times New Roman" w:eastAsia="Times New Roman" w:hAnsi="Times New Roman"/>
                <w:sz w:val="11"/>
                <w:szCs w:val="11"/>
                <w:color w:val="auto"/>
              </w:rPr>
              <w:t>(5 )</w:t>
            </w:r>
          </w:p>
        </w:tc>
        <w:tc>
          <w:tcPr>
            <w:tcW w:w="0" w:type="dxa"/>
            <w:vAlign w:val="bottom"/>
          </w:tcPr>
          <w:p>
            <w:pPr>
              <w:spacing w:after="0"/>
              <w:rPr>
                <w:sz w:val="1"/>
                <w:szCs w:val="1"/>
                <w:color w:val="auto"/>
              </w:rPr>
            </w:pPr>
          </w:p>
        </w:tc>
      </w:tr>
      <w:tr>
        <w:trPr>
          <w:trHeight w:val="117"/>
        </w:trPr>
        <w:tc>
          <w:tcPr>
            <w:tcW w:w="2940" w:type="dxa"/>
            <w:vAlign w:val="bottom"/>
          </w:tcPr>
          <w:p>
            <w:pPr>
              <w:ind w:left="20"/>
              <w:spacing w:after="0" w:line="117" w:lineRule="exact"/>
              <w:rPr>
                <w:sz w:val="20"/>
                <w:szCs w:val="20"/>
                <w:color w:val="auto"/>
              </w:rPr>
            </w:pPr>
            <w:r>
              <w:rPr>
                <w:rFonts w:ascii="Times New Roman" w:cs="Times New Roman" w:eastAsia="Times New Roman" w:hAnsi="Times New Roman"/>
                <w:sz w:val="11"/>
                <w:szCs w:val="11"/>
                <w:color w:val="auto"/>
              </w:rPr>
              <w:t>Imagine Acquisitionco, LLC</w:t>
            </w:r>
          </w:p>
        </w:tc>
        <w:tc>
          <w:tcPr>
            <w:tcW w:w="900" w:type="dxa"/>
            <w:vAlign w:val="bottom"/>
            <w:gridSpan w:val="2"/>
          </w:tcPr>
          <w:p>
            <w:pPr>
              <w:jc w:val="center"/>
              <w:ind w:left="86"/>
              <w:spacing w:after="0" w:line="117" w:lineRule="exact"/>
              <w:rPr>
                <w:sz w:val="20"/>
                <w:szCs w:val="20"/>
                <w:color w:val="auto"/>
              </w:rPr>
            </w:pPr>
            <w:r>
              <w:rPr>
                <w:rFonts w:ascii="Times New Roman" w:cs="Times New Roman" w:eastAsia="Times New Roman" w:hAnsi="Times New Roman"/>
                <w:sz w:val="11"/>
                <w:szCs w:val="11"/>
                <w:color w:val="auto"/>
                <w:w w:val="95"/>
              </w:rPr>
              <w:t>11/15/2027</w:t>
            </w:r>
          </w:p>
        </w:tc>
        <w:tc>
          <w:tcPr>
            <w:tcW w:w="160" w:type="dxa"/>
            <w:vAlign w:val="bottom"/>
          </w:tcPr>
          <w:p>
            <w:pPr>
              <w:spacing w:after="0"/>
              <w:rPr>
                <w:sz w:val="10"/>
                <w:szCs w:val="10"/>
                <w:color w:val="auto"/>
              </w:rPr>
            </w:pPr>
          </w:p>
        </w:tc>
        <w:tc>
          <w:tcPr>
            <w:tcW w:w="202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color w:val="auto"/>
                <w:w w:val="95"/>
              </w:rPr>
              <w:t>Software</w:t>
            </w:r>
          </w:p>
        </w:tc>
        <w:tc>
          <w:tcPr>
            <w:tcW w:w="1200" w:type="dxa"/>
            <w:vAlign w:val="bottom"/>
            <w:gridSpan w:val="3"/>
          </w:tcPr>
          <w:p>
            <w:pPr>
              <w:jc w:val="right"/>
              <w:ind w:right="140"/>
              <w:spacing w:after="0" w:line="117" w:lineRule="exact"/>
              <w:rPr>
                <w:sz w:val="20"/>
                <w:szCs w:val="20"/>
                <w:color w:val="auto"/>
              </w:rPr>
            </w:pPr>
            <w:r>
              <w:rPr>
                <w:rFonts w:ascii="Times New Roman" w:cs="Times New Roman" w:eastAsia="Times New Roman" w:hAnsi="Times New Roman"/>
                <w:sz w:val="11"/>
                <w:szCs w:val="11"/>
                <w:color w:val="auto"/>
              </w:rPr>
              <w:t>8.42 %</w:t>
            </w:r>
          </w:p>
        </w:tc>
        <w:tc>
          <w:tcPr>
            <w:tcW w:w="86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3M L+550</w:t>
            </w:r>
          </w:p>
        </w:tc>
        <w:tc>
          <w:tcPr>
            <w:tcW w:w="102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1"/>
                <w:szCs w:val="11"/>
                <w:color w:val="auto"/>
              </w:rPr>
              <w:t>3,979</w:t>
            </w: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3,909</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3,879</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94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Imagine Acquisitionco, LLC </w:t>
            </w:r>
            <w:r>
              <w:rPr>
                <w:rFonts w:ascii="Times New Roman" w:cs="Times New Roman" w:eastAsia="Times New Roman" w:hAnsi="Times New Roman"/>
                <w:sz w:val="14"/>
                <w:szCs w:val="14"/>
                <w:color w:val="auto"/>
                <w:vertAlign w:val="superscript"/>
              </w:rPr>
              <w:t>(9)</w:t>
            </w:r>
          </w:p>
        </w:tc>
        <w:tc>
          <w:tcPr>
            <w:tcW w:w="90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5"/>
              </w:rPr>
              <w:t>11/15/2027</w:t>
            </w:r>
          </w:p>
        </w:tc>
        <w:tc>
          <w:tcPr>
            <w:tcW w:w="160" w:type="dxa"/>
            <w:vAlign w:val="bottom"/>
          </w:tcPr>
          <w:p>
            <w:pPr>
              <w:spacing w:after="0"/>
              <w:rPr>
                <w:sz w:val="11"/>
                <w:szCs w:val="11"/>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5"/>
              </w:rPr>
              <w:t>Software</w:t>
            </w:r>
          </w:p>
        </w:tc>
        <w:tc>
          <w:tcPr>
            <w:tcW w:w="140" w:type="dxa"/>
            <w:vAlign w:val="bottom"/>
          </w:tcPr>
          <w:p>
            <w:pPr>
              <w:spacing w:after="0"/>
              <w:rPr>
                <w:sz w:val="11"/>
                <w:szCs w:val="11"/>
                <w:color w:val="auto"/>
              </w:rPr>
            </w:pP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1,657</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gridSpan w:val="2"/>
          </w:tcPr>
          <w:p>
            <w:pPr>
              <w:jc w:val="right"/>
              <w:ind w:right="22"/>
              <w:spacing w:after="0"/>
              <w:rPr>
                <w:sz w:val="20"/>
                <w:szCs w:val="20"/>
                <w:color w:val="auto"/>
              </w:rPr>
            </w:pPr>
            <w:r>
              <w:rPr>
                <w:rFonts w:ascii="Times New Roman" w:cs="Times New Roman" w:eastAsia="Times New Roman" w:hAnsi="Times New Roman"/>
                <w:sz w:val="11"/>
                <w:szCs w:val="11"/>
                <w:color w:val="auto"/>
              </w:rPr>
              <w:t>(25 )</w:t>
            </w:r>
          </w:p>
        </w:tc>
        <w:tc>
          <w:tcPr>
            <w:tcW w:w="0" w:type="dxa"/>
            <w:vAlign w:val="bottom"/>
          </w:tcPr>
          <w:p>
            <w:pPr>
              <w:spacing w:after="0"/>
              <w:rPr>
                <w:sz w:val="1"/>
                <w:szCs w:val="1"/>
                <w:color w:val="auto"/>
              </w:rPr>
            </w:pPr>
          </w:p>
        </w:tc>
      </w:tr>
      <w:tr>
        <w:trPr>
          <w:trHeight w:val="153"/>
        </w:trPr>
        <w:tc>
          <w:tcPr>
            <w:tcW w:w="2940" w:type="dxa"/>
            <w:vAlign w:val="bottom"/>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Imagine Acquisitionco, LLC (Revolver) </w:t>
            </w:r>
            <w:r>
              <w:rPr>
                <w:rFonts w:ascii="Times New Roman" w:cs="Times New Roman" w:eastAsia="Times New Roman" w:hAnsi="Times New Roman"/>
                <w:sz w:val="14"/>
                <w:szCs w:val="14"/>
                <w:color w:val="auto"/>
                <w:vertAlign w:val="superscript"/>
              </w:rPr>
              <w:t>(9)</w:t>
            </w:r>
          </w:p>
        </w:tc>
        <w:tc>
          <w:tcPr>
            <w:tcW w:w="90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5"/>
              </w:rPr>
              <w:t>11/15/2027</w:t>
            </w:r>
          </w:p>
        </w:tc>
        <w:tc>
          <w:tcPr>
            <w:tcW w:w="160" w:type="dxa"/>
            <w:vAlign w:val="bottom"/>
          </w:tcPr>
          <w:p>
            <w:pPr>
              <w:spacing w:after="0"/>
              <w:rPr>
                <w:sz w:val="13"/>
                <w:szCs w:val="13"/>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5"/>
              </w:rPr>
              <w:t>Software</w:t>
            </w:r>
          </w:p>
        </w:tc>
        <w:tc>
          <w:tcPr>
            <w:tcW w:w="140" w:type="dxa"/>
            <w:vAlign w:val="bottom"/>
          </w:tcPr>
          <w:p>
            <w:pPr>
              <w:spacing w:after="0"/>
              <w:rPr>
                <w:sz w:val="13"/>
                <w:szCs w:val="13"/>
                <w:color w:val="auto"/>
              </w:rPr>
            </w:pP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1,193</w:t>
            </w: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gridSpan w:val="2"/>
          </w:tcPr>
          <w:p>
            <w:pPr>
              <w:jc w:val="right"/>
              <w:ind w:right="22"/>
              <w:spacing w:after="0"/>
              <w:rPr>
                <w:sz w:val="20"/>
                <w:szCs w:val="20"/>
                <w:color w:val="auto"/>
              </w:rPr>
            </w:pPr>
            <w:r>
              <w:rPr>
                <w:rFonts w:ascii="Times New Roman" w:cs="Times New Roman" w:eastAsia="Times New Roman" w:hAnsi="Times New Roman"/>
                <w:sz w:val="11"/>
                <w:szCs w:val="11"/>
                <w:color w:val="auto"/>
              </w:rPr>
              <w:t>(30 )</w:t>
            </w:r>
          </w:p>
        </w:tc>
        <w:tc>
          <w:tcPr>
            <w:tcW w:w="0" w:type="dxa"/>
            <w:vAlign w:val="bottom"/>
          </w:tcPr>
          <w:p>
            <w:pPr>
              <w:spacing w:after="0"/>
              <w:rPr>
                <w:sz w:val="1"/>
                <w:szCs w:val="1"/>
                <w:color w:val="auto"/>
              </w:rPr>
            </w:pPr>
          </w:p>
        </w:tc>
      </w:tr>
      <w:tr>
        <w:trPr>
          <w:trHeight w:val="135"/>
        </w:trPr>
        <w:tc>
          <w:tcPr>
            <w:tcW w:w="29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Inception Fertility Ventures, LLC</w:t>
            </w:r>
          </w:p>
        </w:tc>
        <w:tc>
          <w:tcPr>
            <w:tcW w:w="900" w:type="dxa"/>
            <w:vAlign w:val="bottom"/>
            <w:gridSpan w:val="2"/>
          </w:tcPr>
          <w:p>
            <w:pPr>
              <w:jc w:val="center"/>
              <w:ind w:left="106"/>
              <w:spacing w:after="0"/>
              <w:rPr>
                <w:sz w:val="20"/>
                <w:szCs w:val="20"/>
                <w:color w:val="auto"/>
              </w:rPr>
            </w:pPr>
            <w:r>
              <w:rPr>
                <w:rFonts w:ascii="Times New Roman" w:cs="Times New Roman" w:eastAsia="Times New Roman" w:hAnsi="Times New Roman"/>
                <w:sz w:val="11"/>
                <w:szCs w:val="11"/>
                <w:color w:val="auto"/>
                <w:w w:val="99"/>
              </w:rPr>
              <w:t>12/07/2023</w:t>
            </w:r>
          </w:p>
        </w:tc>
        <w:tc>
          <w:tcPr>
            <w:tcW w:w="160" w:type="dxa"/>
            <w:vAlign w:val="bottom"/>
          </w:tcPr>
          <w:p>
            <w:pPr>
              <w:spacing w:after="0"/>
              <w:rPr>
                <w:sz w:val="11"/>
                <w:szCs w:val="11"/>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Healthcare Providers and Services</w:t>
            </w:r>
          </w:p>
        </w:tc>
        <w:tc>
          <w:tcPr>
            <w:tcW w:w="1200" w:type="dxa"/>
            <w:vAlign w:val="bottom"/>
            <w:gridSpan w:val="3"/>
          </w:tcPr>
          <w:p>
            <w:pPr>
              <w:jc w:val="right"/>
              <w:ind w:right="140"/>
              <w:spacing w:after="0"/>
              <w:rPr>
                <w:sz w:val="20"/>
                <w:szCs w:val="20"/>
                <w:color w:val="auto"/>
              </w:rPr>
            </w:pPr>
            <w:r>
              <w:rPr>
                <w:rFonts w:ascii="Times New Roman" w:cs="Times New Roman" w:eastAsia="Times New Roman" w:hAnsi="Times New Roman"/>
                <w:sz w:val="11"/>
                <w:szCs w:val="11"/>
                <w:color w:val="auto"/>
              </w:rPr>
              <w:t>10.13 %</w:t>
            </w: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L+715</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14,954</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14,711</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14,804</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2940" w:type="dxa"/>
            <w:vAlign w:val="bottom"/>
          </w:tcPr>
          <w:p>
            <w:pPr>
              <w:ind w:left="20"/>
              <w:spacing w:after="0" w:line="117" w:lineRule="exact"/>
              <w:rPr>
                <w:sz w:val="20"/>
                <w:szCs w:val="20"/>
                <w:color w:val="auto"/>
              </w:rPr>
            </w:pPr>
            <w:r>
              <w:rPr>
                <w:rFonts w:ascii="Times New Roman" w:cs="Times New Roman" w:eastAsia="Times New Roman" w:hAnsi="Times New Roman"/>
                <w:sz w:val="11"/>
                <w:szCs w:val="11"/>
                <w:color w:val="auto"/>
              </w:rPr>
              <w:t>Infolinks Media Buyco, LLC</w:t>
            </w:r>
          </w:p>
        </w:tc>
        <w:tc>
          <w:tcPr>
            <w:tcW w:w="900" w:type="dxa"/>
            <w:vAlign w:val="bottom"/>
            <w:gridSpan w:val="2"/>
          </w:tcPr>
          <w:p>
            <w:pPr>
              <w:jc w:val="center"/>
              <w:ind w:left="86"/>
              <w:spacing w:after="0" w:line="117" w:lineRule="exact"/>
              <w:rPr>
                <w:sz w:val="20"/>
                <w:szCs w:val="20"/>
                <w:color w:val="auto"/>
              </w:rPr>
            </w:pPr>
            <w:r>
              <w:rPr>
                <w:rFonts w:ascii="Times New Roman" w:cs="Times New Roman" w:eastAsia="Times New Roman" w:hAnsi="Times New Roman"/>
                <w:sz w:val="11"/>
                <w:szCs w:val="11"/>
                <w:color w:val="auto"/>
                <w:w w:val="95"/>
              </w:rPr>
              <w:t>11/01/2026</w:t>
            </w:r>
          </w:p>
        </w:tc>
        <w:tc>
          <w:tcPr>
            <w:tcW w:w="160" w:type="dxa"/>
            <w:vAlign w:val="bottom"/>
          </w:tcPr>
          <w:p>
            <w:pPr>
              <w:spacing w:after="0"/>
              <w:rPr>
                <w:sz w:val="10"/>
                <w:szCs w:val="10"/>
                <w:color w:val="auto"/>
              </w:rPr>
            </w:pPr>
          </w:p>
        </w:tc>
        <w:tc>
          <w:tcPr>
            <w:tcW w:w="202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color w:val="auto"/>
                <w:w w:val="92"/>
              </w:rPr>
              <w:t>Media</w:t>
            </w:r>
          </w:p>
        </w:tc>
        <w:tc>
          <w:tcPr>
            <w:tcW w:w="1200" w:type="dxa"/>
            <w:vAlign w:val="bottom"/>
            <w:gridSpan w:val="3"/>
          </w:tcPr>
          <w:p>
            <w:pPr>
              <w:jc w:val="right"/>
              <w:ind w:right="140"/>
              <w:spacing w:after="0" w:line="117" w:lineRule="exact"/>
              <w:rPr>
                <w:sz w:val="20"/>
                <w:szCs w:val="20"/>
                <w:color w:val="auto"/>
              </w:rPr>
            </w:pPr>
            <w:r>
              <w:rPr>
                <w:rFonts w:ascii="Times New Roman" w:cs="Times New Roman" w:eastAsia="Times New Roman" w:hAnsi="Times New Roman"/>
                <w:sz w:val="11"/>
                <w:szCs w:val="11"/>
                <w:color w:val="auto"/>
              </w:rPr>
              <w:t>9.42 %</w:t>
            </w:r>
          </w:p>
        </w:tc>
        <w:tc>
          <w:tcPr>
            <w:tcW w:w="86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3M L+575</w:t>
            </w:r>
          </w:p>
        </w:tc>
        <w:tc>
          <w:tcPr>
            <w:tcW w:w="102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1"/>
                <w:szCs w:val="11"/>
                <w:color w:val="auto"/>
              </w:rPr>
              <w:t>2,625</w:t>
            </w: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2,581</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2,625</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940" w:type="dxa"/>
            <w:vAlign w:val="bottom"/>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Infolinks Media Buyco, LLC </w:t>
            </w:r>
            <w:r>
              <w:rPr>
                <w:rFonts w:ascii="Times New Roman" w:cs="Times New Roman" w:eastAsia="Times New Roman" w:hAnsi="Times New Roman"/>
                <w:sz w:val="14"/>
                <w:szCs w:val="14"/>
                <w:color w:val="auto"/>
                <w:vertAlign w:val="superscript"/>
              </w:rPr>
              <w:t>(9)</w:t>
            </w:r>
          </w:p>
        </w:tc>
        <w:tc>
          <w:tcPr>
            <w:tcW w:w="90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5"/>
              </w:rPr>
              <w:t>11/01/2023</w:t>
            </w:r>
          </w:p>
        </w:tc>
        <w:tc>
          <w:tcPr>
            <w:tcW w:w="160" w:type="dxa"/>
            <w:vAlign w:val="bottom"/>
          </w:tcPr>
          <w:p>
            <w:pPr>
              <w:spacing w:after="0"/>
              <w:rPr>
                <w:sz w:val="13"/>
                <w:szCs w:val="13"/>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2"/>
              </w:rPr>
              <w:t>Media</w:t>
            </w:r>
          </w:p>
        </w:tc>
        <w:tc>
          <w:tcPr>
            <w:tcW w:w="140" w:type="dxa"/>
            <w:vAlign w:val="bottom"/>
          </w:tcPr>
          <w:p>
            <w:pPr>
              <w:spacing w:after="0"/>
              <w:rPr>
                <w:sz w:val="13"/>
                <w:szCs w:val="13"/>
                <w:color w:val="auto"/>
              </w:rPr>
            </w:pP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969</w:t>
            </w: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2940" w:type="dxa"/>
            <w:vAlign w:val="bottom"/>
          </w:tcPr>
          <w:p>
            <w:pPr>
              <w:ind w:left="20"/>
              <w:spacing w:after="0" w:line="117" w:lineRule="exact"/>
              <w:rPr>
                <w:sz w:val="20"/>
                <w:szCs w:val="20"/>
                <w:color w:val="auto"/>
              </w:rPr>
            </w:pPr>
            <w:r>
              <w:rPr>
                <w:rFonts w:ascii="Times New Roman" w:cs="Times New Roman" w:eastAsia="Times New Roman" w:hAnsi="Times New Roman"/>
                <w:sz w:val="11"/>
                <w:szCs w:val="11"/>
                <w:color w:val="auto"/>
              </w:rPr>
              <w:t>Integrative Nutrition, LLC</w:t>
            </w:r>
          </w:p>
        </w:tc>
        <w:tc>
          <w:tcPr>
            <w:tcW w:w="900" w:type="dxa"/>
            <w:vAlign w:val="bottom"/>
            <w:gridSpan w:val="2"/>
          </w:tcPr>
          <w:p>
            <w:pPr>
              <w:jc w:val="center"/>
              <w:ind w:left="106"/>
              <w:spacing w:after="0" w:line="117" w:lineRule="exact"/>
              <w:rPr>
                <w:sz w:val="20"/>
                <w:szCs w:val="20"/>
                <w:color w:val="auto"/>
              </w:rPr>
            </w:pPr>
            <w:r>
              <w:rPr>
                <w:rFonts w:ascii="Times New Roman" w:cs="Times New Roman" w:eastAsia="Times New Roman" w:hAnsi="Times New Roman"/>
                <w:sz w:val="11"/>
                <w:szCs w:val="11"/>
                <w:color w:val="auto"/>
                <w:w w:val="99"/>
              </w:rPr>
              <w:t>09/29/2023</w:t>
            </w:r>
          </w:p>
        </w:tc>
        <w:tc>
          <w:tcPr>
            <w:tcW w:w="160" w:type="dxa"/>
            <w:vAlign w:val="bottom"/>
          </w:tcPr>
          <w:p>
            <w:pPr>
              <w:spacing w:after="0"/>
              <w:rPr>
                <w:sz w:val="10"/>
                <w:szCs w:val="10"/>
                <w:color w:val="auto"/>
              </w:rPr>
            </w:pPr>
          </w:p>
        </w:tc>
        <w:tc>
          <w:tcPr>
            <w:tcW w:w="202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color w:val="auto"/>
                <w:w w:val="96"/>
              </w:rPr>
              <w:t>Consumer Services</w:t>
            </w:r>
          </w:p>
        </w:tc>
        <w:tc>
          <w:tcPr>
            <w:tcW w:w="1200" w:type="dxa"/>
            <w:vAlign w:val="bottom"/>
            <w:gridSpan w:val="3"/>
          </w:tcPr>
          <w:p>
            <w:pPr>
              <w:jc w:val="right"/>
              <w:ind w:right="140"/>
              <w:spacing w:after="0" w:line="117" w:lineRule="exact"/>
              <w:rPr>
                <w:sz w:val="20"/>
                <w:szCs w:val="20"/>
                <w:color w:val="auto"/>
              </w:rPr>
            </w:pPr>
            <w:r>
              <w:rPr>
                <w:rFonts w:ascii="Times New Roman" w:cs="Times New Roman" w:eastAsia="Times New Roman" w:hAnsi="Times New Roman"/>
                <w:sz w:val="11"/>
                <w:szCs w:val="11"/>
                <w:color w:val="auto"/>
              </w:rPr>
              <w:t>8.42 %</w:t>
            </w:r>
          </w:p>
        </w:tc>
        <w:tc>
          <w:tcPr>
            <w:tcW w:w="86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3M L+450</w:t>
            </w:r>
          </w:p>
        </w:tc>
        <w:tc>
          <w:tcPr>
            <w:tcW w:w="102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1"/>
                <w:szCs w:val="11"/>
                <w:color w:val="auto"/>
              </w:rPr>
              <w:t>15,636</w:t>
            </w: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15,600</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15,323</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94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Integrative Nutrition, LLC (Revolver) </w:t>
            </w:r>
            <w:r>
              <w:rPr>
                <w:rFonts w:ascii="Times New Roman" w:cs="Times New Roman" w:eastAsia="Times New Roman" w:hAnsi="Times New Roman"/>
                <w:sz w:val="14"/>
                <w:szCs w:val="14"/>
                <w:color w:val="auto"/>
                <w:vertAlign w:val="superscript"/>
              </w:rPr>
              <w:t>(7), (9)</w:t>
            </w:r>
          </w:p>
        </w:tc>
        <w:tc>
          <w:tcPr>
            <w:tcW w:w="900" w:type="dxa"/>
            <w:vAlign w:val="bottom"/>
            <w:gridSpan w:val="2"/>
          </w:tcPr>
          <w:p>
            <w:pPr>
              <w:jc w:val="center"/>
              <w:ind w:left="106"/>
              <w:spacing w:after="0"/>
              <w:rPr>
                <w:sz w:val="20"/>
                <w:szCs w:val="20"/>
                <w:color w:val="auto"/>
              </w:rPr>
            </w:pPr>
            <w:r>
              <w:rPr>
                <w:rFonts w:ascii="Times New Roman" w:cs="Times New Roman" w:eastAsia="Times New Roman" w:hAnsi="Times New Roman"/>
                <w:sz w:val="11"/>
                <w:szCs w:val="11"/>
                <w:color w:val="auto"/>
                <w:w w:val="99"/>
              </w:rPr>
              <w:t>09/29/2023</w:t>
            </w:r>
          </w:p>
        </w:tc>
        <w:tc>
          <w:tcPr>
            <w:tcW w:w="160" w:type="dxa"/>
            <w:vAlign w:val="bottom"/>
          </w:tcPr>
          <w:p>
            <w:pPr>
              <w:spacing w:after="0"/>
              <w:rPr>
                <w:sz w:val="11"/>
                <w:szCs w:val="11"/>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6"/>
              </w:rPr>
              <w:t>Consumer Services</w:t>
            </w:r>
          </w:p>
        </w:tc>
        <w:tc>
          <w:tcPr>
            <w:tcW w:w="140" w:type="dxa"/>
            <w:vAlign w:val="bottom"/>
          </w:tcPr>
          <w:p>
            <w:pPr>
              <w:spacing w:after="0"/>
              <w:rPr>
                <w:sz w:val="11"/>
                <w:szCs w:val="11"/>
                <w:color w:val="auto"/>
              </w:rPr>
            </w:pP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5,000</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gridSpan w:val="2"/>
          </w:tcPr>
          <w:p>
            <w:pPr>
              <w:jc w:val="right"/>
              <w:ind w:right="82"/>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53"/>
        </w:trPr>
        <w:tc>
          <w:tcPr>
            <w:tcW w:w="2940" w:type="dxa"/>
            <w:vAlign w:val="bottom"/>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Integrity Marketing Acquisition, LLC </w:t>
            </w:r>
            <w:r>
              <w:rPr>
                <w:rFonts w:ascii="Times New Roman" w:cs="Times New Roman" w:eastAsia="Times New Roman" w:hAnsi="Times New Roman"/>
                <w:sz w:val="14"/>
                <w:szCs w:val="14"/>
                <w:color w:val="auto"/>
                <w:vertAlign w:val="superscript"/>
              </w:rPr>
              <w:t>(7)</w:t>
            </w:r>
          </w:p>
        </w:tc>
        <w:tc>
          <w:tcPr>
            <w:tcW w:w="900" w:type="dxa"/>
            <w:vAlign w:val="bottom"/>
            <w:gridSpan w:val="2"/>
          </w:tcPr>
          <w:p>
            <w:pPr>
              <w:jc w:val="center"/>
              <w:ind w:left="106"/>
              <w:spacing w:after="0"/>
              <w:rPr>
                <w:sz w:val="20"/>
                <w:szCs w:val="20"/>
                <w:color w:val="auto"/>
              </w:rPr>
            </w:pPr>
            <w:r>
              <w:rPr>
                <w:rFonts w:ascii="Times New Roman" w:cs="Times New Roman" w:eastAsia="Times New Roman" w:hAnsi="Times New Roman"/>
                <w:sz w:val="11"/>
                <w:szCs w:val="11"/>
                <w:color w:val="auto"/>
                <w:w w:val="99"/>
              </w:rPr>
              <w:t>08/27/2025</w:t>
            </w:r>
          </w:p>
        </w:tc>
        <w:tc>
          <w:tcPr>
            <w:tcW w:w="160" w:type="dxa"/>
            <w:vAlign w:val="bottom"/>
          </w:tcPr>
          <w:p>
            <w:pPr>
              <w:spacing w:after="0"/>
              <w:rPr>
                <w:sz w:val="13"/>
                <w:szCs w:val="13"/>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Insurance</w:t>
            </w:r>
          </w:p>
        </w:tc>
        <w:tc>
          <w:tcPr>
            <w:tcW w:w="1200" w:type="dxa"/>
            <w:vAlign w:val="bottom"/>
            <w:gridSpan w:val="3"/>
          </w:tcPr>
          <w:p>
            <w:pPr>
              <w:jc w:val="right"/>
              <w:ind w:right="140"/>
              <w:spacing w:after="0"/>
              <w:rPr>
                <w:sz w:val="20"/>
                <w:szCs w:val="20"/>
                <w:color w:val="auto"/>
              </w:rPr>
            </w:pPr>
            <w:r>
              <w:rPr>
                <w:rFonts w:ascii="Times New Roman" w:cs="Times New Roman" w:eastAsia="Times New Roman" w:hAnsi="Times New Roman"/>
                <w:sz w:val="11"/>
                <w:szCs w:val="11"/>
                <w:color w:val="auto"/>
              </w:rPr>
              <w:t>7.58 %</w:t>
            </w: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SOFR+550</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15,825</w:t>
            </w: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15,697</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15,667</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2940" w:type="dxa"/>
            <w:vAlign w:val="bottom"/>
          </w:tcPr>
          <w:p>
            <w:pPr>
              <w:ind w:left="20"/>
              <w:spacing w:after="0" w:line="117" w:lineRule="exact"/>
              <w:rPr>
                <w:sz w:val="20"/>
                <w:szCs w:val="20"/>
                <w:color w:val="auto"/>
              </w:rPr>
            </w:pPr>
            <w:r>
              <w:rPr>
                <w:rFonts w:ascii="Times New Roman" w:cs="Times New Roman" w:eastAsia="Times New Roman" w:hAnsi="Times New Roman"/>
                <w:sz w:val="11"/>
                <w:szCs w:val="11"/>
                <w:color w:val="auto"/>
              </w:rPr>
              <w:t>ITI Holdings, Inc. (Revolver)</w:t>
            </w:r>
          </w:p>
        </w:tc>
        <w:tc>
          <w:tcPr>
            <w:tcW w:w="900" w:type="dxa"/>
            <w:vAlign w:val="bottom"/>
            <w:gridSpan w:val="2"/>
          </w:tcPr>
          <w:p>
            <w:pPr>
              <w:jc w:val="center"/>
              <w:ind w:left="106"/>
              <w:spacing w:after="0" w:line="117" w:lineRule="exact"/>
              <w:rPr>
                <w:sz w:val="20"/>
                <w:szCs w:val="20"/>
                <w:color w:val="auto"/>
              </w:rPr>
            </w:pPr>
            <w:r>
              <w:rPr>
                <w:rFonts w:ascii="Times New Roman" w:cs="Times New Roman" w:eastAsia="Times New Roman" w:hAnsi="Times New Roman"/>
                <w:sz w:val="11"/>
                <w:szCs w:val="11"/>
                <w:color w:val="auto"/>
                <w:w w:val="99"/>
              </w:rPr>
              <w:t>03/03/2028</w:t>
            </w:r>
          </w:p>
        </w:tc>
        <w:tc>
          <w:tcPr>
            <w:tcW w:w="160" w:type="dxa"/>
            <w:vAlign w:val="bottom"/>
          </w:tcPr>
          <w:p>
            <w:pPr>
              <w:spacing w:after="0"/>
              <w:rPr>
                <w:sz w:val="10"/>
                <w:szCs w:val="10"/>
                <w:color w:val="auto"/>
              </w:rPr>
            </w:pPr>
          </w:p>
        </w:tc>
        <w:tc>
          <w:tcPr>
            <w:tcW w:w="202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color w:val="auto"/>
                <w:w w:val="99"/>
              </w:rPr>
              <w:t>IT Services</w:t>
            </w:r>
          </w:p>
        </w:tc>
        <w:tc>
          <w:tcPr>
            <w:tcW w:w="1200" w:type="dxa"/>
            <w:vAlign w:val="bottom"/>
            <w:gridSpan w:val="3"/>
          </w:tcPr>
          <w:p>
            <w:pPr>
              <w:jc w:val="right"/>
              <w:ind w:right="140"/>
              <w:spacing w:after="0" w:line="117" w:lineRule="exact"/>
              <w:rPr>
                <w:sz w:val="20"/>
                <w:szCs w:val="20"/>
                <w:color w:val="auto"/>
              </w:rPr>
            </w:pPr>
            <w:r>
              <w:rPr>
                <w:rFonts w:ascii="Times New Roman" w:cs="Times New Roman" w:eastAsia="Times New Roman" w:hAnsi="Times New Roman"/>
                <w:sz w:val="11"/>
                <w:szCs w:val="11"/>
                <w:color w:val="auto"/>
              </w:rPr>
              <w:t>8.25 %</w:t>
            </w:r>
          </w:p>
        </w:tc>
        <w:tc>
          <w:tcPr>
            <w:tcW w:w="86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3M L+550</w:t>
            </w:r>
          </w:p>
        </w:tc>
        <w:tc>
          <w:tcPr>
            <w:tcW w:w="102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1"/>
                <w:szCs w:val="11"/>
                <w:color w:val="auto"/>
              </w:rPr>
              <w:t>133</w:t>
            </w: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133</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130</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94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ITI Holdings, Inc. (Revolver) </w:t>
            </w:r>
            <w:r>
              <w:rPr>
                <w:rFonts w:ascii="Times New Roman" w:cs="Times New Roman" w:eastAsia="Times New Roman" w:hAnsi="Times New Roman"/>
                <w:sz w:val="14"/>
                <w:szCs w:val="14"/>
                <w:color w:val="auto"/>
                <w:vertAlign w:val="superscript"/>
              </w:rPr>
              <w:t>(9)</w:t>
            </w:r>
          </w:p>
        </w:tc>
        <w:tc>
          <w:tcPr>
            <w:tcW w:w="900" w:type="dxa"/>
            <w:vAlign w:val="bottom"/>
            <w:gridSpan w:val="2"/>
          </w:tcPr>
          <w:p>
            <w:pPr>
              <w:jc w:val="center"/>
              <w:ind w:left="106"/>
              <w:spacing w:after="0"/>
              <w:rPr>
                <w:sz w:val="20"/>
                <w:szCs w:val="20"/>
                <w:color w:val="auto"/>
              </w:rPr>
            </w:pPr>
            <w:r>
              <w:rPr>
                <w:rFonts w:ascii="Times New Roman" w:cs="Times New Roman" w:eastAsia="Times New Roman" w:hAnsi="Times New Roman"/>
                <w:sz w:val="11"/>
                <w:szCs w:val="11"/>
                <w:color w:val="auto"/>
                <w:w w:val="99"/>
              </w:rPr>
              <w:t>03/03/2028</w:t>
            </w:r>
          </w:p>
        </w:tc>
        <w:tc>
          <w:tcPr>
            <w:tcW w:w="160" w:type="dxa"/>
            <w:vAlign w:val="bottom"/>
          </w:tcPr>
          <w:p>
            <w:pPr>
              <w:spacing w:after="0"/>
              <w:rPr>
                <w:sz w:val="11"/>
                <w:szCs w:val="11"/>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IT Services</w:t>
            </w:r>
          </w:p>
        </w:tc>
        <w:tc>
          <w:tcPr>
            <w:tcW w:w="140" w:type="dxa"/>
            <w:vAlign w:val="bottom"/>
          </w:tcPr>
          <w:p>
            <w:pPr>
              <w:spacing w:after="0"/>
              <w:rPr>
                <w:sz w:val="11"/>
                <w:szCs w:val="11"/>
                <w:color w:val="auto"/>
              </w:rPr>
            </w:pP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532</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gridSpan w:val="2"/>
          </w:tcPr>
          <w:p>
            <w:pPr>
              <w:jc w:val="right"/>
              <w:ind w:right="22"/>
              <w:spacing w:after="0"/>
              <w:rPr>
                <w:sz w:val="20"/>
                <w:szCs w:val="20"/>
                <w:color w:val="auto"/>
              </w:rPr>
            </w:pPr>
            <w:r>
              <w:rPr>
                <w:rFonts w:ascii="Times New Roman" w:cs="Times New Roman" w:eastAsia="Times New Roman" w:hAnsi="Times New Roman"/>
                <w:sz w:val="11"/>
                <w:szCs w:val="11"/>
                <w:color w:val="auto"/>
              </w:rPr>
              <w:t>(11 )</w:t>
            </w:r>
          </w:p>
        </w:tc>
        <w:tc>
          <w:tcPr>
            <w:tcW w:w="0" w:type="dxa"/>
            <w:vAlign w:val="bottom"/>
          </w:tcPr>
          <w:p>
            <w:pPr>
              <w:spacing w:after="0"/>
              <w:rPr>
                <w:sz w:val="1"/>
                <w:szCs w:val="1"/>
                <w:color w:val="auto"/>
              </w:rPr>
            </w:pPr>
          </w:p>
        </w:tc>
      </w:tr>
      <w:tr>
        <w:trPr>
          <w:trHeight w:val="153"/>
        </w:trPr>
        <w:tc>
          <w:tcPr>
            <w:tcW w:w="2940" w:type="dxa"/>
            <w:vAlign w:val="bottom"/>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K2 Pure Solutions NoCal, L.P. (Revolver) </w:t>
            </w:r>
            <w:r>
              <w:rPr>
                <w:rFonts w:ascii="Times New Roman" w:cs="Times New Roman" w:eastAsia="Times New Roman" w:hAnsi="Times New Roman"/>
                <w:sz w:val="14"/>
                <w:szCs w:val="14"/>
                <w:color w:val="auto"/>
                <w:vertAlign w:val="superscript"/>
              </w:rPr>
              <w:t>(7), (9)</w:t>
            </w:r>
          </w:p>
        </w:tc>
        <w:tc>
          <w:tcPr>
            <w:tcW w:w="900" w:type="dxa"/>
            <w:vAlign w:val="bottom"/>
            <w:gridSpan w:val="2"/>
          </w:tcPr>
          <w:p>
            <w:pPr>
              <w:jc w:val="center"/>
              <w:ind w:left="106"/>
              <w:spacing w:after="0"/>
              <w:rPr>
                <w:sz w:val="20"/>
                <w:szCs w:val="20"/>
                <w:color w:val="auto"/>
              </w:rPr>
            </w:pPr>
            <w:r>
              <w:rPr>
                <w:rFonts w:ascii="Times New Roman" w:cs="Times New Roman" w:eastAsia="Times New Roman" w:hAnsi="Times New Roman"/>
                <w:sz w:val="11"/>
                <w:szCs w:val="11"/>
                <w:color w:val="auto"/>
                <w:w w:val="99"/>
              </w:rPr>
              <w:t>12/20/2023</w:t>
            </w:r>
          </w:p>
        </w:tc>
        <w:tc>
          <w:tcPr>
            <w:tcW w:w="160" w:type="dxa"/>
            <w:vAlign w:val="bottom"/>
          </w:tcPr>
          <w:p>
            <w:pPr>
              <w:spacing w:after="0"/>
              <w:rPr>
                <w:sz w:val="13"/>
                <w:szCs w:val="13"/>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Chemicals, Plastics and Rubber</w:t>
            </w:r>
          </w:p>
        </w:tc>
        <w:tc>
          <w:tcPr>
            <w:tcW w:w="140" w:type="dxa"/>
            <w:vAlign w:val="bottom"/>
          </w:tcPr>
          <w:p>
            <w:pPr>
              <w:spacing w:after="0"/>
              <w:rPr>
                <w:sz w:val="13"/>
                <w:szCs w:val="13"/>
                <w:color w:val="auto"/>
              </w:rPr>
            </w:pP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1,429</w:t>
            </w: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gridSpan w:val="2"/>
          </w:tcPr>
          <w:p>
            <w:pPr>
              <w:jc w:val="right"/>
              <w:ind w:right="82"/>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17"/>
        </w:trPr>
        <w:tc>
          <w:tcPr>
            <w:tcW w:w="2940" w:type="dxa"/>
            <w:vAlign w:val="bottom"/>
          </w:tcPr>
          <w:p>
            <w:pPr>
              <w:ind w:left="20"/>
              <w:spacing w:after="0" w:line="117" w:lineRule="exact"/>
              <w:rPr>
                <w:sz w:val="20"/>
                <w:szCs w:val="20"/>
                <w:color w:val="auto"/>
              </w:rPr>
            </w:pPr>
            <w:r>
              <w:rPr>
                <w:rFonts w:ascii="Times New Roman" w:cs="Times New Roman" w:eastAsia="Times New Roman" w:hAnsi="Times New Roman"/>
                <w:sz w:val="11"/>
                <w:szCs w:val="11"/>
                <w:color w:val="auto"/>
              </w:rPr>
              <w:t>Kinetic Purchaser, LLC</w:t>
            </w:r>
          </w:p>
        </w:tc>
        <w:tc>
          <w:tcPr>
            <w:tcW w:w="900" w:type="dxa"/>
            <w:vAlign w:val="bottom"/>
            <w:gridSpan w:val="2"/>
          </w:tcPr>
          <w:p>
            <w:pPr>
              <w:jc w:val="center"/>
              <w:ind w:left="86"/>
              <w:spacing w:after="0" w:line="117" w:lineRule="exact"/>
              <w:rPr>
                <w:sz w:val="20"/>
                <w:szCs w:val="20"/>
                <w:color w:val="auto"/>
              </w:rPr>
            </w:pPr>
            <w:r>
              <w:rPr>
                <w:rFonts w:ascii="Times New Roman" w:cs="Times New Roman" w:eastAsia="Times New Roman" w:hAnsi="Times New Roman"/>
                <w:sz w:val="11"/>
                <w:szCs w:val="11"/>
                <w:color w:val="auto"/>
                <w:w w:val="95"/>
              </w:rPr>
              <w:t>11/10/2027</w:t>
            </w:r>
          </w:p>
        </w:tc>
        <w:tc>
          <w:tcPr>
            <w:tcW w:w="160" w:type="dxa"/>
            <w:vAlign w:val="bottom"/>
          </w:tcPr>
          <w:p>
            <w:pPr>
              <w:spacing w:after="0"/>
              <w:rPr>
                <w:sz w:val="10"/>
                <w:szCs w:val="10"/>
                <w:color w:val="auto"/>
              </w:rPr>
            </w:pPr>
          </w:p>
        </w:tc>
        <w:tc>
          <w:tcPr>
            <w:tcW w:w="202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color w:val="auto"/>
                <w:w w:val="98"/>
              </w:rPr>
              <w:t>Personal Products</w:t>
            </w:r>
          </w:p>
        </w:tc>
        <w:tc>
          <w:tcPr>
            <w:tcW w:w="1200" w:type="dxa"/>
            <w:vAlign w:val="bottom"/>
            <w:gridSpan w:val="3"/>
          </w:tcPr>
          <w:p>
            <w:pPr>
              <w:jc w:val="right"/>
              <w:ind w:right="140"/>
              <w:spacing w:after="0" w:line="117" w:lineRule="exact"/>
              <w:rPr>
                <w:sz w:val="20"/>
                <w:szCs w:val="20"/>
                <w:color w:val="auto"/>
              </w:rPr>
            </w:pPr>
            <w:r>
              <w:rPr>
                <w:rFonts w:ascii="Times New Roman" w:cs="Times New Roman" w:eastAsia="Times New Roman" w:hAnsi="Times New Roman"/>
                <w:sz w:val="11"/>
                <w:szCs w:val="11"/>
                <w:color w:val="auto"/>
              </w:rPr>
              <w:t>9.67 %</w:t>
            </w:r>
          </w:p>
        </w:tc>
        <w:tc>
          <w:tcPr>
            <w:tcW w:w="86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3M L+600</w:t>
            </w:r>
          </w:p>
        </w:tc>
        <w:tc>
          <w:tcPr>
            <w:tcW w:w="102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1"/>
                <w:szCs w:val="11"/>
                <w:color w:val="auto"/>
              </w:rPr>
              <w:t>17,428</w:t>
            </w: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17,120</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17,079</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940" w:type="dxa"/>
            <w:vAlign w:val="bottom"/>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Kinetic Purchaser, LLC - (Revolver) </w:t>
            </w:r>
            <w:r>
              <w:rPr>
                <w:rFonts w:ascii="Times New Roman" w:cs="Times New Roman" w:eastAsia="Times New Roman" w:hAnsi="Times New Roman"/>
                <w:sz w:val="14"/>
                <w:szCs w:val="14"/>
                <w:color w:val="auto"/>
                <w:vertAlign w:val="superscript"/>
              </w:rPr>
              <w:t>(9)</w:t>
            </w:r>
          </w:p>
        </w:tc>
        <w:tc>
          <w:tcPr>
            <w:tcW w:w="90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5"/>
              </w:rPr>
              <w:t>11/10/2026</w:t>
            </w:r>
          </w:p>
        </w:tc>
        <w:tc>
          <w:tcPr>
            <w:tcW w:w="160" w:type="dxa"/>
            <w:vAlign w:val="bottom"/>
          </w:tcPr>
          <w:p>
            <w:pPr>
              <w:spacing w:after="0"/>
              <w:rPr>
                <w:sz w:val="13"/>
                <w:szCs w:val="13"/>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Personal Products</w:t>
            </w:r>
          </w:p>
        </w:tc>
        <w:tc>
          <w:tcPr>
            <w:tcW w:w="1200" w:type="dxa"/>
            <w:vAlign w:val="bottom"/>
            <w:gridSpan w:val="3"/>
          </w:tcPr>
          <w:p>
            <w:pPr>
              <w:jc w:val="right"/>
              <w:ind w:right="140"/>
              <w:spacing w:after="0"/>
              <w:rPr>
                <w:sz w:val="20"/>
                <w:szCs w:val="20"/>
                <w:color w:val="auto"/>
              </w:rPr>
            </w:pPr>
            <w:r>
              <w:rPr>
                <w:rFonts w:ascii="Times New Roman" w:cs="Times New Roman" w:eastAsia="Times New Roman" w:hAnsi="Times New Roman"/>
                <w:sz w:val="11"/>
                <w:szCs w:val="11"/>
                <w:color w:val="auto"/>
              </w:rPr>
              <w:t>9.67 %</w:t>
            </w: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L+600</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3,435</w:t>
            </w: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3,435</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3,366</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2940" w:type="dxa"/>
            <w:vAlign w:val="bottom"/>
          </w:tcPr>
          <w:p>
            <w:pPr>
              <w:ind w:left="20"/>
              <w:spacing w:after="0" w:line="117" w:lineRule="exact"/>
              <w:rPr>
                <w:sz w:val="20"/>
                <w:szCs w:val="20"/>
                <w:color w:val="auto"/>
              </w:rPr>
            </w:pPr>
            <w:r>
              <w:rPr>
                <w:rFonts w:ascii="Times New Roman" w:cs="Times New Roman" w:eastAsia="Times New Roman" w:hAnsi="Times New Roman"/>
                <w:sz w:val="11"/>
                <w:szCs w:val="11"/>
                <w:color w:val="auto"/>
              </w:rPr>
              <w:t>Lash OpCo, LLC</w:t>
            </w:r>
          </w:p>
        </w:tc>
        <w:tc>
          <w:tcPr>
            <w:tcW w:w="900" w:type="dxa"/>
            <w:vAlign w:val="bottom"/>
            <w:gridSpan w:val="2"/>
          </w:tcPr>
          <w:p>
            <w:pPr>
              <w:jc w:val="center"/>
              <w:ind w:left="106"/>
              <w:spacing w:after="0" w:line="117" w:lineRule="exact"/>
              <w:rPr>
                <w:sz w:val="20"/>
                <w:szCs w:val="20"/>
                <w:color w:val="auto"/>
              </w:rPr>
            </w:pPr>
            <w:r>
              <w:rPr>
                <w:rFonts w:ascii="Times New Roman" w:cs="Times New Roman" w:eastAsia="Times New Roman" w:hAnsi="Times New Roman"/>
                <w:sz w:val="11"/>
                <w:szCs w:val="11"/>
                <w:color w:val="auto"/>
                <w:w w:val="99"/>
              </w:rPr>
              <w:t>02/18/2027</w:t>
            </w:r>
          </w:p>
        </w:tc>
        <w:tc>
          <w:tcPr>
            <w:tcW w:w="160" w:type="dxa"/>
            <w:vAlign w:val="bottom"/>
          </w:tcPr>
          <w:p>
            <w:pPr>
              <w:spacing w:after="0"/>
              <w:rPr>
                <w:sz w:val="10"/>
                <w:szCs w:val="10"/>
                <w:color w:val="auto"/>
              </w:rPr>
            </w:pPr>
          </w:p>
        </w:tc>
        <w:tc>
          <w:tcPr>
            <w:tcW w:w="202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color w:val="auto"/>
                <w:w w:val="98"/>
              </w:rPr>
              <w:t>Personal Products</w:t>
            </w:r>
          </w:p>
        </w:tc>
        <w:tc>
          <w:tcPr>
            <w:tcW w:w="1200" w:type="dxa"/>
            <w:vAlign w:val="bottom"/>
            <w:gridSpan w:val="3"/>
          </w:tcPr>
          <w:p>
            <w:pPr>
              <w:jc w:val="right"/>
              <w:ind w:right="140"/>
              <w:spacing w:after="0" w:line="117" w:lineRule="exact"/>
              <w:rPr>
                <w:sz w:val="20"/>
                <w:szCs w:val="20"/>
                <w:color w:val="auto"/>
              </w:rPr>
            </w:pPr>
            <w:r>
              <w:rPr>
                <w:rFonts w:ascii="Times New Roman" w:cs="Times New Roman" w:eastAsia="Times New Roman" w:hAnsi="Times New Roman"/>
                <w:sz w:val="11"/>
                <w:szCs w:val="11"/>
                <w:color w:val="auto"/>
              </w:rPr>
              <w:t>11.17 %</w:t>
            </w:r>
          </w:p>
        </w:tc>
        <w:tc>
          <w:tcPr>
            <w:tcW w:w="86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1M L+700</w:t>
            </w:r>
          </w:p>
        </w:tc>
        <w:tc>
          <w:tcPr>
            <w:tcW w:w="102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1"/>
                <w:szCs w:val="11"/>
                <w:color w:val="auto"/>
              </w:rPr>
              <w:t>10,511</w:t>
            </w: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10,323</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10,300</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94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Lash OpCo, LLC (Revolver) </w:t>
            </w:r>
            <w:r>
              <w:rPr>
                <w:rFonts w:ascii="Times New Roman" w:cs="Times New Roman" w:eastAsia="Times New Roman" w:hAnsi="Times New Roman"/>
                <w:sz w:val="14"/>
                <w:szCs w:val="14"/>
                <w:color w:val="auto"/>
                <w:vertAlign w:val="superscript"/>
              </w:rPr>
              <w:t>(7)</w:t>
            </w:r>
          </w:p>
        </w:tc>
        <w:tc>
          <w:tcPr>
            <w:tcW w:w="900" w:type="dxa"/>
            <w:vAlign w:val="bottom"/>
            <w:gridSpan w:val="2"/>
          </w:tcPr>
          <w:p>
            <w:pPr>
              <w:jc w:val="center"/>
              <w:ind w:left="106"/>
              <w:spacing w:after="0"/>
              <w:rPr>
                <w:sz w:val="20"/>
                <w:szCs w:val="20"/>
                <w:color w:val="auto"/>
              </w:rPr>
            </w:pPr>
            <w:r>
              <w:rPr>
                <w:rFonts w:ascii="Times New Roman" w:cs="Times New Roman" w:eastAsia="Times New Roman" w:hAnsi="Times New Roman"/>
                <w:sz w:val="11"/>
                <w:szCs w:val="11"/>
                <w:color w:val="auto"/>
                <w:w w:val="99"/>
              </w:rPr>
              <w:t>08/16/2026</w:t>
            </w:r>
          </w:p>
        </w:tc>
        <w:tc>
          <w:tcPr>
            <w:tcW w:w="160" w:type="dxa"/>
            <w:vAlign w:val="bottom"/>
          </w:tcPr>
          <w:p>
            <w:pPr>
              <w:spacing w:after="0"/>
              <w:rPr>
                <w:sz w:val="11"/>
                <w:szCs w:val="11"/>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Personal Products</w:t>
            </w:r>
          </w:p>
        </w:tc>
        <w:tc>
          <w:tcPr>
            <w:tcW w:w="1200" w:type="dxa"/>
            <w:vAlign w:val="bottom"/>
            <w:gridSpan w:val="3"/>
          </w:tcPr>
          <w:p>
            <w:pPr>
              <w:jc w:val="right"/>
              <w:ind w:right="140"/>
              <w:spacing w:after="0"/>
              <w:rPr>
                <w:sz w:val="20"/>
                <w:szCs w:val="20"/>
                <w:color w:val="auto"/>
              </w:rPr>
            </w:pPr>
            <w:r>
              <w:rPr>
                <w:rFonts w:ascii="Times New Roman" w:cs="Times New Roman" w:eastAsia="Times New Roman" w:hAnsi="Times New Roman"/>
                <w:sz w:val="11"/>
                <w:szCs w:val="11"/>
                <w:color w:val="auto"/>
              </w:rPr>
              <w:t>9.38 %</w:t>
            </w: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1M L+700</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599</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599</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587</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940" w:type="dxa"/>
            <w:vAlign w:val="bottom"/>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Lash OpCo, LLC (Revolver) </w:t>
            </w:r>
            <w:r>
              <w:rPr>
                <w:rFonts w:ascii="Times New Roman" w:cs="Times New Roman" w:eastAsia="Times New Roman" w:hAnsi="Times New Roman"/>
                <w:sz w:val="14"/>
                <w:szCs w:val="14"/>
                <w:color w:val="auto"/>
                <w:vertAlign w:val="superscript"/>
              </w:rPr>
              <w:t>(7), (9)</w:t>
            </w:r>
          </w:p>
        </w:tc>
        <w:tc>
          <w:tcPr>
            <w:tcW w:w="900" w:type="dxa"/>
            <w:vAlign w:val="bottom"/>
            <w:gridSpan w:val="2"/>
          </w:tcPr>
          <w:p>
            <w:pPr>
              <w:jc w:val="center"/>
              <w:ind w:left="106"/>
              <w:spacing w:after="0"/>
              <w:rPr>
                <w:sz w:val="20"/>
                <w:szCs w:val="20"/>
                <w:color w:val="auto"/>
              </w:rPr>
            </w:pPr>
            <w:r>
              <w:rPr>
                <w:rFonts w:ascii="Times New Roman" w:cs="Times New Roman" w:eastAsia="Times New Roman" w:hAnsi="Times New Roman"/>
                <w:sz w:val="11"/>
                <w:szCs w:val="11"/>
                <w:color w:val="auto"/>
                <w:w w:val="99"/>
              </w:rPr>
              <w:t>08/16/2026</w:t>
            </w:r>
          </w:p>
        </w:tc>
        <w:tc>
          <w:tcPr>
            <w:tcW w:w="160" w:type="dxa"/>
            <w:vAlign w:val="bottom"/>
          </w:tcPr>
          <w:p>
            <w:pPr>
              <w:spacing w:after="0"/>
              <w:rPr>
                <w:sz w:val="13"/>
                <w:szCs w:val="13"/>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Personal Products</w:t>
            </w:r>
          </w:p>
        </w:tc>
        <w:tc>
          <w:tcPr>
            <w:tcW w:w="140" w:type="dxa"/>
            <w:vAlign w:val="bottom"/>
          </w:tcPr>
          <w:p>
            <w:pPr>
              <w:spacing w:after="0"/>
              <w:rPr>
                <w:sz w:val="13"/>
                <w:szCs w:val="13"/>
                <w:color w:val="auto"/>
              </w:rPr>
            </w:pP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Pr>
          <w:p>
            <w:pPr>
              <w:spacing w:after="0"/>
              <w:rPr>
                <w:sz w:val="13"/>
                <w:szCs w:val="13"/>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1,321</w:t>
            </w: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gridSpan w:val="2"/>
          </w:tcPr>
          <w:p>
            <w:pPr>
              <w:jc w:val="right"/>
              <w:ind w:right="22"/>
              <w:spacing w:after="0"/>
              <w:rPr>
                <w:sz w:val="20"/>
                <w:szCs w:val="20"/>
                <w:color w:val="auto"/>
              </w:rPr>
            </w:pPr>
            <w:r>
              <w:rPr>
                <w:rFonts w:ascii="Times New Roman" w:cs="Times New Roman" w:eastAsia="Times New Roman" w:hAnsi="Times New Roman"/>
                <w:sz w:val="11"/>
                <w:szCs w:val="11"/>
                <w:color w:val="auto"/>
              </w:rPr>
              <w:t>(26 )</w:t>
            </w:r>
          </w:p>
        </w:tc>
        <w:tc>
          <w:tcPr>
            <w:tcW w:w="0" w:type="dxa"/>
            <w:vAlign w:val="bottom"/>
          </w:tcPr>
          <w:p>
            <w:pPr>
              <w:spacing w:after="0"/>
              <w:rPr>
                <w:sz w:val="1"/>
                <w:szCs w:val="1"/>
                <w:color w:val="auto"/>
              </w:rPr>
            </w:pPr>
          </w:p>
        </w:tc>
      </w:tr>
      <w:tr>
        <w:trPr>
          <w:trHeight w:val="135"/>
        </w:trPr>
        <w:tc>
          <w:tcPr>
            <w:tcW w:w="29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LAV Gear Holdings, Inc.</w:t>
            </w:r>
          </w:p>
        </w:tc>
        <w:tc>
          <w:tcPr>
            <w:tcW w:w="900" w:type="dxa"/>
            <w:vAlign w:val="bottom"/>
            <w:gridSpan w:val="2"/>
          </w:tcPr>
          <w:p>
            <w:pPr>
              <w:jc w:val="center"/>
              <w:ind w:left="106"/>
              <w:spacing w:after="0"/>
              <w:rPr>
                <w:sz w:val="20"/>
                <w:szCs w:val="20"/>
                <w:color w:val="auto"/>
              </w:rPr>
            </w:pPr>
            <w:r>
              <w:rPr>
                <w:rFonts w:ascii="Times New Roman" w:cs="Times New Roman" w:eastAsia="Times New Roman" w:hAnsi="Times New Roman"/>
                <w:sz w:val="11"/>
                <w:szCs w:val="11"/>
                <w:color w:val="auto"/>
                <w:w w:val="99"/>
              </w:rPr>
              <w:t>10/31/2024</w:t>
            </w:r>
          </w:p>
        </w:tc>
        <w:tc>
          <w:tcPr>
            <w:tcW w:w="160" w:type="dxa"/>
            <w:vAlign w:val="bottom"/>
          </w:tcPr>
          <w:p>
            <w:pPr>
              <w:spacing w:after="0"/>
              <w:rPr>
                <w:sz w:val="11"/>
                <w:szCs w:val="11"/>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Capital Equipment</w:t>
            </w:r>
          </w:p>
        </w:tc>
        <w:tc>
          <w:tcPr>
            <w:tcW w:w="1200" w:type="dxa"/>
            <w:vAlign w:val="bottom"/>
            <w:gridSpan w:val="3"/>
          </w:tcPr>
          <w:p>
            <w:pPr>
              <w:jc w:val="right"/>
              <w:ind w:right="140"/>
              <w:spacing w:after="0"/>
              <w:rPr>
                <w:sz w:val="20"/>
                <w:szCs w:val="20"/>
                <w:color w:val="auto"/>
              </w:rPr>
            </w:pPr>
            <w:r>
              <w:rPr>
                <w:rFonts w:ascii="Times New Roman" w:cs="Times New Roman" w:eastAsia="Times New Roman" w:hAnsi="Times New Roman"/>
                <w:sz w:val="11"/>
                <w:szCs w:val="11"/>
                <w:color w:val="auto"/>
              </w:rPr>
              <w:t>9.95 %</w:t>
            </w: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1M L+750</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9,565</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9,542</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9,345</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40" w:type="dxa"/>
            <w:vAlign w:val="bottom"/>
            <w:vMerge w:val="restart"/>
          </w:tcPr>
          <w:p>
            <w:pPr>
              <w:ind w:left="20"/>
              <w:spacing w:after="0"/>
              <w:rPr>
                <w:sz w:val="20"/>
                <w:szCs w:val="20"/>
                <w:color w:val="auto"/>
              </w:rPr>
            </w:pPr>
            <w:r>
              <w:rPr>
                <w:rFonts w:ascii="Times New Roman" w:cs="Times New Roman" w:eastAsia="Times New Roman" w:hAnsi="Times New Roman"/>
                <w:sz w:val="11"/>
                <w:szCs w:val="11"/>
                <w:color w:val="auto"/>
              </w:rPr>
              <w:t xml:space="preserve">LAV Gear Holdings, Inc. (Revolver) </w:t>
            </w:r>
            <w:r>
              <w:rPr>
                <w:rFonts w:ascii="Times New Roman" w:cs="Times New Roman" w:eastAsia="Times New Roman" w:hAnsi="Times New Roman"/>
                <w:sz w:val="14"/>
                <w:szCs w:val="14"/>
                <w:color w:val="auto"/>
                <w:vertAlign w:val="superscript"/>
              </w:rPr>
              <w:t>(7)</w:t>
            </w: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(PIK 5.50%)</w:t>
            </w: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940" w:type="dxa"/>
            <w:vAlign w:val="bottom"/>
            <w:vMerge w:val="continue"/>
          </w:tcPr>
          <w:p>
            <w:pPr>
              <w:spacing w:after="0"/>
              <w:rPr>
                <w:sz w:val="12"/>
                <w:szCs w:val="12"/>
                <w:color w:val="auto"/>
              </w:rPr>
            </w:pPr>
          </w:p>
        </w:tc>
        <w:tc>
          <w:tcPr>
            <w:tcW w:w="900" w:type="dxa"/>
            <w:vAlign w:val="bottom"/>
            <w:gridSpan w:val="2"/>
          </w:tcPr>
          <w:p>
            <w:pPr>
              <w:jc w:val="center"/>
              <w:ind w:left="106"/>
              <w:spacing w:after="0"/>
              <w:rPr>
                <w:sz w:val="20"/>
                <w:szCs w:val="20"/>
                <w:color w:val="auto"/>
              </w:rPr>
            </w:pPr>
            <w:r>
              <w:rPr>
                <w:rFonts w:ascii="Times New Roman" w:cs="Times New Roman" w:eastAsia="Times New Roman" w:hAnsi="Times New Roman"/>
                <w:sz w:val="11"/>
                <w:szCs w:val="11"/>
                <w:color w:val="auto"/>
                <w:w w:val="99"/>
              </w:rPr>
              <w:t>10/31/2024</w:t>
            </w:r>
          </w:p>
        </w:tc>
        <w:tc>
          <w:tcPr>
            <w:tcW w:w="160" w:type="dxa"/>
            <w:vAlign w:val="bottom"/>
          </w:tcPr>
          <w:p>
            <w:pPr>
              <w:spacing w:after="0"/>
              <w:rPr>
                <w:sz w:val="12"/>
                <w:szCs w:val="12"/>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Capital Equipment</w:t>
            </w:r>
          </w:p>
        </w:tc>
        <w:tc>
          <w:tcPr>
            <w:tcW w:w="1200" w:type="dxa"/>
            <w:vAlign w:val="bottom"/>
            <w:gridSpan w:val="3"/>
          </w:tcPr>
          <w:p>
            <w:pPr>
              <w:jc w:val="right"/>
              <w:ind w:right="140"/>
              <w:spacing w:after="0"/>
              <w:rPr>
                <w:sz w:val="20"/>
                <w:szCs w:val="20"/>
                <w:color w:val="auto"/>
              </w:rPr>
            </w:pPr>
            <w:r>
              <w:rPr>
                <w:rFonts w:ascii="Times New Roman" w:cs="Times New Roman" w:eastAsia="Times New Roman" w:hAnsi="Times New Roman"/>
                <w:sz w:val="11"/>
                <w:szCs w:val="11"/>
                <w:color w:val="auto"/>
              </w:rPr>
              <w:t>9.95 %</w:t>
            </w: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1M L+750</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1,721</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1,721</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1,681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940" w:type="dxa"/>
            <w:vAlign w:val="bottom"/>
            <w:vMerge w:val="restart"/>
          </w:tcPr>
          <w:p>
            <w:pPr>
              <w:ind w:left="20"/>
              <w:spacing w:after="0"/>
              <w:rPr>
                <w:sz w:val="20"/>
                <w:szCs w:val="20"/>
                <w:color w:val="auto"/>
              </w:rPr>
            </w:pPr>
            <w:r>
              <w:rPr>
                <w:rFonts w:ascii="Times New Roman" w:cs="Times New Roman" w:eastAsia="Times New Roman" w:hAnsi="Times New Roman"/>
                <w:sz w:val="11"/>
                <w:szCs w:val="11"/>
                <w:color w:val="auto"/>
              </w:rPr>
              <w:t>Ledge Lounger, Inc.</w:t>
            </w:r>
          </w:p>
        </w:tc>
        <w:tc>
          <w:tcPr>
            <w:tcW w:w="140" w:type="dxa"/>
            <w:vAlign w:val="bottom"/>
            <w:shd w:val="clear" w:color="auto" w:fill="CCECFF"/>
          </w:tcPr>
          <w:p>
            <w:pPr>
              <w:spacing w:after="0"/>
              <w:rPr>
                <w:sz w:val="11"/>
                <w:szCs w:val="11"/>
                <w:color w:val="auto"/>
              </w:rPr>
            </w:pPr>
          </w:p>
        </w:tc>
        <w:tc>
          <w:tcPr>
            <w:tcW w:w="76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20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1060" w:type="dxa"/>
            <w:vAlign w:val="bottom"/>
            <w:gridSpan w:val="2"/>
            <w:shd w:val="clear" w:color="auto" w:fill="CCECFF"/>
          </w:tcPr>
          <w:p>
            <w:pPr>
              <w:jc w:val="right"/>
              <w:ind w:right="260"/>
              <w:spacing w:after="0"/>
              <w:rPr>
                <w:sz w:val="20"/>
                <w:szCs w:val="20"/>
                <w:color w:val="auto"/>
              </w:rPr>
            </w:pPr>
            <w:r>
              <w:rPr>
                <w:rFonts w:ascii="Times New Roman" w:cs="Times New Roman" w:eastAsia="Times New Roman" w:hAnsi="Times New Roman"/>
                <w:sz w:val="11"/>
                <w:szCs w:val="11"/>
                <w:color w:val="auto"/>
              </w:rPr>
              <w:t>(PIK 5.50%)</w:t>
            </w:r>
          </w:p>
        </w:tc>
        <w:tc>
          <w:tcPr>
            <w:tcW w:w="86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800" w:type="dxa"/>
            <w:vAlign w:val="bottom"/>
            <w:shd w:val="clear" w:color="auto" w:fill="CCECFF"/>
          </w:tcPr>
          <w:p>
            <w:pPr>
              <w:spacing w:after="0"/>
              <w:rPr>
                <w:sz w:val="11"/>
                <w:szCs w:val="11"/>
                <w:color w:val="auto"/>
              </w:rPr>
            </w:pPr>
          </w:p>
        </w:tc>
        <w:tc>
          <w:tcPr>
            <w:tcW w:w="20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62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7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03"/>
        </w:trPr>
        <w:tc>
          <w:tcPr>
            <w:tcW w:w="2940" w:type="dxa"/>
            <w:vAlign w:val="bottom"/>
            <w:vMerge w:val="continue"/>
          </w:tcPr>
          <w:p>
            <w:pPr>
              <w:spacing w:after="0"/>
              <w:rPr>
                <w:sz w:val="8"/>
                <w:szCs w:val="8"/>
                <w:color w:val="auto"/>
              </w:rPr>
            </w:pPr>
          </w:p>
        </w:tc>
        <w:tc>
          <w:tcPr>
            <w:tcW w:w="900" w:type="dxa"/>
            <w:vAlign w:val="bottom"/>
            <w:gridSpan w:val="2"/>
          </w:tcPr>
          <w:p>
            <w:pPr>
              <w:jc w:val="center"/>
              <w:ind w:left="86"/>
              <w:spacing w:after="0" w:line="103" w:lineRule="exact"/>
              <w:rPr>
                <w:sz w:val="20"/>
                <w:szCs w:val="20"/>
                <w:color w:val="auto"/>
              </w:rPr>
            </w:pPr>
            <w:r>
              <w:rPr>
                <w:rFonts w:ascii="Times New Roman" w:cs="Times New Roman" w:eastAsia="Times New Roman" w:hAnsi="Times New Roman"/>
                <w:sz w:val="11"/>
                <w:szCs w:val="11"/>
                <w:color w:val="auto"/>
                <w:w w:val="95"/>
              </w:rPr>
              <w:t>11/09/2026</w:t>
            </w:r>
          </w:p>
        </w:tc>
        <w:tc>
          <w:tcPr>
            <w:tcW w:w="160" w:type="dxa"/>
            <w:vAlign w:val="bottom"/>
          </w:tcPr>
          <w:p>
            <w:pPr>
              <w:spacing w:after="0"/>
              <w:rPr>
                <w:sz w:val="8"/>
                <w:szCs w:val="8"/>
                <w:color w:val="auto"/>
              </w:rPr>
            </w:pPr>
          </w:p>
        </w:tc>
        <w:tc>
          <w:tcPr>
            <w:tcW w:w="2020" w:type="dxa"/>
            <w:vAlign w:val="bottom"/>
          </w:tcPr>
          <w:p>
            <w:pPr>
              <w:jc w:val="center"/>
              <w:spacing w:after="0" w:line="103" w:lineRule="exact"/>
              <w:rPr>
                <w:sz w:val="20"/>
                <w:szCs w:val="20"/>
                <w:color w:val="auto"/>
              </w:rPr>
            </w:pPr>
            <w:r>
              <w:rPr>
                <w:rFonts w:ascii="Times New Roman" w:cs="Times New Roman" w:eastAsia="Times New Roman" w:hAnsi="Times New Roman"/>
                <w:sz w:val="11"/>
                <w:szCs w:val="11"/>
                <w:color w:val="auto"/>
                <w:w w:val="99"/>
              </w:rPr>
              <w:t>Leisure Products</w:t>
            </w:r>
          </w:p>
        </w:tc>
        <w:tc>
          <w:tcPr>
            <w:tcW w:w="1200" w:type="dxa"/>
            <w:vAlign w:val="bottom"/>
            <w:gridSpan w:val="3"/>
          </w:tcPr>
          <w:p>
            <w:pPr>
              <w:jc w:val="right"/>
              <w:ind w:right="140"/>
              <w:spacing w:after="0" w:line="103" w:lineRule="exact"/>
              <w:rPr>
                <w:sz w:val="20"/>
                <w:szCs w:val="20"/>
                <w:color w:val="auto"/>
              </w:rPr>
            </w:pPr>
            <w:r>
              <w:rPr>
                <w:rFonts w:ascii="Times New Roman" w:cs="Times New Roman" w:eastAsia="Times New Roman" w:hAnsi="Times New Roman"/>
                <w:sz w:val="11"/>
                <w:szCs w:val="11"/>
                <w:color w:val="auto"/>
              </w:rPr>
              <w:t>9.92 %</w:t>
            </w:r>
          </w:p>
        </w:tc>
        <w:tc>
          <w:tcPr>
            <w:tcW w:w="860" w:type="dxa"/>
            <w:vAlign w:val="bottom"/>
          </w:tcPr>
          <w:p>
            <w:pPr>
              <w:jc w:val="right"/>
              <w:spacing w:after="0" w:line="103" w:lineRule="exact"/>
              <w:rPr>
                <w:sz w:val="20"/>
                <w:szCs w:val="20"/>
                <w:color w:val="auto"/>
              </w:rPr>
            </w:pPr>
            <w:r>
              <w:rPr>
                <w:rFonts w:ascii="Times New Roman" w:cs="Times New Roman" w:eastAsia="Times New Roman" w:hAnsi="Times New Roman"/>
                <w:sz w:val="11"/>
                <w:szCs w:val="11"/>
                <w:color w:val="auto"/>
              </w:rPr>
              <w:t>3M L+625</w:t>
            </w:r>
          </w:p>
        </w:tc>
        <w:tc>
          <w:tcPr>
            <w:tcW w:w="1020" w:type="dxa"/>
            <w:vAlign w:val="bottom"/>
            <w:gridSpan w:val="2"/>
          </w:tcPr>
          <w:p>
            <w:pPr>
              <w:jc w:val="right"/>
              <w:spacing w:after="0" w:line="103" w:lineRule="exact"/>
              <w:rPr>
                <w:sz w:val="20"/>
                <w:szCs w:val="20"/>
                <w:color w:val="auto"/>
              </w:rPr>
            </w:pPr>
            <w:r>
              <w:rPr>
                <w:rFonts w:ascii="Times New Roman" w:cs="Times New Roman" w:eastAsia="Times New Roman" w:hAnsi="Times New Roman"/>
                <w:sz w:val="11"/>
                <w:szCs w:val="11"/>
                <w:color w:val="auto"/>
              </w:rPr>
              <w:t>3,747</w:t>
            </w: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jc w:val="right"/>
              <w:spacing w:after="0" w:line="103" w:lineRule="exact"/>
              <w:rPr>
                <w:sz w:val="20"/>
                <w:szCs w:val="20"/>
                <w:color w:val="auto"/>
              </w:rPr>
            </w:pPr>
            <w:r>
              <w:rPr>
                <w:rFonts w:ascii="Times New Roman" w:cs="Times New Roman" w:eastAsia="Times New Roman" w:hAnsi="Times New Roman"/>
                <w:sz w:val="11"/>
                <w:szCs w:val="11"/>
                <w:color w:val="auto"/>
              </w:rPr>
              <w:t>3,683</w:t>
            </w: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jc w:val="right"/>
              <w:spacing w:after="0" w:line="103" w:lineRule="exact"/>
              <w:rPr>
                <w:sz w:val="20"/>
                <w:szCs w:val="20"/>
                <w:color w:val="auto"/>
              </w:rPr>
            </w:pPr>
            <w:r>
              <w:rPr>
                <w:rFonts w:ascii="Times New Roman" w:cs="Times New Roman" w:eastAsia="Times New Roman" w:hAnsi="Times New Roman"/>
                <w:sz w:val="11"/>
                <w:szCs w:val="11"/>
                <w:color w:val="auto"/>
              </w:rPr>
              <w:t>3,691</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3"/>
        </w:trPr>
        <w:tc>
          <w:tcPr>
            <w:tcW w:w="2940" w:type="dxa"/>
            <w:vAlign w:val="bottom"/>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Ledge Lounger, Inc. (Revolver) </w:t>
            </w:r>
            <w:r>
              <w:rPr>
                <w:rFonts w:ascii="Times New Roman" w:cs="Times New Roman" w:eastAsia="Times New Roman" w:hAnsi="Times New Roman"/>
                <w:sz w:val="14"/>
                <w:szCs w:val="14"/>
                <w:color w:val="auto"/>
                <w:vertAlign w:val="superscript"/>
              </w:rPr>
              <w:t>(9)</w:t>
            </w:r>
          </w:p>
        </w:tc>
        <w:tc>
          <w:tcPr>
            <w:tcW w:w="90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5"/>
              </w:rPr>
              <w:t>11/09/2026</w:t>
            </w:r>
          </w:p>
        </w:tc>
        <w:tc>
          <w:tcPr>
            <w:tcW w:w="160" w:type="dxa"/>
            <w:vAlign w:val="bottom"/>
          </w:tcPr>
          <w:p>
            <w:pPr>
              <w:spacing w:after="0"/>
              <w:rPr>
                <w:sz w:val="13"/>
                <w:szCs w:val="13"/>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Leisure Products</w:t>
            </w:r>
          </w:p>
        </w:tc>
        <w:tc>
          <w:tcPr>
            <w:tcW w:w="140" w:type="dxa"/>
            <w:vAlign w:val="bottom"/>
          </w:tcPr>
          <w:p>
            <w:pPr>
              <w:spacing w:after="0"/>
              <w:rPr>
                <w:sz w:val="13"/>
                <w:szCs w:val="13"/>
                <w:color w:val="auto"/>
              </w:rPr>
            </w:pP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789</w:t>
            </w: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gridSpan w:val="2"/>
          </w:tcPr>
          <w:p>
            <w:pPr>
              <w:jc w:val="right"/>
              <w:ind w:right="22"/>
              <w:spacing w:after="0"/>
              <w:rPr>
                <w:sz w:val="20"/>
                <w:szCs w:val="20"/>
                <w:color w:val="auto"/>
              </w:rPr>
            </w:pPr>
            <w:r>
              <w:rPr>
                <w:rFonts w:ascii="Times New Roman" w:cs="Times New Roman" w:eastAsia="Times New Roman" w:hAnsi="Times New Roman"/>
                <w:sz w:val="11"/>
                <w:szCs w:val="11"/>
                <w:color w:val="auto"/>
              </w:rPr>
              <w:t>(12 )</w:t>
            </w:r>
          </w:p>
        </w:tc>
        <w:tc>
          <w:tcPr>
            <w:tcW w:w="0" w:type="dxa"/>
            <w:vAlign w:val="bottom"/>
          </w:tcPr>
          <w:p>
            <w:pPr>
              <w:spacing w:after="0"/>
              <w:rPr>
                <w:sz w:val="1"/>
                <w:szCs w:val="1"/>
                <w:color w:val="auto"/>
              </w:rPr>
            </w:pPr>
          </w:p>
        </w:tc>
      </w:tr>
      <w:tr>
        <w:trPr>
          <w:trHeight w:val="117"/>
        </w:trPr>
        <w:tc>
          <w:tcPr>
            <w:tcW w:w="2940" w:type="dxa"/>
            <w:vAlign w:val="bottom"/>
          </w:tcPr>
          <w:p>
            <w:pPr>
              <w:ind w:left="20"/>
              <w:spacing w:after="0" w:line="117" w:lineRule="exact"/>
              <w:rPr>
                <w:sz w:val="20"/>
                <w:szCs w:val="20"/>
                <w:color w:val="auto"/>
              </w:rPr>
            </w:pPr>
            <w:r>
              <w:rPr>
                <w:rFonts w:ascii="Times New Roman" w:cs="Times New Roman" w:eastAsia="Times New Roman" w:hAnsi="Times New Roman"/>
                <w:sz w:val="11"/>
                <w:szCs w:val="11"/>
                <w:color w:val="auto"/>
              </w:rPr>
              <w:t>Lightspeed Buyer Inc.</w:t>
            </w:r>
          </w:p>
        </w:tc>
        <w:tc>
          <w:tcPr>
            <w:tcW w:w="900" w:type="dxa"/>
            <w:vAlign w:val="bottom"/>
            <w:gridSpan w:val="2"/>
          </w:tcPr>
          <w:p>
            <w:pPr>
              <w:jc w:val="center"/>
              <w:ind w:left="106"/>
              <w:spacing w:after="0" w:line="117" w:lineRule="exact"/>
              <w:rPr>
                <w:sz w:val="20"/>
                <w:szCs w:val="20"/>
                <w:color w:val="auto"/>
              </w:rPr>
            </w:pPr>
            <w:r>
              <w:rPr>
                <w:rFonts w:ascii="Times New Roman" w:cs="Times New Roman" w:eastAsia="Times New Roman" w:hAnsi="Times New Roman"/>
                <w:sz w:val="11"/>
                <w:szCs w:val="11"/>
                <w:color w:val="auto"/>
                <w:w w:val="99"/>
              </w:rPr>
              <w:t>02/03/2026</w:t>
            </w:r>
          </w:p>
        </w:tc>
        <w:tc>
          <w:tcPr>
            <w:tcW w:w="160" w:type="dxa"/>
            <w:vAlign w:val="bottom"/>
          </w:tcPr>
          <w:p>
            <w:pPr>
              <w:spacing w:after="0"/>
              <w:rPr>
                <w:sz w:val="10"/>
                <w:szCs w:val="10"/>
                <w:color w:val="auto"/>
              </w:rPr>
            </w:pPr>
          </w:p>
        </w:tc>
        <w:tc>
          <w:tcPr>
            <w:tcW w:w="202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color w:val="auto"/>
                <w:w w:val="99"/>
              </w:rPr>
              <w:t>Healthcare Technology</w:t>
            </w:r>
          </w:p>
        </w:tc>
        <w:tc>
          <w:tcPr>
            <w:tcW w:w="1200" w:type="dxa"/>
            <w:vAlign w:val="bottom"/>
            <w:gridSpan w:val="3"/>
          </w:tcPr>
          <w:p>
            <w:pPr>
              <w:jc w:val="right"/>
              <w:ind w:right="140"/>
              <w:spacing w:after="0" w:line="117" w:lineRule="exact"/>
              <w:rPr>
                <w:sz w:val="20"/>
                <w:szCs w:val="20"/>
                <w:color w:val="auto"/>
              </w:rPr>
            </w:pPr>
            <w:r>
              <w:rPr>
                <w:rFonts w:ascii="Times New Roman" w:cs="Times New Roman" w:eastAsia="Times New Roman" w:hAnsi="Times New Roman"/>
                <w:sz w:val="11"/>
                <w:szCs w:val="11"/>
                <w:color w:val="auto"/>
              </w:rPr>
              <w:t>8.87 %</w:t>
            </w:r>
          </w:p>
        </w:tc>
        <w:tc>
          <w:tcPr>
            <w:tcW w:w="86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1M L+575</w:t>
            </w:r>
          </w:p>
        </w:tc>
        <w:tc>
          <w:tcPr>
            <w:tcW w:w="102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1"/>
                <w:szCs w:val="11"/>
                <w:color w:val="auto"/>
              </w:rPr>
              <w:t>24,357</w:t>
            </w: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24,065</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23,566</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94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Lightspeed Buyer Inc. (Revolver) </w:t>
            </w:r>
            <w:r>
              <w:rPr>
                <w:rFonts w:ascii="Times New Roman" w:cs="Times New Roman" w:eastAsia="Times New Roman" w:hAnsi="Times New Roman"/>
                <w:sz w:val="14"/>
                <w:szCs w:val="14"/>
                <w:color w:val="auto"/>
                <w:vertAlign w:val="superscript"/>
              </w:rPr>
              <w:t>(7)</w:t>
            </w:r>
          </w:p>
        </w:tc>
        <w:tc>
          <w:tcPr>
            <w:tcW w:w="900" w:type="dxa"/>
            <w:vAlign w:val="bottom"/>
            <w:gridSpan w:val="2"/>
          </w:tcPr>
          <w:p>
            <w:pPr>
              <w:jc w:val="center"/>
              <w:ind w:left="106"/>
              <w:spacing w:after="0"/>
              <w:rPr>
                <w:sz w:val="20"/>
                <w:szCs w:val="20"/>
                <w:color w:val="auto"/>
              </w:rPr>
            </w:pPr>
            <w:r>
              <w:rPr>
                <w:rFonts w:ascii="Times New Roman" w:cs="Times New Roman" w:eastAsia="Times New Roman" w:hAnsi="Times New Roman"/>
                <w:sz w:val="11"/>
                <w:szCs w:val="11"/>
                <w:color w:val="auto"/>
                <w:w w:val="99"/>
              </w:rPr>
              <w:t>02/03/2026</w:t>
            </w:r>
          </w:p>
        </w:tc>
        <w:tc>
          <w:tcPr>
            <w:tcW w:w="160" w:type="dxa"/>
            <w:vAlign w:val="bottom"/>
          </w:tcPr>
          <w:p>
            <w:pPr>
              <w:spacing w:after="0"/>
              <w:rPr>
                <w:sz w:val="11"/>
                <w:szCs w:val="11"/>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Healthcare Technology</w:t>
            </w:r>
          </w:p>
        </w:tc>
        <w:tc>
          <w:tcPr>
            <w:tcW w:w="1200" w:type="dxa"/>
            <w:vAlign w:val="bottom"/>
            <w:gridSpan w:val="3"/>
          </w:tcPr>
          <w:p>
            <w:pPr>
              <w:jc w:val="right"/>
              <w:ind w:right="140"/>
              <w:spacing w:after="0"/>
              <w:rPr>
                <w:sz w:val="20"/>
                <w:szCs w:val="20"/>
                <w:color w:val="auto"/>
              </w:rPr>
            </w:pPr>
            <w:r>
              <w:rPr>
                <w:rFonts w:ascii="Times New Roman" w:cs="Times New Roman" w:eastAsia="Times New Roman" w:hAnsi="Times New Roman"/>
                <w:sz w:val="11"/>
                <w:szCs w:val="11"/>
                <w:color w:val="auto"/>
              </w:rPr>
              <w:t>8.87 %</w:t>
            </w: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1M L+575</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1,083</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1,083</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1,048</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9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 xml:space="preserve">Lightspeed Buyer Inc. (Revolver) </w:t>
            </w:r>
            <w:r>
              <w:rPr>
                <w:rFonts w:ascii="Times New Roman" w:cs="Times New Roman" w:eastAsia="Times New Roman" w:hAnsi="Times New Roman"/>
                <w:sz w:val="14"/>
                <w:szCs w:val="14"/>
                <w:color w:val="auto"/>
                <w:vertAlign w:val="superscript"/>
              </w:rPr>
              <w:t>(7) (9)</w:t>
            </w:r>
          </w:p>
        </w:tc>
        <w:tc>
          <w:tcPr>
            <w:tcW w:w="900" w:type="dxa"/>
            <w:vAlign w:val="bottom"/>
            <w:gridSpan w:val="2"/>
          </w:tcPr>
          <w:p>
            <w:pPr>
              <w:jc w:val="center"/>
              <w:ind w:left="106"/>
              <w:spacing w:after="0"/>
              <w:rPr>
                <w:sz w:val="20"/>
                <w:szCs w:val="20"/>
                <w:color w:val="auto"/>
              </w:rPr>
            </w:pPr>
            <w:r>
              <w:rPr>
                <w:rFonts w:ascii="Times New Roman" w:cs="Times New Roman" w:eastAsia="Times New Roman" w:hAnsi="Times New Roman"/>
                <w:sz w:val="11"/>
                <w:szCs w:val="11"/>
                <w:color w:val="auto"/>
                <w:w w:val="99"/>
              </w:rPr>
              <w:t>02/03/2026</w:t>
            </w:r>
          </w:p>
        </w:tc>
        <w:tc>
          <w:tcPr>
            <w:tcW w:w="160" w:type="dxa"/>
            <w:vAlign w:val="bottom"/>
          </w:tcPr>
          <w:p>
            <w:pPr>
              <w:spacing w:after="0"/>
              <w:rPr>
                <w:sz w:val="14"/>
                <w:szCs w:val="14"/>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Healthcare Technology</w:t>
            </w:r>
          </w:p>
        </w:tc>
        <w:tc>
          <w:tcPr>
            <w:tcW w:w="140" w:type="dxa"/>
            <w:vAlign w:val="bottom"/>
          </w:tcPr>
          <w:p>
            <w:pPr>
              <w:spacing w:after="0"/>
              <w:rPr>
                <w:sz w:val="14"/>
                <w:szCs w:val="14"/>
                <w:color w:val="auto"/>
              </w:rPr>
            </w:pP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1,416</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right"/>
              <w:ind w:right="22"/>
              <w:spacing w:after="0"/>
              <w:rPr>
                <w:sz w:val="20"/>
                <w:szCs w:val="20"/>
                <w:color w:val="auto"/>
              </w:rPr>
            </w:pPr>
            <w:r>
              <w:rPr>
                <w:rFonts w:ascii="Times New Roman" w:cs="Times New Roman" w:eastAsia="Times New Roman" w:hAnsi="Times New Roman"/>
                <w:sz w:val="11"/>
                <w:szCs w:val="11"/>
                <w:color w:val="auto"/>
              </w:rPr>
              <w:t>(46 )</w:t>
            </w:r>
          </w:p>
        </w:tc>
        <w:tc>
          <w:tcPr>
            <w:tcW w:w="0" w:type="dxa"/>
            <w:vAlign w:val="bottom"/>
          </w:tcPr>
          <w:p>
            <w:pPr>
              <w:spacing w:after="0"/>
              <w:rPr>
                <w:sz w:val="1"/>
                <w:szCs w:val="1"/>
                <w:color w:val="auto"/>
              </w:rPr>
            </w:pPr>
          </w:p>
        </w:tc>
      </w:tr>
      <w:tr>
        <w:trPr>
          <w:trHeight w:val="135"/>
        </w:trPr>
        <w:tc>
          <w:tcPr>
            <w:tcW w:w="29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Lucky Bucks, LLC</w:t>
            </w:r>
          </w:p>
        </w:tc>
        <w:tc>
          <w:tcPr>
            <w:tcW w:w="900" w:type="dxa"/>
            <w:vAlign w:val="bottom"/>
            <w:gridSpan w:val="2"/>
            <w:shd w:val="clear" w:color="auto" w:fill="CCECFF"/>
          </w:tcPr>
          <w:p>
            <w:pPr>
              <w:jc w:val="center"/>
              <w:ind w:left="106"/>
              <w:spacing w:after="0"/>
              <w:rPr>
                <w:sz w:val="20"/>
                <w:szCs w:val="20"/>
                <w:color w:val="auto"/>
              </w:rPr>
            </w:pPr>
            <w:r>
              <w:rPr>
                <w:rFonts w:ascii="Times New Roman" w:cs="Times New Roman" w:eastAsia="Times New Roman" w:hAnsi="Times New Roman"/>
                <w:sz w:val="11"/>
                <w:szCs w:val="11"/>
                <w:color w:val="auto"/>
                <w:w w:val="99"/>
              </w:rPr>
              <w:t>07/20/2027</w:t>
            </w:r>
          </w:p>
        </w:tc>
        <w:tc>
          <w:tcPr>
            <w:tcW w:w="160" w:type="dxa"/>
            <w:vAlign w:val="bottom"/>
            <w:shd w:val="clear" w:color="auto" w:fill="CCECFF"/>
          </w:tcPr>
          <w:p>
            <w:pPr>
              <w:spacing w:after="0"/>
              <w:rPr>
                <w:sz w:val="11"/>
                <w:szCs w:val="11"/>
                <w:color w:val="auto"/>
              </w:rPr>
            </w:pPr>
          </w:p>
        </w:tc>
        <w:tc>
          <w:tcPr>
            <w:tcW w:w="2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Hotels, Restaurants and Leisure</w:t>
            </w:r>
          </w:p>
        </w:tc>
        <w:tc>
          <w:tcPr>
            <w:tcW w:w="1200" w:type="dxa"/>
            <w:vAlign w:val="bottom"/>
            <w:gridSpan w:val="3"/>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8.31 %</w:t>
            </w:r>
          </w:p>
        </w:tc>
        <w:tc>
          <w:tcPr>
            <w:tcW w:w="8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L+550</w:t>
            </w:r>
          </w:p>
        </w:tc>
        <w:tc>
          <w:tcPr>
            <w:tcW w:w="10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4,331</w:t>
            </w:r>
          </w:p>
        </w:tc>
        <w:tc>
          <w:tcPr>
            <w:tcW w:w="20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4,258</w:t>
            </w:r>
          </w:p>
        </w:tc>
        <w:tc>
          <w:tcPr>
            <w:tcW w:w="22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7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3,183</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940" w:type="dxa"/>
            <w:vAlign w:val="bottom"/>
          </w:tcPr>
          <w:p>
            <w:pPr>
              <w:ind w:left="20"/>
              <w:spacing w:after="0" w:line="122" w:lineRule="exact"/>
              <w:rPr>
                <w:sz w:val="20"/>
                <w:szCs w:val="20"/>
                <w:color w:val="auto"/>
              </w:rPr>
            </w:pPr>
            <w:r>
              <w:rPr>
                <w:rFonts w:ascii="Times New Roman" w:cs="Times New Roman" w:eastAsia="Times New Roman" w:hAnsi="Times New Roman"/>
                <w:sz w:val="11"/>
                <w:szCs w:val="11"/>
                <w:color w:val="auto"/>
              </w:rPr>
              <w:t>MAG DS Corp.</w:t>
            </w:r>
          </w:p>
        </w:tc>
        <w:tc>
          <w:tcPr>
            <w:tcW w:w="900" w:type="dxa"/>
            <w:vAlign w:val="bottom"/>
            <w:gridSpan w:val="2"/>
          </w:tcPr>
          <w:p>
            <w:pPr>
              <w:jc w:val="center"/>
              <w:ind w:left="106"/>
              <w:spacing w:after="0" w:line="122" w:lineRule="exact"/>
              <w:rPr>
                <w:sz w:val="20"/>
                <w:szCs w:val="20"/>
                <w:color w:val="auto"/>
              </w:rPr>
            </w:pPr>
            <w:r>
              <w:rPr>
                <w:rFonts w:ascii="Times New Roman" w:cs="Times New Roman" w:eastAsia="Times New Roman" w:hAnsi="Times New Roman"/>
                <w:sz w:val="11"/>
                <w:szCs w:val="11"/>
                <w:color w:val="auto"/>
                <w:w w:val="99"/>
              </w:rPr>
              <w:t>04/01/2027</w:t>
            </w:r>
          </w:p>
        </w:tc>
        <w:tc>
          <w:tcPr>
            <w:tcW w:w="160" w:type="dxa"/>
            <w:vAlign w:val="bottom"/>
          </w:tcPr>
          <w:p>
            <w:pPr>
              <w:spacing w:after="0"/>
              <w:rPr>
                <w:sz w:val="10"/>
                <w:szCs w:val="10"/>
                <w:color w:val="auto"/>
              </w:rPr>
            </w:pPr>
          </w:p>
        </w:tc>
        <w:tc>
          <w:tcPr>
            <w:tcW w:w="202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Aerospace and Defense</w:t>
            </w:r>
          </w:p>
        </w:tc>
        <w:tc>
          <w:tcPr>
            <w:tcW w:w="1200" w:type="dxa"/>
            <w:vAlign w:val="bottom"/>
            <w:gridSpan w:val="3"/>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9.17 %</w:t>
            </w:r>
          </w:p>
        </w:tc>
        <w:tc>
          <w:tcPr>
            <w:tcW w:w="8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1M L+550</w:t>
            </w:r>
          </w:p>
        </w:tc>
        <w:tc>
          <w:tcPr>
            <w:tcW w:w="102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3,714</w:t>
            </w: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3,576</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3,379</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940" w:type="dxa"/>
            <w:vAlign w:val="bottom"/>
          </w:tcPr>
          <w:p>
            <w:pPr>
              <w:ind w:left="20"/>
              <w:spacing w:after="0" w:line="117" w:lineRule="exact"/>
              <w:rPr>
                <w:sz w:val="20"/>
                <w:szCs w:val="20"/>
                <w:color w:val="auto"/>
              </w:rPr>
            </w:pPr>
            <w:r>
              <w:rPr>
                <w:rFonts w:ascii="Times New Roman" w:cs="Times New Roman" w:eastAsia="Times New Roman" w:hAnsi="Times New Roman"/>
                <w:sz w:val="11"/>
                <w:szCs w:val="11"/>
                <w:color w:val="auto"/>
              </w:rPr>
              <w:t>Mars Acquisition Holdings Corp.</w:t>
            </w:r>
          </w:p>
        </w:tc>
        <w:tc>
          <w:tcPr>
            <w:tcW w:w="900" w:type="dxa"/>
            <w:vAlign w:val="bottom"/>
            <w:gridSpan w:val="2"/>
          </w:tcPr>
          <w:p>
            <w:pPr>
              <w:jc w:val="center"/>
              <w:ind w:left="106"/>
              <w:spacing w:after="0" w:line="117" w:lineRule="exact"/>
              <w:rPr>
                <w:sz w:val="20"/>
                <w:szCs w:val="20"/>
                <w:color w:val="auto"/>
              </w:rPr>
            </w:pPr>
            <w:r>
              <w:rPr>
                <w:rFonts w:ascii="Times New Roman" w:cs="Times New Roman" w:eastAsia="Times New Roman" w:hAnsi="Times New Roman"/>
                <w:sz w:val="11"/>
                <w:szCs w:val="11"/>
                <w:color w:val="auto"/>
                <w:w w:val="99"/>
              </w:rPr>
              <w:t>05/14/2026</w:t>
            </w:r>
          </w:p>
        </w:tc>
        <w:tc>
          <w:tcPr>
            <w:tcW w:w="160" w:type="dxa"/>
            <w:vAlign w:val="bottom"/>
          </w:tcPr>
          <w:p>
            <w:pPr>
              <w:spacing w:after="0"/>
              <w:rPr>
                <w:sz w:val="10"/>
                <w:szCs w:val="10"/>
                <w:color w:val="auto"/>
              </w:rPr>
            </w:pPr>
          </w:p>
        </w:tc>
        <w:tc>
          <w:tcPr>
            <w:tcW w:w="202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color w:val="auto"/>
                <w:w w:val="92"/>
              </w:rPr>
              <w:t>Media</w:t>
            </w:r>
          </w:p>
        </w:tc>
        <w:tc>
          <w:tcPr>
            <w:tcW w:w="1200" w:type="dxa"/>
            <w:vAlign w:val="bottom"/>
            <w:gridSpan w:val="3"/>
          </w:tcPr>
          <w:p>
            <w:pPr>
              <w:jc w:val="right"/>
              <w:ind w:right="140"/>
              <w:spacing w:after="0" w:line="117" w:lineRule="exact"/>
              <w:rPr>
                <w:sz w:val="20"/>
                <w:szCs w:val="20"/>
                <w:color w:val="auto"/>
              </w:rPr>
            </w:pPr>
            <w:r>
              <w:rPr>
                <w:rFonts w:ascii="Times New Roman" w:cs="Times New Roman" w:eastAsia="Times New Roman" w:hAnsi="Times New Roman"/>
                <w:sz w:val="11"/>
                <w:szCs w:val="11"/>
                <w:color w:val="auto"/>
              </w:rPr>
              <w:t>8.62 %</w:t>
            </w:r>
          </w:p>
        </w:tc>
        <w:tc>
          <w:tcPr>
            <w:tcW w:w="86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3M L+550</w:t>
            </w:r>
          </w:p>
        </w:tc>
        <w:tc>
          <w:tcPr>
            <w:tcW w:w="102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1"/>
                <w:szCs w:val="11"/>
                <w:color w:val="auto"/>
              </w:rPr>
              <w:t>6,052</w:t>
            </w: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5,958</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6,022</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94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Mars Acquisition Holdings Corp. (Revolver)</w:t>
            </w:r>
            <w:r>
              <w:rPr>
                <w:rFonts w:ascii="Times New Roman" w:cs="Times New Roman" w:eastAsia="Times New Roman" w:hAnsi="Times New Roman"/>
                <w:sz w:val="14"/>
                <w:szCs w:val="14"/>
                <w:color w:val="auto"/>
                <w:vertAlign w:val="superscript"/>
              </w:rPr>
              <w:t>(7)(9)</w:t>
            </w:r>
          </w:p>
        </w:tc>
        <w:tc>
          <w:tcPr>
            <w:tcW w:w="900" w:type="dxa"/>
            <w:vAlign w:val="bottom"/>
            <w:gridSpan w:val="2"/>
          </w:tcPr>
          <w:p>
            <w:pPr>
              <w:jc w:val="center"/>
              <w:ind w:left="106"/>
              <w:spacing w:after="0"/>
              <w:rPr>
                <w:sz w:val="20"/>
                <w:szCs w:val="20"/>
                <w:color w:val="auto"/>
              </w:rPr>
            </w:pPr>
            <w:r>
              <w:rPr>
                <w:rFonts w:ascii="Times New Roman" w:cs="Times New Roman" w:eastAsia="Times New Roman" w:hAnsi="Times New Roman"/>
                <w:sz w:val="11"/>
                <w:szCs w:val="11"/>
                <w:color w:val="auto"/>
                <w:w w:val="99"/>
              </w:rPr>
              <w:t>05/14/2026</w:t>
            </w:r>
          </w:p>
        </w:tc>
        <w:tc>
          <w:tcPr>
            <w:tcW w:w="160" w:type="dxa"/>
            <w:vAlign w:val="bottom"/>
          </w:tcPr>
          <w:p>
            <w:pPr>
              <w:spacing w:after="0"/>
              <w:rPr>
                <w:sz w:val="11"/>
                <w:szCs w:val="11"/>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2"/>
              </w:rPr>
              <w:t>Media</w:t>
            </w:r>
          </w:p>
        </w:tc>
        <w:tc>
          <w:tcPr>
            <w:tcW w:w="140" w:type="dxa"/>
            <w:vAlign w:val="bottom"/>
          </w:tcPr>
          <w:p>
            <w:pPr>
              <w:spacing w:after="0"/>
              <w:rPr>
                <w:sz w:val="11"/>
                <w:szCs w:val="11"/>
                <w:color w:val="auto"/>
              </w:rPr>
            </w:pP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1,624</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gridSpan w:val="2"/>
          </w:tcPr>
          <w:p>
            <w:pPr>
              <w:jc w:val="right"/>
              <w:ind w:right="22"/>
              <w:spacing w:after="0"/>
              <w:rPr>
                <w:sz w:val="20"/>
                <w:szCs w:val="20"/>
                <w:color w:val="auto"/>
              </w:rPr>
            </w:pPr>
            <w:r>
              <w:rPr>
                <w:rFonts w:ascii="Times New Roman" w:cs="Times New Roman" w:eastAsia="Times New Roman" w:hAnsi="Times New Roman"/>
                <w:sz w:val="11"/>
                <w:szCs w:val="11"/>
                <w:color w:val="auto"/>
              </w:rPr>
              <w:t>(8 )</w:t>
            </w:r>
          </w:p>
        </w:tc>
        <w:tc>
          <w:tcPr>
            <w:tcW w:w="0" w:type="dxa"/>
            <w:vAlign w:val="bottom"/>
          </w:tcPr>
          <w:p>
            <w:pPr>
              <w:spacing w:after="0"/>
              <w:rPr>
                <w:sz w:val="1"/>
                <w:szCs w:val="1"/>
                <w:color w:val="auto"/>
              </w:rPr>
            </w:pPr>
          </w:p>
        </w:tc>
      </w:tr>
      <w:tr>
        <w:trPr>
          <w:trHeight w:val="153"/>
        </w:trPr>
        <w:tc>
          <w:tcPr>
            <w:tcW w:w="2940" w:type="dxa"/>
            <w:vAlign w:val="bottom"/>
          </w:tcPr>
          <w:p>
            <w:pPr>
              <w:ind w:left="20"/>
              <w:spacing w:after="0" w:line="153" w:lineRule="exact"/>
              <w:rPr>
                <w:sz w:val="20"/>
                <w:szCs w:val="20"/>
                <w:color w:val="auto"/>
              </w:rPr>
            </w:pPr>
            <w:r>
              <w:rPr>
                <w:rFonts w:ascii="Times New Roman" w:cs="Times New Roman" w:eastAsia="Times New Roman" w:hAnsi="Times New Roman"/>
                <w:sz w:val="11"/>
                <w:szCs w:val="11"/>
                <w:color w:val="auto"/>
              </w:rPr>
              <w:t>MBS Holdings, Inc. (Revolver)</w:t>
            </w:r>
            <w:r>
              <w:rPr>
                <w:rFonts w:ascii="Times New Roman" w:cs="Times New Roman" w:eastAsia="Times New Roman" w:hAnsi="Times New Roman"/>
                <w:sz w:val="14"/>
                <w:szCs w:val="14"/>
                <w:color w:val="auto"/>
                <w:vertAlign w:val="superscript"/>
              </w:rPr>
              <w:t>(7)(9)</w:t>
            </w:r>
          </w:p>
        </w:tc>
        <w:tc>
          <w:tcPr>
            <w:tcW w:w="900" w:type="dxa"/>
            <w:vAlign w:val="bottom"/>
            <w:gridSpan w:val="2"/>
          </w:tcPr>
          <w:p>
            <w:pPr>
              <w:jc w:val="center"/>
              <w:ind w:left="106"/>
              <w:spacing w:after="0"/>
              <w:rPr>
                <w:sz w:val="20"/>
                <w:szCs w:val="20"/>
                <w:color w:val="auto"/>
              </w:rPr>
            </w:pPr>
            <w:r>
              <w:rPr>
                <w:rFonts w:ascii="Times New Roman" w:cs="Times New Roman" w:eastAsia="Times New Roman" w:hAnsi="Times New Roman"/>
                <w:sz w:val="11"/>
                <w:szCs w:val="11"/>
                <w:color w:val="auto"/>
                <w:w w:val="99"/>
              </w:rPr>
              <w:t>04/16/2027</w:t>
            </w:r>
          </w:p>
        </w:tc>
        <w:tc>
          <w:tcPr>
            <w:tcW w:w="160" w:type="dxa"/>
            <w:vAlign w:val="bottom"/>
          </w:tcPr>
          <w:p>
            <w:pPr>
              <w:spacing w:after="0"/>
              <w:rPr>
                <w:sz w:val="13"/>
                <w:szCs w:val="13"/>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Internet Software and Services</w:t>
            </w:r>
          </w:p>
        </w:tc>
        <w:tc>
          <w:tcPr>
            <w:tcW w:w="140" w:type="dxa"/>
            <w:vAlign w:val="bottom"/>
          </w:tcPr>
          <w:p>
            <w:pPr>
              <w:spacing w:after="0"/>
              <w:rPr>
                <w:sz w:val="13"/>
                <w:szCs w:val="13"/>
                <w:color w:val="auto"/>
              </w:rPr>
            </w:pP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1,157</w:t>
            </w: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gridSpan w:val="2"/>
          </w:tcPr>
          <w:p>
            <w:pPr>
              <w:jc w:val="right"/>
              <w:ind w:right="22"/>
              <w:spacing w:after="0"/>
              <w:rPr>
                <w:sz w:val="20"/>
                <w:szCs w:val="20"/>
                <w:color w:val="auto"/>
              </w:rPr>
            </w:pPr>
            <w:r>
              <w:rPr>
                <w:rFonts w:ascii="Times New Roman" w:cs="Times New Roman" w:eastAsia="Times New Roman" w:hAnsi="Times New Roman"/>
                <w:sz w:val="11"/>
                <w:szCs w:val="11"/>
                <w:color w:val="auto"/>
              </w:rPr>
              <w:t>(12 )</w:t>
            </w:r>
          </w:p>
        </w:tc>
        <w:tc>
          <w:tcPr>
            <w:tcW w:w="0" w:type="dxa"/>
            <w:vAlign w:val="bottom"/>
          </w:tcPr>
          <w:p>
            <w:pPr>
              <w:spacing w:after="0"/>
              <w:rPr>
                <w:sz w:val="1"/>
                <w:szCs w:val="1"/>
                <w:color w:val="auto"/>
              </w:rPr>
            </w:pPr>
          </w:p>
        </w:tc>
      </w:tr>
      <w:tr>
        <w:trPr>
          <w:trHeight w:val="117"/>
        </w:trPr>
        <w:tc>
          <w:tcPr>
            <w:tcW w:w="2940" w:type="dxa"/>
            <w:vAlign w:val="bottom"/>
          </w:tcPr>
          <w:p>
            <w:pPr>
              <w:ind w:left="20"/>
              <w:spacing w:after="0" w:line="117" w:lineRule="exact"/>
              <w:rPr>
                <w:sz w:val="20"/>
                <w:szCs w:val="20"/>
                <w:color w:val="auto"/>
              </w:rPr>
            </w:pPr>
            <w:r>
              <w:rPr>
                <w:rFonts w:ascii="Times New Roman" w:cs="Times New Roman" w:eastAsia="Times New Roman" w:hAnsi="Times New Roman"/>
                <w:sz w:val="11"/>
                <w:szCs w:val="11"/>
                <w:color w:val="auto"/>
              </w:rPr>
              <w:t>MDI Buyer, Inc. - Unfunded Term Loan</w:t>
            </w:r>
          </w:p>
        </w:tc>
        <w:tc>
          <w:tcPr>
            <w:tcW w:w="900" w:type="dxa"/>
            <w:vAlign w:val="bottom"/>
            <w:gridSpan w:val="2"/>
          </w:tcPr>
          <w:p>
            <w:pPr>
              <w:jc w:val="center"/>
              <w:ind w:left="106"/>
              <w:spacing w:after="0" w:line="117" w:lineRule="exact"/>
              <w:rPr>
                <w:sz w:val="20"/>
                <w:szCs w:val="20"/>
                <w:color w:val="auto"/>
              </w:rPr>
            </w:pPr>
            <w:r>
              <w:rPr>
                <w:rFonts w:ascii="Times New Roman" w:cs="Times New Roman" w:eastAsia="Times New Roman" w:hAnsi="Times New Roman"/>
                <w:sz w:val="11"/>
                <w:szCs w:val="11"/>
                <w:color w:val="auto"/>
                <w:w w:val="99"/>
              </w:rPr>
              <w:t>07/25/2028</w:t>
            </w:r>
          </w:p>
        </w:tc>
        <w:tc>
          <w:tcPr>
            <w:tcW w:w="160" w:type="dxa"/>
            <w:vAlign w:val="bottom"/>
          </w:tcPr>
          <w:p>
            <w:pPr>
              <w:spacing w:after="0"/>
              <w:rPr>
                <w:sz w:val="10"/>
                <w:szCs w:val="10"/>
                <w:color w:val="auto"/>
              </w:rPr>
            </w:pPr>
          </w:p>
        </w:tc>
        <w:tc>
          <w:tcPr>
            <w:tcW w:w="202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color w:val="auto"/>
                <w:w w:val="96"/>
              </w:rPr>
              <w:t>Commodity Chemicals</w:t>
            </w:r>
          </w:p>
        </w:tc>
        <w:tc>
          <w:tcPr>
            <w:tcW w:w="140" w:type="dxa"/>
            <w:vAlign w:val="bottom"/>
          </w:tcPr>
          <w:p>
            <w:pPr>
              <w:spacing w:after="0"/>
              <w:rPr>
                <w:sz w:val="10"/>
                <w:szCs w:val="10"/>
                <w:color w:val="auto"/>
              </w:rPr>
            </w:pPr>
          </w:p>
        </w:tc>
        <w:tc>
          <w:tcPr>
            <w:tcW w:w="1060" w:type="dxa"/>
            <w:vAlign w:val="bottom"/>
            <w:gridSpan w:val="2"/>
          </w:tcPr>
          <w:p>
            <w:pPr>
              <w:jc w:val="right"/>
              <w:ind w:right="260"/>
              <w:spacing w:after="0" w:line="117" w:lineRule="exact"/>
              <w:rPr>
                <w:sz w:val="20"/>
                <w:szCs w:val="20"/>
                <w:color w:val="auto"/>
              </w:rPr>
            </w:pPr>
            <w:r>
              <w:rPr>
                <w:rFonts w:ascii="Times New Roman" w:cs="Times New Roman" w:eastAsia="Times New Roman" w:hAnsi="Times New Roman"/>
                <w:sz w:val="11"/>
                <w:szCs w:val="11"/>
                <w:color w:val="auto"/>
              </w:rPr>
              <w:t>—</w:t>
            </w:r>
          </w:p>
        </w:tc>
        <w:tc>
          <w:tcPr>
            <w:tcW w:w="86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w:t>
            </w:r>
          </w:p>
        </w:tc>
        <w:tc>
          <w:tcPr>
            <w:tcW w:w="102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1"/>
                <w:szCs w:val="11"/>
                <w:color w:val="auto"/>
              </w:rPr>
              <w:t>1,804</w:t>
            </w: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gridSpan w:val="2"/>
          </w:tcPr>
          <w:p>
            <w:pPr>
              <w:jc w:val="right"/>
              <w:ind w:right="22"/>
              <w:spacing w:after="0" w:line="117" w:lineRule="exact"/>
              <w:rPr>
                <w:sz w:val="20"/>
                <w:szCs w:val="20"/>
                <w:color w:val="auto"/>
              </w:rPr>
            </w:pPr>
            <w:r>
              <w:rPr>
                <w:rFonts w:ascii="Times New Roman" w:cs="Times New Roman" w:eastAsia="Times New Roman" w:hAnsi="Times New Roman"/>
                <w:sz w:val="11"/>
                <w:szCs w:val="11"/>
                <w:color w:val="auto"/>
              </w:rPr>
              <w:t>(18 )</w:t>
            </w:r>
          </w:p>
        </w:tc>
        <w:tc>
          <w:tcPr>
            <w:tcW w:w="0" w:type="dxa"/>
            <w:vAlign w:val="bottom"/>
          </w:tcPr>
          <w:p>
            <w:pPr>
              <w:spacing w:after="0"/>
              <w:rPr>
                <w:sz w:val="1"/>
                <w:szCs w:val="1"/>
                <w:color w:val="auto"/>
              </w:rPr>
            </w:pPr>
          </w:p>
        </w:tc>
      </w:tr>
      <w:tr>
        <w:trPr>
          <w:trHeight w:val="153"/>
        </w:trPr>
        <w:tc>
          <w:tcPr>
            <w:tcW w:w="2940" w:type="dxa"/>
            <w:vAlign w:val="bottom"/>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MDI Buyer, inc. (Revolver) </w:t>
            </w:r>
            <w:r>
              <w:rPr>
                <w:rFonts w:ascii="Times New Roman" w:cs="Times New Roman" w:eastAsia="Times New Roman" w:hAnsi="Times New Roman"/>
                <w:sz w:val="14"/>
                <w:szCs w:val="14"/>
                <w:color w:val="auto"/>
                <w:vertAlign w:val="superscript"/>
              </w:rPr>
              <w:t>(9)</w:t>
            </w:r>
          </w:p>
        </w:tc>
        <w:tc>
          <w:tcPr>
            <w:tcW w:w="900" w:type="dxa"/>
            <w:vAlign w:val="bottom"/>
            <w:gridSpan w:val="2"/>
          </w:tcPr>
          <w:p>
            <w:pPr>
              <w:jc w:val="center"/>
              <w:ind w:left="106"/>
              <w:spacing w:after="0"/>
              <w:rPr>
                <w:sz w:val="20"/>
                <w:szCs w:val="20"/>
                <w:color w:val="auto"/>
              </w:rPr>
            </w:pPr>
            <w:r>
              <w:rPr>
                <w:rFonts w:ascii="Times New Roman" w:cs="Times New Roman" w:eastAsia="Times New Roman" w:hAnsi="Times New Roman"/>
                <w:sz w:val="11"/>
                <w:szCs w:val="11"/>
                <w:color w:val="auto"/>
                <w:w w:val="99"/>
              </w:rPr>
              <w:t>07/25/2028</w:t>
            </w:r>
          </w:p>
        </w:tc>
        <w:tc>
          <w:tcPr>
            <w:tcW w:w="160" w:type="dxa"/>
            <w:vAlign w:val="bottom"/>
          </w:tcPr>
          <w:p>
            <w:pPr>
              <w:spacing w:after="0"/>
              <w:rPr>
                <w:sz w:val="13"/>
                <w:szCs w:val="13"/>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6"/>
              </w:rPr>
              <w:t>Commodity Chemicals</w:t>
            </w:r>
          </w:p>
        </w:tc>
        <w:tc>
          <w:tcPr>
            <w:tcW w:w="140" w:type="dxa"/>
            <w:vAlign w:val="bottom"/>
          </w:tcPr>
          <w:p>
            <w:pPr>
              <w:spacing w:after="0"/>
              <w:rPr>
                <w:sz w:val="13"/>
                <w:szCs w:val="13"/>
                <w:color w:val="auto"/>
              </w:rPr>
            </w:pP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773</w:t>
            </w: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gridSpan w:val="2"/>
          </w:tcPr>
          <w:p>
            <w:pPr>
              <w:jc w:val="right"/>
              <w:ind w:right="22"/>
              <w:spacing w:after="0"/>
              <w:rPr>
                <w:sz w:val="20"/>
                <w:szCs w:val="20"/>
                <w:color w:val="auto"/>
              </w:rPr>
            </w:pPr>
            <w:r>
              <w:rPr>
                <w:rFonts w:ascii="Times New Roman" w:cs="Times New Roman" w:eastAsia="Times New Roman" w:hAnsi="Times New Roman"/>
                <w:sz w:val="11"/>
                <w:szCs w:val="11"/>
                <w:color w:val="auto"/>
              </w:rPr>
              <w:t>(8 )</w:t>
            </w:r>
          </w:p>
        </w:tc>
        <w:tc>
          <w:tcPr>
            <w:tcW w:w="0" w:type="dxa"/>
            <w:vAlign w:val="bottom"/>
          </w:tcPr>
          <w:p>
            <w:pPr>
              <w:spacing w:after="0"/>
              <w:rPr>
                <w:sz w:val="1"/>
                <w:szCs w:val="1"/>
                <w:color w:val="auto"/>
              </w:rPr>
            </w:pPr>
          </w:p>
        </w:tc>
      </w:tr>
      <w:tr>
        <w:trPr>
          <w:trHeight w:val="117"/>
        </w:trPr>
        <w:tc>
          <w:tcPr>
            <w:tcW w:w="2940" w:type="dxa"/>
            <w:vAlign w:val="bottom"/>
          </w:tcPr>
          <w:p>
            <w:pPr>
              <w:ind w:left="20"/>
              <w:spacing w:after="0" w:line="117" w:lineRule="exact"/>
              <w:rPr>
                <w:sz w:val="20"/>
                <w:szCs w:val="20"/>
                <w:color w:val="auto"/>
              </w:rPr>
            </w:pPr>
            <w:r>
              <w:rPr>
                <w:rFonts w:ascii="Times New Roman" w:cs="Times New Roman" w:eastAsia="Times New Roman" w:hAnsi="Times New Roman"/>
                <w:sz w:val="11"/>
                <w:szCs w:val="11"/>
                <w:color w:val="auto"/>
              </w:rPr>
              <w:t>Meadowlark Acquirer, LLC</w:t>
            </w:r>
          </w:p>
        </w:tc>
        <w:tc>
          <w:tcPr>
            <w:tcW w:w="900" w:type="dxa"/>
            <w:vAlign w:val="bottom"/>
            <w:gridSpan w:val="2"/>
          </w:tcPr>
          <w:p>
            <w:pPr>
              <w:jc w:val="center"/>
              <w:ind w:left="106"/>
              <w:spacing w:after="0" w:line="117" w:lineRule="exact"/>
              <w:rPr>
                <w:sz w:val="20"/>
                <w:szCs w:val="20"/>
                <w:color w:val="auto"/>
              </w:rPr>
            </w:pPr>
            <w:r>
              <w:rPr>
                <w:rFonts w:ascii="Times New Roman" w:cs="Times New Roman" w:eastAsia="Times New Roman" w:hAnsi="Times New Roman"/>
                <w:sz w:val="11"/>
                <w:szCs w:val="11"/>
                <w:color w:val="auto"/>
                <w:w w:val="99"/>
              </w:rPr>
              <w:t>12/10/2027</w:t>
            </w:r>
          </w:p>
        </w:tc>
        <w:tc>
          <w:tcPr>
            <w:tcW w:w="160" w:type="dxa"/>
            <w:vAlign w:val="bottom"/>
          </w:tcPr>
          <w:p>
            <w:pPr>
              <w:spacing w:after="0"/>
              <w:rPr>
                <w:sz w:val="10"/>
                <w:szCs w:val="10"/>
                <w:color w:val="auto"/>
              </w:rPr>
            </w:pPr>
          </w:p>
        </w:tc>
        <w:tc>
          <w:tcPr>
            <w:tcW w:w="202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color w:val="auto"/>
                <w:w w:val="99"/>
              </w:rPr>
              <w:t>Professional Services</w:t>
            </w:r>
          </w:p>
        </w:tc>
        <w:tc>
          <w:tcPr>
            <w:tcW w:w="1200" w:type="dxa"/>
            <w:vAlign w:val="bottom"/>
            <w:gridSpan w:val="3"/>
          </w:tcPr>
          <w:p>
            <w:pPr>
              <w:jc w:val="right"/>
              <w:ind w:right="140"/>
              <w:spacing w:after="0" w:line="117" w:lineRule="exact"/>
              <w:rPr>
                <w:sz w:val="20"/>
                <w:szCs w:val="20"/>
                <w:color w:val="auto"/>
              </w:rPr>
            </w:pPr>
            <w:r>
              <w:rPr>
                <w:rFonts w:ascii="Times New Roman" w:cs="Times New Roman" w:eastAsia="Times New Roman" w:hAnsi="Times New Roman"/>
                <w:sz w:val="11"/>
                <w:szCs w:val="11"/>
                <w:color w:val="auto"/>
              </w:rPr>
              <w:t>9.17 %</w:t>
            </w:r>
          </w:p>
        </w:tc>
        <w:tc>
          <w:tcPr>
            <w:tcW w:w="86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3M L+550</w:t>
            </w:r>
          </w:p>
        </w:tc>
        <w:tc>
          <w:tcPr>
            <w:tcW w:w="102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1"/>
                <w:szCs w:val="11"/>
                <w:color w:val="auto"/>
              </w:rPr>
              <w:t>1,319</w:t>
            </w: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1,306</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1,305</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94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Meadowlark Acquirer, LLC - Term Loan I </w:t>
            </w:r>
            <w:r>
              <w:rPr>
                <w:rFonts w:ascii="Times New Roman" w:cs="Times New Roman" w:eastAsia="Times New Roman" w:hAnsi="Times New Roman"/>
                <w:sz w:val="14"/>
                <w:szCs w:val="14"/>
                <w:color w:val="auto"/>
                <w:vertAlign w:val="superscript"/>
              </w:rPr>
              <w:t>(9)</w:t>
            </w:r>
          </w:p>
        </w:tc>
        <w:tc>
          <w:tcPr>
            <w:tcW w:w="900" w:type="dxa"/>
            <w:vAlign w:val="bottom"/>
            <w:gridSpan w:val="2"/>
          </w:tcPr>
          <w:p>
            <w:pPr>
              <w:jc w:val="center"/>
              <w:ind w:left="106"/>
              <w:spacing w:after="0"/>
              <w:rPr>
                <w:sz w:val="20"/>
                <w:szCs w:val="20"/>
                <w:color w:val="auto"/>
              </w:rPr>
            </w:pPr>
            <w:r>
              <w:rPr>
                <w:rFonts w:ascii="Times New Roman" w:cs="Times New Roman" w:eastAsia="Times New Roman" w:hAnsi="Times New Roman"/>
                <w:sz w:val="11"/>
                <w:szCs w:val="11"/>
                <w:color w:val="auto"/>
                <w:w w:val="99"/>
              </w:rPr>
              <w:t>12/10/2027</w:t>
            </w:r>
          </w:p>
        </w:tc>
        <w:tc>
          <w:tcPr>
            <w:tcW w:w="160" w:type="dxa"/>
            <w:vAlign w:val="bottom"/>
          </w:tcPr>
          <w:p>
            <w:pPr>
              <w:spacing w:after="0"/>
              <w:rPr>
                <w:sz w:val="11"/>
                <w:szCs w:val="11"/>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Professional Services</w:t>
            </w:r>
          </w:p>
        </w:tc>
        <w:tc>
          <w:tcPr>
            <w:tcW w:w="140" w:type="dxa"/>
            <w:vAlign w:val="bottom"/>
          </w:tcPr>
          <w:p>
            <w:pPr>
              <w:spacing w:after="0"/>
              <w:rPr>
                <w:sz w:val="11"/>
                <w:szCs w:val="11"/>
                <w:color w:val="auto"/>
              </w:rPr>
            </w:pP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1,782</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gridSpan w:val="2"/>
          </w:tcPr>
          <w:p>
            <w:pPr>
              <w:jc w:val="right"/>
              <w:ind w:right="82"/>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35"/>
        </w:trPr>
        <w:tc>
          <w:tcPr>
            <w:tcW w:w="294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Meadowlark Acquirer, LLC - Term Loan II </w:t>
            </w:r>
            <w:r>
              <w:rPr>
                <w:rFonts w:ascii="Times New Roman" w:cs="Times New Roman" w:eastAsia="Times New Roman" w:hAnsi="Times New Roman"/>
                <w:sz w:val="14"/>
                <w:szCs w:val="14"/>
                <w:color w:val="auto"/>
                <w:vertAlign w:val="superscript"/>
              </w:rPr>
              <w:t>(9)</w:t>
            </w:r>
          </w:p>
        </w:tc>
        <w:tc>
          <w:tcPr>
            <w:tcW w:w="900" w:type="dxa"/>
            <w:vAlign w:val="bottom"/>
            <w:gridSpan w:val="2"/>
          </w:tcPr>
          <w:p>
            <w:pPr>
              <w:jc w:val="center"/>
              <w:ind w:left="106"/>
              <w:spacing w:after="0"/>
              <w:rPr>
                <w:sz w:val="20"/>
                <w:szCs w:val="20"/>
                <w:color w:val="auto"/>
              </w:rPr>
            </w:pPr>
            <w:r>
              <w:rPr>
                <w:rFonts w:ascii="Times New Roman" w:cs="Times New Roman" w:eastAsia="Times New Roman" w:hAnsi="Times New Roman"/>
                <w:sz w:val="11"/>
                <w:szCs w:val="11"/>
                <w:color w:val="auto"/>
                <w:w w:val="99"/>
              </w:rPr>
              <w:t>12/10/2027</w:t>
            </w:r>
          </w:p>
        </w:tc>
        <w:tc>
          <w:tcPr>
            <w:tcW w:w="160" w:type="dxa"/>
            <w:vAlign w:val="bottom"/>
          </w:tcPr>
          <w:p>
            <w:pPr>
              <w:spacing w:after="0"/>
              <w:rPr>
                <w:sz w:val="11"/>
                <w:szCs w:val="11"/>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Professional Services</w:t>
            </w:r>
          </w:p>
        </w:tc>
        <w:tc>
          <w:tcPr>
            <w:tcW w:w="140" w:type="dxa"/>
            <w:vAlign w:val="bottom"/>
          </w:tcPr>
          <w:p>
            <w:pPr>
              <w:spacing w:after="0"/>
              <w:rPr>
                <w:sz w:val="11"/>
                <w:szCs w:val="11"/>
                <w:color w:val="auto"/>
              </w:rPr>
            </w:pP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9,483</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gridSpan w:val="2"/>
          </w:tcPr>
          <w:p>
            <w:pPr>
              <w:jc w:val="right"/>
              <w:ind w:right="82"/>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53"/>
        </w:trPr>
        <w:tc>
          <w:tcPr>
            <w:tcW w:w="2940" w:type="dxa"/>
            <w:vAlign w:val="bottom"/>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Meadowlark Acquirer, LLC (Revolver) </w:t>
            </w:r>
            <w:r>
              <w:rPr>
                <w:rFonts w:ascii="Times New Roman" w:cs="Times New Roman" w:eastAsia="Times New Roman" w:hAnsi="Times New Roman"/>
                <w:sz w:val="14"/>
                <w:szCs w:val="14"/>
                <w:color w:val="auto"/>
                <w:vertAlign w:val="superscript"/>
              </w:rPr>
              <w:t>(9)</w:t>
            </w:r>
          </w:p>
        </w:tc>
        <w:tc>
          <w:tcPr>
            <w:tcW w:w="900" w:type="dxa"/>
            <w:vAlign w:val="bottom"/>
            <w:gridSpan w:val="2"/>
          </w:tcPr>
          <w:p>
            <w:pPr>
              <w:jc w:val="center"/>
              <w:ind w:left="106"/>
              <w:spacing w:after="0"/>
              <w:rPr>
                <w:sz w:val="20"/>
                <w:szCs w:val="20"/>
                <w:color w:val="auto"/>
              </w:rPr>
            </w:pPr>
            <w:r>
              <w:rPr>
                <w:rFonts w:ascii="Times New Roman" w:cs="Times New Roman" w:eastAsia="Times New Roman" w:hAnsi="Times New Roman"/>
                <w:sz w:val="11"/>
                <w:szCs w:val="11"/>
                <w:color w:val="auto"/>
                <w:w w:val="99"/>
              </w:rPr>
              <w:t>12/10/2027</w:t>
            </w:r>
          </w:p>
        </w:tc>
        <w:tc>
          <w:tcPr>
            <w:tcW w:w="160" w:type="dxa"/>
            <w:vAlign w:val="bottom"/>
          </w:tcPr>
          <w:p>
            <w:pPr>
              <w:spacing w:after="0"/>
              <w:rPr>
                <w:sz w:val="13"/>
                <w:szCs w:val="13"/>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Professional Services</w:t>
            </w:r>
          </w:p>
        </w:tc>
        <w:tc>
          <w:tcPr>
            <w:tcW w:w="140" w:type="dxa"/>
            <w:vAlign w:val="bottom"/>
          </w:tcPr>
          <w:p>
            <w:pPr>
              <w:spacing w:after="0"/>
              <w:rPr>
                <w:sz w:val="13"/>
                <w:szCs w:val="13"/>
                <w:color w:val="auto"/>
              </w:rPr>
            </w:pP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1,693</w:t>
            </w: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gridSpan w:val="2"/>
          </w:tcPr>
          <w:p>
            <w:pPr>
              <w:jc w:val="right"/>
              <w:ind w:right="22"/>
              <w:spacing w:after="0"/>
              <w:rPr>
                <w:sz w:val="20"/>
                <w:szCs w:val="20"/>
                <w:color w:val="auto"/>
              </w:rPr>
            </w:pPr>
            <w:r>
              <w:rPr>
                <w:rFonts w:ascii="Times New Roman" w:cs="Times New Roman" w:eastAsia="Times New Roman" w:hAnsi="Times New Roman"/>
                <w:sz w:val="11"/>
                <w:szCs w:val="11"/>
                <w:color w:val="auto"/>
              </w:rPr>
              <w:t>(17 )</w:t>
            </w:r>
          </w:p>
        </w:tc>
        <w:tc>
          <w:tcPr>
            <w:tcW w:w="0" w:type="dxa"/>
            <w:vAlign w:val="bottom"/>
          </w:tcPr>
          <w:p>
            <w:pPr>
              <w:spacing w:after="0"/>
              <w:rPr>
                <w:sz w:val="1"/>
                <w:szCs w:val="1"/>
                <w:color w:val="auto"/>
              </w:rPr>
            </w:pPr>
          </w:p>
        </w:tc>
      </w:tr>
      <w:tr>
        <w:trPr>
          <w:trHeight w:val="117"/>
        </w:trPr>
        <w:tc>
          <w:tcPr>
            <w:tcW w:w="2940" w:type="dxa"/>
            <w:vAlign w:val="bottom"/>
          </w:tcPr>
          <w:p>
            <w:pPr>
              <w:ind w:left="20"/>
              <w:spacing w:after="0" w:line="117" w:lineRule="exact"/>
              <w:rPr>
                <w:sz w:val="20"/>
                <w:szCs w:val="20"/>
                <w:color w:val="auto"/>
              </w:rPr>
            </w:pPr>
            <w:r>
              <w:rPr>
                <w:rFonts w:ascii="Times New Roman" w:cs="Times New Roman" w:eastAsia="Times New Roman" w:hAnsi="Times New Roman"/>
                <w:sz w:val="11"/>
                <w:szCs w:val="11"/>
                <w:color w:val="auto"/>
              </w:rPr>
              <w:t>Mission Critical Electronics, Inc.</w:t>
            </w:r>
          </w:p>
        </w:tc>
        <w:tc>
          <w:tcPr>
            <w:tcW w:w="900" w:type="dxa"/>
            <w:vAlign w:val="bottom"/>
            <w:gridSpan w:val="2"/>
          </w:tcPr>
          <w:p>
            <w:pPr>
              <w:jc w:val="center"/>
              <w:ind w:left="106"/>
              <w:spacing w:after="0" w:line="117" w:lineRule="exact"/>
              <w:rPr>
                <w:sz w:val="20"/>
                <w:szCs w:val="20"/>
                <w:color w:val="auto"/>
              </w:rPr>
            </w:pPr>
            <w:r>
              <w:rPr>
                <w:rFonts w:ascii="Times New Roman" w:cs="Times New Roman" w:eastAsia="Times New Roman" w:hAnsi="Times New Roman"/>
                <w:sz w:val="11"/>
                <w:szCs w:val="11"/>
                <w:color w:val="auto"/>
                <w:w w:val="99"/>
              </w:rPr>
              <w:t>03/28/2024</w:t>
            </w:r>
          </w:p>
        </w:tc>
        <w:tc>
          <w:tcPr>
            <w:tcW w:w="160" w:type="dxa"/>
            <w:vAlign w:val="bottom"/>
          </w:tcPr>
          <w:p>
            <w:pPr>
              <w:spacing w:after="0"/>
              <w:rPr>
                <w:sz w:val="10"/>
                <w:szCs w:val="10"/>
                <w:color w:val="auto"/>
              </w:rPr>
            </w:pPr>
          </w:p>
        </w:tc>
        <w:tc>
          <w:tcPr>
            <w:tcW w:w="202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color w:val="auto"/>
                <w:w w:val="98"/>
              </w:rPr>
              <w:t>Capital Equipment</w:t>
            </w:r>
          </w:p>
        </w:tc>
        <w:tc>
          <w:tcPr>
            <w:tcW w:w="1200" w:type="dxa"/>
            <w:vAlign w:val="bottom"/>
            <w:gridSpan w:val="3"/>
          </w:tcPr>
          <w:p>
            <w:pPr>
              <w:jc w:val="right"/>
              <w:ind w:right="140"/>
              <w:spacing w:after="0" w:line="117" w:lineRule="exact"/>
              <w:rPr>
                <w:sz w:val="20"/>
                <w:szCs w:val="20"/>
                <w:color w:val="auto"/>
              </w:rPr>
            </w:pPr>
            <w:r>
              <w:rPr>
                <w:rFonts w:ascii="Times New Roman" w:cs="Times New Roman" w:eastAsia="Times New Roman" w:hAnsi="Times New Roman"/>
                <w:sz w:val="11"/>
                <w:szCs w:val="11"/>
                <w:color w:val="auto"/>
              </w:rPr>
              <w:t>8.03 %</w:t>
            </w:r>
          </w:p>
        </w:tc>
        <w:tc>
          <w:tcPr>
            <w:tcW w:w="86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SOFR +500</w:t>
            </w:r>
          </w:p>
        </w:tc>
        <w:tc>
          <w:tcPr>
            <w:tcW w:w="102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1"/>
                <w:szCs w:val="11"/>
                <w:color w:val="auto"/>
              </w:rPr>
              <w:t>3,430</w:t>
            </w: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3,395</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3,389</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94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Mission Critical Electronics, Inc. </w:t>
            </w:r>
            <w:r>
              <w:rPr>
                <w:rFonts w:ascii="Times New Roman" w:cs="Times New Roman" w:eastAsia="Times New Roman" w:hAnsi="Times New Roman"/>
                <w:sz w:val="14"/>
                <w:szCs w:val="14"/>
                <w:color w:val="auto"/>
                <w:vertAlign w:val="superscript"/>
              </w:rPr>
              <w:t>(9)</w:t>
            </w:r>
          </w:p>
        </w:tc>
        <w:tc>
          <w:tcPr>
            <w:tcW w:w="900" w:type="dxa"/>
            <w:vAlign w:val="bottom"/>
            <w:gridSpan w:val="2"/>
          </w:tcPr>
          <w:p>
            <w:pPr>
              <w:jc w:val="center"/>
              <w:ind w:left="106"/>
              <w:spacing w:after="0"/>
              <w:rPr>
                <w:sz w:val="20"/>
                <w:szCs w:val="20"/>
                <w:color w:val="auto"/>
              </w:rPr>
            </w:pPr>
            <w:r>
              <w:rPr>
                <w:rFonts w:ascii="Times New Roman" w:cs="Times New Roman" w:eastAsia="Times New Roman" w:hAnsi="Times New Roman"/>
                <w:sz w:val="11"/>
                <w:szCs w:val="11"/>
                <w:color w:val="auto"/>
                <w:w w:val="99"/>
              </w:rPr>
              <w:t>03/28/2024</w:t>
            </w:r>
          </w:p>
        </w:tc>
        <w:tc>
          <w:tcPr>
            <w:tcW w:w="160" w:type="dxa"/>
            <w:vAlign w:val="bottom"/>
          </w:tcPr>
          <w:p>
            <w:pPr>
              <w:spacing w:after="0"/>
              <w:rPr>
                <w:sz w:val="11"/>
                <w:szCs w:val="11"/>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Capital Equipment</w:t>
            </w:r>
          </w:p>
        </w:tc>
        <w:tc>
          <w:tcPr>
            <w:tcW w:w="140" w:type="dxa"/>
            <w:vAlign w:val="bottom"/>
          </w:tcPr>
          <w:p>
            <w:pPr>
              <w:spacing w:after="0"/>
              <w:rPr>
                <w:sz w:val="11"/>
                <w:szCs w:val="11"/>
                <w:color w:val="auto"/>
              </w:rPr>
            </w:pP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883</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gridSpan w:val="2"/>
          </w:tcPr>
          <w:p>
            <w:pPr>
              <w:jc w:val="right"/>
              <w:ind w:right="22"/>
              <w:spacing w:after="0"/>
              <w:rPr>
                <w:sz w:val="20"/>
                <w:szCs w:val="20"/>
                <w:color w:val="auto"/>
              </w:rPr>
            </w:pPr>
            <w:r>
              <w:rPr>
                <w:rFonts w:ascii="Times New Roman" w:cs="Times New Roman" w:eastAsia="Times New Roman" w:hAnsi="Times New Roman"/>
                <w:sz w:val="11"/>
                <w:szCs w:val="11"/>
                <w:color w:val="auto"/>
              </w:rPr>
              <w:t>(7 )</w:t>
            </w:r>
          </w:p>
        </w:tc>
        <w:tc>
          <w:tcPr>
            <w:tcW w:w="0" w:type="dxa"/>
            <w:vAlign w:val="bottom"/>
          </w:tcPr>
          <w:p>
            <w:pPr>
              <w:spacing w:after="0"/>
              <w:rPr>
                <w:sz w:val="1"/>
                <w:szCs w:val="1"/>
                <w:color w:val="auto"/>
              </w:rPr>
            </w:pPr>
          </w:p>
        </w:tc>
      </w:tr>
      <w:tr>
        <w:trPr>
          <w:trHeight w:val="135"/>
        </w:trPr>
        <w:tc>
          <w:tcPr>
            <w:tcW w:w="294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Mission Critical Electronics, Inc. (Revolver) </w:t>
            </w:r>
            <w:r>
              <w:rPr>
                <w:rFonts w:ascii="Times New Roman" w:cs="Times New Roman" w:eastAsia="Times New Roman" w:hAnsi="Times New Roman"/>
                <w:sz w:val="14"/>
                <w:szCs w:val="14"/>
                <w:color w:val="auto"/>
                <w:vertAlign w:val="superscript"/>
              </w:rPr>
              <w:t>(7)</w:t>
            </w:r>
          </w:p>
        </w:tc>
        <w:tc>
          <w:tcPr>
            <w:tcW w:w="900" w:type="dxa"/>
            <w:vAlign w:val="bottom"/>
            <w:gridSpan w:val="2"/>
          </w:tcPr>
          <w:p>
            <w:pPr>
              <w:jc w:val="center"/>
              <w:ind w:left="106"/>
              <w:spacing w:after="0"/>
              <w:rPr>
                <w:sz w:val="20"/>
                <w:szCs w:val="20"/>
                <w:color w:val="auto"/>
              </w:rPr>
            </w:pPr>
            <w:r>
              <w:rPr>
                <w:rFonts w:ascii="Times New Roman" w:cs="Times New Roman" w:eastAsia="Times New Roman" w:hAnsi="Times New Roman"/>
                <w:sz w:val="11"/>
                <w:szCs w:val="11"/>
                <w:color w:val="auto"/>
                <w:w w:val="99"/>
              </w:rPr>
              <w:t>03/28/2024</w:t>
            </w:r>
          </w:p>
        </w:tc>
        <w:tc>
          <w:tcPr>
            <w:tcW w:w="160" w:type="dxa"/>
            <w:vAlign w:val="bottom"/>
          </w:tcPr>
          <w:p>
            <w:pPr>
              <w:spacing w:after="0"/>
              <w:rPr>
                <w:sz w:val="11"/>
                <w:szCs w:val="11"/>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Capital Equipment</w:t>
            </w:r>
          </w:p>
        </w:tc>
        <w:tc>
          <w:tcPr>
            <w:tcW w:w="1200" w:type="dxa"/>
            <w:vAlign w:val="bottom"/>
            <w:gridSpan w:val="3"/>
          </w:tcPr>
          <w:p>
            <w:pPr>
              <w:jc w:val="right"/>
              <w:ind w:right="140"/>
              <w:spacing w:after="0"/>
              <w:rPr>
                <w:sz w:val="20"/>
                <w:szCs w:val="20"/>
                <w:color w:val="auto"/>
              </w:rPr>
            </w:pPr>
            <w:r>
              <w:rPr>
                <w:rFonts w:ascii="Times New Roman" w:cs="Times New Roman" w:eastAsia="Times New Roman" w:hAnsi="Times New Roman"/>
                <w:sz w:val="11"/>
                <w:szCs w:val="11"/>
                <w:color w:val="auto"/>
              </w:rPr>
              <w:t>6.67 %</w:t>
            </w: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1M L+500</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557</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557</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550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4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Mission Critical Electronics, Inc. (Revolver) </w:t>
            </w:r>
            <w:r>
              <w:rPr>
                <w:rFonts w:ascii="Times New Roman" w:cs="Times New Roman" w:eastAsia="Times New Roman" w:hAnsi="Times New Roman"/>
                <w:sz w:val="14"/>
                <w:szCs w:val="14"/>
                <w:color w:val="auto"/>
                <w:vertAlign w:val="superscript"/>
              </w:rPr>
              <w:t>(7), (9)</w:t>
            </w:r>
          </w:p>
        </w:tc>
        <w:tc>
          <w:tcPr>
            <w:tcW w:w="900" w:type="dxa"/>
            <w:vAlign w:val="bottom"/>
            <w:gridSpan w:val="2"/>
          </w:tcPr>
          <w:p>
            <w:pPr>
              <w:jc w:val="center"/>
              <w:ind w:left="106"/>
              <w:spacing w:after="0"/>
              <w:rPr>
                <w:sz w:val="20"/>
                <w:szCs w:val="20"/>
                <w:color w:val="auto"/>
              </w:rPr>
            </w:pPr>
            <w:r>
              <w:rPr>
                <w:rFonts w:ascii="Times New Roman" w:cs="Times New Roman" w:eastAsia="Times New Roman" w:hAnsi="Times New Roman"/>
                <w:sz w:val="11"/>
                <w:szCs w:val="11"/>
                <w:color w:val="auto"/>
                <w:w w:val="99"/>
              </w:rPr>
              <w:t>03/28/2024</w:t>
            </w:r>
          </w:p>
        </w:tc>
        <w:tc>
          <w:tcPr>
            <w:tcW w:w="160" w:type="dxa"/>
            <w:vAlign w:val="bottom"/>
          </w:tcPr>
          <w:p>
            <w:pPr>
              <w:spacing w:after="0"/>
              <w:rPr>
                <w:sz w:val="11"/>
                <w:szCs w:val="11"/>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Capital Equipment</w:t>
            </w:r>
          </w:p>
        </w:tc>
        <w:tc>
          <w:tcPr>
            <w:tcW w:w="140" w:type="dxa"/>
            <w:vAlign w:val="bottom"/>
          </w:tcPr>
          <w:p>
            <w:pPr>
              <w:spacing w:after="0"/>
              <w:rPr>
                <w:sz w:val="11"/>
                <w:szCs w:val="11"/>
                <w:color w:val="auto"/>
              </w:rPr>
            </w:pP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769</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gridSpan w:val="2"/>
          </w:tcPr>
          <w:p>
            <w:pPr>
              <w:jc w:val="right"/>
              <w:ind w:right="22"/>
              <w:spacing w:after="0"/>
              <w:rPr>
                <w:sz w:val="20"/>
                <w:szCs w:val="20"/>
                <w:color w:val="auto"/>
              </w:rPr>
            </w:pPr>
            <w:r>
              <w:rPr>
                <w:rFonts w:ascii="Times New Roman" w:cs="Times New Roman" w:eastAsia="Times New Roman" w:hAnsi="Times New Roman"/>
                <w:sz w:val="11"/>
                <w:szCs w:val="11"/>
                <w:color w:val="auto"/>
              </w:rPr>
              <w:t>(9 )</w:t>
            </w:r>
          </w:p>
        </w:tc>
        <w:tc>
          <w:tcPr>
            <w:tcW w:w="0" w:type="dxa"/>
            <w:vAlign w:val="bottom"/>
          </w:tcPr>
          <w:p>
            <w:pPr>
              <w:spacing w:after="0"/>
              <w:rPr>
                <w:sz w:val="1"/>
                <w:szCs w:val="1"/>
                <w:color w:val="auto"/>
              </w:rPr>
            </w:pPr>
          </w:p>
        </w:tc>
      </w:tr>
      <w:tr>
        <w:trPr>
          <w:trHeight w:val="135"/>
        </w:trPr>
        <w:tc>
          <w:tcPr>
            <w:tcW w:w="294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Municipal Emergency Services, Inc. </w:t>
            </w:r>
            <w:r>
              <w:rPr>
                <w:rFonts w:ascii="Times New Roman" w:cs="Times New Roman" w:eastAsia="Times New Roman" w:hAnsi="Times New Roman"/>
                <w:sz w:val="14"/>
                <w:szCs w:val="14"/>
                <w:color w:val="auto"/>
                <w:vertAlign w:val="superscript"/>
              </w:rPr>
              <w:t>(7)</w:t>
            </w:r>
          </w:p>
        </w:tc>
        <w:tc>
          <w:tcPr>
            <w:tcW w:w="900" w:type="dxa"/>
            <w:vAlign w:val="bottom"/>
            <w:gridSpan w:val="2"/>
          </w:tcPr>
          <w:p>
            <w:pPr>
              <w:jc w:val="center"/>
              <w:ind w:left="106"/>
              <w:spacing w:after="0"/>
              <w:rPr>
                <w:sz w:val="20"/>
                <w:szCs w:val="20"/>
                <w:color w:val="auto"/>
              </w:rPr>
            </w:pPr>
            <w:r>
              <w:rPr>
                <w:rFonts w:ascii="Times New Roman" w:cs="Times New Roman" w:eastAsia="Times New Roman" w:hAnsi="Times New Roman"/>
                <w:sz w:val="11"/>
                <w:szCs w:val="11"/>
                <w:color w:val="auto"/>
                <w:w w:val="99"/>
              </w:rPr>
              <w:t>09/28/2027</w:t>
            </w:r>
          </w:p>
        </w:tc>
        <w:tc>
          <w:tcPr>
            <w:tcW w:w="160" w:type="dxa"/>
            <w:vAlign w:val="bottom"/>
          </w:tcPr>
          <w:p>
            <w:pPr>
              <w:spacing w:after="0"/>
              <w:rPr>
                <w:sz w:val="11"/>
                <w:szCs w:val="11"/>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5"/>
              </w:rPr>
              <w:t>Distributors</w:t>
            </w:r>
          </w:p>
        </w:tc>
        <w:tc>
          <w:tcPr>
            <w:tcW w:w="1200" w:type="dxa"/>
            <w:vAlign w:val="bottom"/>
            <w:gridSpan w:val="3"/>
          </w:tcPr>
          <w:p>
            <w:pPr>
              <w:jc w:val="right"/>
              <w:ind w:right="140"/>
              <w:spacing w:after="0"/>
              <w:rPr>
                <w:sz w:val="20"/>
                <w:szCs w:val="20"/>
                <w:color w:val="auto"/>
              </w:rPr>
            </w:pPr>
            <w:r>
              <w:rPr>
                <w:rFonts w:ascii="Times New Roman" w:cs="Times New Roman" w:eastAsia="Times New Roman" w:hAnsi="Times New Roman"/>
                <w:sz w:val="11"/>
                <w:szCs w:val="11"/>
                <w:color w:val="auto"/>
              </w:rPr>
              <w:t>8.67 %</w:t>
            </w: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L+500</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354</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351</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334</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4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Municipal Emergency Services, Inc. </w:t>
            </w:r>
            <w:r>
              <w:rPr>
                <w:rFonts w:ascii="Times New Roman" w:cs="Times New Roman" w:eastAsia="Times New Roman" w:hAnsi="Times New Roman"/>
                <w:sz w:val="14"/>
                <w:szCs w:val="14"/>
                <w:color w:val="auto"/>
                <w:vertAlign w:val="superscript"/>
              </w:rPr>
              <w:t>(7), (9)</w:t>
            </w:r>
          </w:p>
        </w:tc>
        <w:tc>
          <w:tcPr>
            <w:tcW w:w="900" w:type="dxa"/>
            <w:vAlign w:val="bottom"/>
            <w:gridSpan w:val="2"/>
          </w:tcPr>
          <w:p>
            <w:pPr>
              <w:jc w:val="center"/>
              <w:ind w:left="106"/>
              <w:spacing w:after="0"/>
              <w:rPr>
                <w:sz w:val="20"/>
                <w:szCs w:val="20"/>
                <w:color w:val="auto"/>
              </w:rPr>
            </w:pPr>
            <w:r>
              <w:rPr>
                <w:rFonts w:ascii="Times New Roman" w:cs="Times New Roman" w:eastAsia="Times New Roman" w:hAnsi="Times New Roman"/>
                <w:sz w:val="11"/>
                <w:szCs w:val="11"/>
                <w:color w:val="auto"/>
                <w:w w:val="99"/>
              </w:rPr>
              <w:t>09/28/2027</w:t>
            </w:r>
          </w:p>
        </w:tc>
        <w:tc>
          <w:tcPr>
            <w:tcW w:w="160" w:type="dxa"/>
            <w:vAlign w:val="bottom"/>
          </w:tcPr>
          <w:p>
            <w:pPr>
              <w:spacing w:after="0"/>
              <w:rPr>
                <w:sz w:val="11"/>
                <w:szCs w:val="11"/>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5"/>
              </w:rPr>
              <w:t>Distributors</w:t>
            </w:r>
          </w:p>
        </w:tc>
        <w:tc>
          <w:tcPr>
            <w:tcW w:w="140" w:type="dxa"/>
            <w:vAlign w:val="bottom"/>
          </w:tcPr>
          <w:p>
            <w:pPr>
              <w:spacing w:after="0"/>
              <w:rPr>
                <w:sz w:val="11"/>
                <w:szCs w:val="11"/>
                <w:color w:val="auto"/>
              </w:rPr>
            </w:pP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592</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gridSpan w:val="2"/>
          </w:tcPr>
          <w:p>
            <w:pPr>
              <w:jc w:val="right"/>
              <w:ind w:right="22"/>
              <w:spacing w:after="0"/>
              <w:rPr>
                <w:sz w:val="20"/>
                <w:szCs w:val="20"/>
                <w:color w:val="auto"/>
              </w:rPr>
            </w:pPr>
            <w:r>
              <w:rPr>
                <w:rFonts w:ascii="Times New Roman" w:cs="Times New Roman" w:eastAsia="Times New Roman" w:hAnsi="Times New Roman"/>
                <w:sz w:val="11"/>
                <w:szCs w:val="11"/>
                <w:color w:val="auto"/>
              </w:rPr>
              <w:t>(29 )</w:t>
            </w:r>
          </w:p>
        </w:tc>
        <w:tc>
          <w:tcPr>
            <w:tcW w:w="0" w:type="dxa"/>
            <w:vAlign w:val="bottom"/>
          </w:tcPr>
          <w:p>
            <w:pPr>
              <w:spacing w:after="0"/>
              <w:rPr>
                <w:sz w:val="1"/>
                <w:szCs w:val="1"/>
                <w:color w:val="auto"/>
              </w:rPr>
            </w:pPr>
          </w:p>
        </w:tc>
      </w:tr>
      <w:tr>
        <w:trPr>
          <w:trHeight w:val="135"/>
        </w:trPr>
        <w:tc>
          <w:tcPr>
            <w:tcW w:w="294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Municipal Emergency Services, Inc. (Revolver) </w:t>
            </w:r>
            <w:r>
              <w:rPr>
                <w:rFonts w:ascii="Times New Roman" w:cs="Times New Roman" w:eastAsia="Times New Roman" w:hAnsi="Times New Roman"/>
                <w:sz w:val="14"/>
                <w:szCs w:val="14"/>
                <w:color w:val="auto"/>
                <w:vertAlign w:val="superscript"/>
              </w:rPr>
              <w:t>(7)</w:t>
            </w:r>
          </w:p>
        </w:tc>
        <w:tc>
          <w:tcPr>
            <w:tcW w:w="900" w:type="dxa"/>
            <w:vAlign w:val="bottom"/>
            <w:gridSpan w:val="2"/>
          </w:tcPr>
          <w:p>
            <w:pPr>
              <w:jc w:val="center"/>
              <w:ind w:left="106"/>
              <w:spacing w:after="0"/>
              <w:rPr>
                <w:sz w:val="20"/>
                <w:szCs w:val="20"/>
                <w:color w:val="auto"/>
              </w:rPr>
            </w:pPr>
            <w:r>
              <w:rPr>
                <w:rFonts w:ascii="Times New Roman" w:cs="Times New Roman" w:eastAsia="Times New Roman" w:hAnsi="Times New Roman"/>
                <w:sz w:val="11"/>
                <w:szCs w:val="11"/>
                <w:color w:val="auto"/>
                <w:w w:val="99"/>
              </w:rPr>
              <w:t>09/28/2027</w:t>
            </w:r>
          </w:p>
        </w:tc>
        <w:tc>
          <w:tcPr>
            <w:tcW w:w="160" w:type="dxa"/>
            <w:vAlign w:val="bottom"/>
          </w:tcPr>
          <w:p>
            <w:pPr>
              <w:spacing w:after="0"/>
              <w:rPr>
                <w:sz w:val="11"/>
                <w:szCs w:val="11"/>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5"/>
              </w:rPr>
              <w:t>Distributors</w:t>
            </w:r>
          </w:p>
        </w:tc>
        <w:tc>
          <w:tcPr>
            <w:tcW w:w="1200" w:type="dxa"/>
            <w:vAlign w:val="bottom"/>
            <w:gridSpan w:val="3"/>
          </w:tcPr>
          <w:p>
            <w:pPr>
              <w:jc w:val="right"/>
              <w:ind w:right="140"/>
              <w:spacing w:after="0"/>
              <w:rPr>
                <w:sz w:val="20"/>
                <w:szCs w:val="20"/>
                <w:color w:val="auto"/>
              </w:rPr>
            </w:pPr>
            <w:r>
              <w:rPr>
                <w:rFonts w:ascii="Times New Roman" w:cs="Times New Roman" w:eastAsia="Times New Roman" w:hAnsi="Times New Roman"/>
                <w:sz w:val="11"/>
                <w:szCs w:val="11"/>
                <w:color w:val="auto"/>
              </w:rPr>
              <w:t>8.67 %</w:t>
            </w: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L+500</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142</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142</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134</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4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Municipal Emergency Services, Inc. (Revolver) </w:t>
            </w:r>
            <w:r>
              <w:rPr>
                <w:rFonts w:ascii="Times New Roman" w:cs="Times New Roman" w:eastAsia="Times New Roman" w:hAnsi="Times New Roman"/>
                <w:sz w:val="14"/>
                <w:szCs w:val="14"/>
                <w:color w:val="auto"/>
                <w:vertAlign w:val="superscript"/>
              </w:rPr>
              <w:t>(7), (9)</w:t>
            </w:r>
          </w:p>
        </w:tc>
        <w:tc>
          <w:tcPr>
            <w:tcW w:w="900" w:type="dxa"/>
            <w:vAlign w:val="bottom"/>
            <w:gridSpan w:val="2"/>
          </w:tcPr>
          <w:p>
            <w:pPr>
              <w:jc w:val="center"/>
              <w:ind w:left="106"/>
              <w:spacing w:after="0"/>
              <w:rPr>
                <w:sz w:val="20"/>
                <w:szCs w:val="20"/>
                <w:color w:val="auto"/>
              </w:rPr>
            </w:pPr>
            <w:r>
              <w:rPr>
                <w:rFonts w:ascii="Times New Roman" w:cs="Times New Roman" w:eastAsia="Times New Roman" w:hAnsi="Times New Roman"/>
                <w:sz w:val="11"/>
                <w:szCs w:val="11"/>
                <w:color w:val="auto"/>
                <w:w w:val="99"/>
              </w:rPr>
              <w:t>09/28/2027</w:t>
            </w:r>
          </w:p>
        </w:tc>
        <w:tc>
          <w:tcPr>
            <w:tcW w:w="160" w:type="dxa"/>
            <w:vAlign w:val="bottom"/>
          </w:tcPr>
          <w:p>
            <w:pPr>
              <w:spacing w:after="0"/>
              <w:rPr>
                <w:sz w:val="11"/>
                <w:szCs w:val="11"/>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5"/>
              </w:rPr>
              <w:t>Distributors</w:t>
            </w:r>
          </w:p>
        </w:tc>
        <w:tc>
          <w:tcPr>
            <w:tcW w:w="140" w:type="dxa"/>
            <w:vAlign w:val="bottom"/>
          </w:tcPr>
          <w:p>
            <w:pPr>
              <w:spacing w:after="0"/>
              <w:rPr>
                <w:sz w:val="11"/>
                <w:szCs w:val="11"/>
                <w:color w:val="auto"/>
              </w:rPr>
            </w:pP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805</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gridSpan w:val="2"/>
          </w:tcPr>
          <w:p>
            <w:pPr>
              <w:jc w:val="right"/>
              <w:ind w:right="22"/>
              <w:spacing w:after="0"/>
              <w:rPr>
                <w:sz w:val="20"/>
                <w:szCs w:val="20"/>
                <w:color w:val="auto"/>
              </w:rPr>
            </w:pPr>
            <w:r>
              <w:rPr>
                <w:rFonts w:ascii="Times New Roman" w:cs="Times New Roman" w:eastAsia="Times New Roman" w:hAnsi="Times New Roman"/>
                <w:sz w:val="11"/>
                <w:szCs w:val="11"/>
                <w:color w:val="auto"/>
              </w:rPr>
              <w:t>(47 )</w:t>
            </w:r>
          </w:p>
        </w:tc>
        <w:tc>
          <w:tcPr>
            <w:tcW w:w="0" w:type="dxa"/>
            <w:vAlign w:val="bottom"/>
          </w:tcPr>
          <w:p>
            <w:pPr>
              <w:spacing w:after="0"/>
              <w:rPr>
                <w:sz w:val="1"/>
                <w:szCs w:val="1"/>
                <w:color w:val="auto"/>
              </w:rPr>
            </w:pPr>
          </w:p>
        </w:tc>
      </w:tr>
      <w:tr>
        <w:trPr>
          <w:trHeight w:val="153"/>
        </w:trPr>
        <w:tc>
          <w:tcPr>
            <w:tcW w:w="2940" w:type="dxa"/>
            <w:vAlign w:val="bottom"/>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NBH Group LLC (Revolver) </w:t>
            </w:r>
            <w:r>
              <w:rPr>
                <w:rFonts w:ascii="Times New Roman" w:cs="Times New Roman" w:eastAsia="Times New Roman" w:hAnsi="Times New Roman"/>
                <w:sz w:val="14"/>
                <w:szCs w:val="14"/>
                <w:color w:val="auto"/>
                <w:vertAlign w:val="superscript"/>
              </w:rPr>
              <w:t>(7), (9)</w:t>
            </w:r>
          </w:p>
        </w:tc>
        <w:tc>
          <w:tcPr>
            <w:tcW w:w="900" w:type="dxa"/>
            <w:vAlign w:val="bottom"/>
            <w:gridSpan w:val="2"/>
          </w:tcPr>
          <w:p>
            <w:pPr>
              <w:jc w:val="center"/>
              <w:ind w:left="106"/>
              <w:spacing w:after="0"/>
              <w:rPr>
                <w:sz w:val="20"/>
                <w:szCs w:val="20"/>
                <w:color w:val="auto"/>
              </w:rPr>
            </w:pPr>
            <w:r>
              <w:rPr>
                <w:rFonts w:ascii="Times New Roman" w:cs="Times New Roman" w:eastAsia="Times New Roman" w:hAnsi="Times New Roman"/>
                <w:sz w:val="11"/>
                <w:szCs w:val="11"/>
                <w:color w:val="auto"/>
                <w:w w:val="99"/>
              </w:rPr>
              <w:t>08/19/2026</w:t>
            </w:r>
          </w:p>
        </w:tc>
        <w:tc>
          <w:tcPr>
            <w:tcW w:w="160" w:type="dxa"/>
            <w:vAlign w:val="bottom"/>
          </w:tcPr>
          <w:p>
            <w:pPr>
              <w:spacing w:after="0"/>
              <w:rPr>
                <w:sz w:val="13"/>
                <w:szCs w:val="13"/>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Healthcare Equipment and Supplies</w:t>
            </w:r>
          </w:p>
        </w:tc>
        <w:tc>
          <w:tcPr>
            <w:tcW w:w="140" w:type="dxa"/>
            <w:vAlign w:val="bottom"/>
          </w:tcPr>
          <w:p>
            <w:pPr>
              <w:spacing w:after="0"/>
              <w:rPr>
                <w:sz w:val="13"/>
                <w:szCs w:val="13"/>
                <w:color w:val="auto"/>
              </w:rPr>
            </w:pP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1,677</w:t>
            </w: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gridSpan w:val="2"/>
          </w:tcPr>
          <w:p>
            <w:pPr>
              <w:jc w:val="right"/>
              <w:ind w:right="82"/>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17"/>
        </w:trPr>
        <w:tc>
          <w:tcPr>
            <w:tcW w:w="2940" w:type="dxa"/>
            <w:vAlign w:val="bottom"/>
          </w:tcPr>
          <w:p>
            <w:pPr>
              <w:ind w:left="20"/>
              <w:spacing w:after="0" w:line="117" w:lineRule="exact"/>
              <w:rPr>
                <w:sz w:val="20"/>
                <w:szCs w:val="20"/>
                <w:color w:val="auto"/>
              </w:rPr>
            </w:pPr>
            <w:r>
              <w:rPr>
                <w:rFonts w:ascii="Times New Roman" w:cs="Times New Roman" w:eastAsia="Times New Roman" w:hAnsi="Times New Roman"/>
                <w:sz w:val="11"/>
                <w:szCs w:val="11"/>
                <w:color w:val="auto"/>
              </w:rPr>
              <w:t>OIS Management Services, LLC</w:t>
            </w:r>
          </w:p>
        </w:tc>
        <w:tc>
          <w:tcPr>
            <w:tcW w:w="900" w:type="dxa"/>
            <w:vAlign w:val="bottom"/>
            <w:gridSpan w:val="2"/>
          </w:tcPr>
          <w:p>
            <w:pPr>
              <w:jc w:val="center"/>
              <w:ind w:left="106"/>
              <w:spacing w:after="0" w:line="117" w:lineRule="exact"/>
              <w:rPr>
                <w:sz w:val="20"/>
                <w:szCs w:val="20"/>
                <w:color w:val="auto"/>
              </w:rPr>
            </w:pPr>
            <w:r>
              <w:rPr>
                <w:rFonts w:ascii="Times New Roman" w:cs="Times New Roman" w:eastAsia="Times New Roman" w:hAnsi="Times New Roman"/>
                <w:sz w:val="11"/>
                <w:szCs w:val="11"/>
                <w:color w:val="auto"/>
                <w:w w:val="99"/>
              </w:rPr>
              <w:t>07/09/2026</w:t>
            </w:r>
          </w:p>
        </w:tc>
        <w:tc>
          <w:tcPr>
            <w:tcW w:w="160" w:type="dxa"/>
            <w:vAlign w:val="bottom"/>
          </w:tcPr>
          <w:p>
            <w:pPr>
              <w:spacing w:after="0"/>
              <w:rPr>
                <w:sz w:val="10"/>
                <w:szCs w:val="10"/>
                <w:color w:val="auto"/>
              </w:rPr>
            </w:pPr>
          </w:p>
        </w:tc>
        <w:tc>
          <w:tcPr>
            <w:tcW w:w="202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color w:val="auto"/>
                <w:w w:val="97"/>
              </w:rPr>
              <w:t>Healthcare Equipment and Supplies</w:t>
            </w:r>
          </w:p>
        </w:tc>
        <w:tc>
          <w:tcPr>
            <w:tcW w:w="1200" w:type="dxa"/>
            <w:vAlign w:val="bottom"/>
            <w:gridSpan w:val="3"/>
          </w:tcPr>
          <w:p>
            <w:pPr>
              <w:jc w:val="right"/>
              <w:ind w:right="140"/>
              <w:spacing w:after="0" w:line="117" w:lineRule="exact"/>
              <w:rPr>
                <w:sz w:val="20"/>
                <w:szCs w:val="20"/>
                <w:color w:val="auto"/>
              </w:rPr>
            </w:pPr>
            <w:r>
              <w:rPr>
                <w:rFonts w:ascii="Times New Roman" w:cs="Times New Roman" w:eastAsia="Times New Roman" w:hAnsi="Times New Roman"/>
                <w:sz w:val="11"/>
                <w:szCs w:val="11"/>
                <w:color w:val="auto"/>
              </w:rPr>
              <w:t>9.45 %</w:t>
            </w:r>
          </w:p>
        </w:tc>
        <w:tc>
          <w:tcPr>
            <w:tcW w:w="86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SOFR + 575</w:t>
            </w:r>
          </w:p>
        </w:tc>
        <w:tc>
          <w:tcPr>
            <w:tcW w:w="102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1"/>
                <w:szCs w:val="11"/>
                <w:color w:val="auto"/>
              </w:rPr>
              <w:t>1,975</w:t>
            </w: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1,951</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1,975</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940" w:type="dxa"/>
            <w:vAlign w:val="bottom"/>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OIS Management Services, LLC (Revolver) </w:t>
            </w:r>
            <w:r>
              <w:rPr>
                <w:rFonts w:ascii="Times New Roman" w:cs="Times New Roman" w:eastAsia="Times New Roman" w:hAnsi="Times New Roman"/>
                <w:sz w:val="14"/>
                <w:szCs w:val="14"/>
                <w:color w:val="auto"/>
                <w:vertAlign w:val="superscript"/>
              </w:rPr>
              <w:t>(7), (9)</w:t>
            </w:r>
          </w:p>
        </w:tc>
        <w:tc>
          <w:tcPr>
            <w:tcW w:w="900" w:type="dxa"/>
            <w:vAlign w:val="bottom"/>
            <w:gridSpan w:val="2"/>
          </w:tcPr>
          <w:p>
            <w:pPr>
              <w:jc w:val="center"/>
              <w:ind w:left="106"/>
              <w:spacing w:after="0"/>
              <w:rPr>
                <w:sz w:val="20"/>
                <w:szCs w:val="20"/>
                <w:color w:val="auto"/>
              </w:rPr>
            </w:pPr>
            <w:r>
              <w:rPr>
                <w:rFonts w:ascii="Times New Roman" w:cs="Times New Roman" w:eastAsia="Times New Roman" w:hAnsi="Times New Roman"/>
                <w:sz w:val="11"/>
                <w:szCs w:val="11"/>
                <w:color w:val="auto"/>
                <w:w w:val="99"/>
              </w:rPr>
              <w:t>07/09/2026</w:t>
            </w:r>
          </w:p>
        </w:tc>
        <w:tc>
          <w:tcPr>
            <w:tcW w:w="160" w:type="dxa"/>
            <w:vAlign w:val="bottom"/>
          </w:tcPr>
          <w:p>
            <w:pPr>
              <w:spacing w:after="0"/>
              <w:rPr>
                <w:sz w:val="13"/>
                <w:szCs w:val="13"/>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Healthcare Equipment and Supplies</w:t>
            </w:r>
          </w:p>
        </w:tc>
        <w:tc>
          <w:tcPr>
            <w:tcW w:w="140" w:type="dxa"/>
            <w:vAlign w:val="bottom"/>
          </w:tcPr>
          <w:p>
            <w:pPr>
              <w:spacing w:after="0"/>
              <w:rPr>
                <w:sz w:val="13"/>
                <w:szCs w:val="13"/>
                <w:color w:val="auto"/>
              </w:rPr>
            </w:pP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444</w:t>
            </w: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gridSpan w:val="2"/>
          </w:tcPr>
          <w:p>
            <w:pPr>
              <w:jc w:val="right"/>
              <w:ind w:right="82"/>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17"/>
        </w:trPr>
        <w:tc>
          <w:tcPr>
            <w:tcW w:w="2940" w:type="dxa"/>
            <w:vAlign w:val="bottom"/>
          </w:tcPr>
          <w:p>
            <w:pPr>
              <w:ind w:left="20"/>
              <w:spacing w:after="0" w:line="117" w:lineRule="exact"/>
              <w:rPr>
                <w:sz w:val="20"/>
                <w:szCs w:val="20"/>
                <w:color w:val="auto"/>
              </w:rPr>
            </w:pPr>
            <w:r>
              <w:rPr>
                <w:rFonts w:ascii="Times New Roman" w:cs="Times New Roman" w:eastAsia="Times New Roman" w:hAnsi="Times New Roman"/>
                <w:sz w:val="11"/>
                <w:szCs w:val="11"/>
                <w:color w:val="auto"/>
              </w:rPr>
              <w:t>One Stop Mailing, LLC</w:t>
            </w:r>
          </w:p>
        </w:tc>
        <w:tc>
          <w:tcPr>
            <w:tcW w:w="900" w:type="dxa"/>
            <w:vAlign w:val="bottom"/>
            <w:gridSpan w:val="2"/>
          </w:tcPr>
          <w:p>
            <w:pPr>
              <w:jc w:val="center"/>
              <w:ind w:left="106"/>
              <w:spacing w:after="0" w:line="117" w:lineRule="exact"/>
              <w:rPr>
                <w:sz w:val="20"/>
                <w:szCs w:val="20"/>
                <w:color w:val="auto"/>
              </w:rPr>
            </w:pPr>
            <w:r>
              <w:rPr>
                <w:rFonts w:ascii="Times New Roman" w:cs="Times New Roman" w:eastAsia="Times New Roman" w:hAnsi="Times New Roman"/>
                <w:sz w:val="11"/>
                <w:szCs w:val="11"/>
                <w:color w:val="auto"/>
                <w:w w:val="99"/>
              </w:rPr>
              <w:t>05/07/2027</w:t>
            </w:r>
          </w:p>
        </w:tc>
        <w:tc>
          <w:tcPr>
            <w:tcW w:w="160" w:type="dxa"/>
            <w:vAlign w:val="bottom"/>
          </w:tcPr>
          <w:p>
            <w:pPr>
              <w:spacing w:after="0"/>
              <w:rPr>
                <w:sz w:val="10"/>
                <w:szCs w:val="10"/>
                <w:color w:val="auto"/>
              </w:rPr>
            </w:pPr>
          </w:p>
        </w:tc>
        <w:tc>
          <w:tcPr>
            <w:tcW w:w="202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color w:val="auto"/>
                <w:w w:val="99"/>
              </w:rPr>
              <w:t>Air Freight and Logistics</w:t>
            </w:r>
          </w:p>
        </w:tc>
        <w:tc>
          <w:tcPr>
            <w:tcW w:w="1200" w:type="dxa"/>
            <w:vAlign w:val="bottom"/>
            <w:gridSpan w:val="3"/>
          </w:tcPr>
          <w:p>
            <w:pPr>
              <w:jc w:val="right"/>
              <w:ind w:right="140"/>
              <w:spacing w:after="0" w:line="117" w:lineRule="exact"/>
              <w:rPr>
                <w:sz w:val="20"/>
                <w:szCs w:val="20"/>
                <w:color w:val="auto"/>
              </w:rPr>
            </w:pPr>
            <w:r>
              <w:rPr>
                <w:rFonts w:ascii="Times New Roman" w:cs="Times New Roman" w:eastAsia="Times New Roman" w:hAnsi="Times New Roman"/>
                <w:sz w:val="11"/>
                <w:szCs w:val="11"/>
                <w:color w:val="auto"/>
              </w:rPr>
              <w:t>9.37 %</w:t>
            </w:r>
          </w:p>
        </w:tc>
        <w:tc>
          <w:tcPr>
            <w:tcW w:w="86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3M L+625</w:t>
            </w:r>
          </w:p>
        </w:tc>
        <w:tc>
          <w:tcPr>
            <w:tcW w:w="102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1"/>
                <w:szCs w:val="11"/>
                <w:color w:val="auto"/>
              </w:rPr>
              <w:t>8,759</w:t>
            </w: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8,612</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8,496</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94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ORL Acquisition, Inc. </w:t>
            </w:r>
            <w:r>
              <w:rPr>
                <w:rFonts w:ascii="Times New Roman" w:cs="Times New Roman" w:eastAsia="Times New Roman" w:hAnsi="Times New Roman"/>
                <w:sz w:val="14"/>
                <w:szCs w:val="14"/>
                <w:color w:val="auto"/>
                <w:vertAlign w:val="superscript"/>
              </w:rPr>
              <w:t>(7)</w:t>
            </w:r>
          </w:p>
        </w:tc>
        <w:tc>
          <w:tcPr>
            <w:tcW w:w="900" w:type="dxa"/>
            <w:vAlign w:val="bottom"/>
            <w:gridSpan w:val="2"/>
          </w:tcPr>
          <w:p>
            <w:pPr>
              <w:jc w:val="center"/>
              <w:ind w:left="106"/>
              <w:spacing w:after="0"/>
              <w:rPr>
                <w:sz w:val="20"/>
                <w:szCs w:val="20"/>
                <w:color w:val="auto"/>
              </w:rPr>
            </w:pPr>
            <w:r>
              <w:rPr>
                <w:rFonts w:ascii="Times New Roman" w:cs="Times New Roman" w:eastAsia="Times New Roman" w:hAnsi="Times New Roman"/>
                <w:sz w:val="11"/>
                <w:szCs w:val="11"/>
                <w:color w:val="auto"/>
                <w:w w:val="99"/>
              </w:rPr>
              <w:t>09/03/2027</w:t>
            </w:r>
          </w:p>
        </w:tc>
        <w:tc>
          <w:tcPr>
            <w:tcW w:w="160" w:type="dxa"/>
            <w:vAlign w:val="bottom"/>
          </w:tcPr>
          <w:p>
            <w:pPr>
              <w:spacing w:after="0"/>
              <w:rPr>
                <w:sz w:val="11"/>
                <w:szCs w:val="11"/>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Consumer Finance</w:t>
            </w:r>
          </w:p>
        </w:tc>
        <w:tc>
          <w:tcPr>
            <w:tcW w:w="1200" w:type="dxa"/>
            <w:vAlign w:val="bottom"/>
            <w:gridSpan w:val="3"/>
          </w:tcPr>
          <w:p>
            <w:pPr>
              <w:jc w:val="right"/>
              <w:ind w:right="140"/>
              <w:spacing w:after="0"/>
              <w:rPr>
                <w:sz w:val="20"/>
                <w:szCs w:val="20"/>
                <w:color w:val="auto"/>
              </w:rPr>
            </w:pPr>
            <w:r>
              <w:rPr>
                <w:rFonts w:ascii="Times New Roman" w:cs="Times New Roman" w:eastAsia="Times New Roman" w:hAnsi="Times New Roman"/>
                <w:sz w:val="11"/>
                <w:szCs w:val="11"/>
                <w:color w:val="auto"/>
              </w:rPr>
              <w:t>8.92 %</w:t>
            </w: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L+525</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7,195</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7,069</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7,195</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940" w:type="dxa"/>
            <w:vAlign w:val="bottom"/>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ORL Acquisition, Inc. (Revolver) </w:t>
            </w:r>
            <w:r>
              <w:rPr>
                <w:rFonts w:ascii="Times New Roman" w:cs="Times New Roman" w:eastAsia="Times New Roman" w:hAnsi="Times New Roman"/>
                <w:sz w:val="14"/>
                <w:szCs w:val="14"/>
                <w:color w:val="auto"/>
                <w:vertAlign w:val="superscript"/>
              </w:rPr>
              <w:t>(7), (9)</w:t>
            </w:r>
          </w:p>
        </w:tc>
        <w:tc>
          <w:tcPr>
            <w:tcW w:w="900" w:type="dxa"/>
            <w:vAlign w:val="bottom"/>
            <w:gridSpan w:val="2"/>
          </w:tcPr>
          <w:p>
            <w:pPr>
              <w:jc w:val="center"/>
              <w:ind w:left="106"/>
              <w:spacing w:after="0"/>
              <w:rPr>
                <w:sz w:val="20"/>
                <w:szCs w:val="20"/>
                <w:color w:val="auto"/>
              </w:rPr>
            </w:pPr>
            <w:r>
              <w:rPr>
                <w:rFonts w:ascii="Times New Roman" w:cs="Times New Roman" w:eastAsia="Times New Roman" w:hAnsi="Times New Roman"/>
                <w:sz w:val="11"/>
                <w:szCs w:val="11"/>
                <w:color w:val="auto"/>
                <w:w w:val="99"/>
              </w:rPr>
              <w:t>09/03/2027</w:t>
            </w:r>
          </w:p>
        </w:tc>
        <w:tc>
          <w:tcPr>
            <w:tcW w:w="160" w:type="dxa"/>
            <w:vAlign w:val="bottom"/>
          </w:tcPr>
          <w:p>
            <w:pPr>
              <w:spacing w:after="0"/>
              <w:rPr>
                <w:sz w:val="13"/>
                <w:szCs w:val="13"/>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Consumer Finance</w:t>
            </w:r>
          </w:p>
        </w:tc>
        <w:tc>
          <w:tcPr>
            <w:tcW w:w="140" w:type="dxa"/>
            <w:vAlign w:val="bottom"/>
          </w:tcPr>
          <w:p>
            <w:pPr>
              <w:spacing w:after="0"/>
              <w:rPr>
                <w:sz w:val="13"/>
                <w:szCs w:val="13"/>
                <w:color w:val="auto"/>
              </w:rPr>
            </w:pP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861</w:t>
            </w: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gridSpan w:val="2"/>
          </w:tcPr>
          <w:p>
            <w:pPr>
              <w:jc w:val="right"/>
              <w:ind w:right="82"/>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44"/>
        </w:trPr>
        <w:tc>
          <w:tcPr>
            <w:tcW w:w="29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Output Services Group, Inc.</w:t>
            </w:r>
          </w:p>
        </w:tc>
        <w:tc>
          <w:tcPr>
            <w:tcW w:w="900" w:type="dxa"/>
            <w:vAlign w:val="bottom"/>
            <w:gridSpan w:val="2"/>
          </w:tcPr>
          <w:p>
            <w:pPr>
              <w:jc w:val="center"/>
              <w:ind w:left="106"/>
              <w:spacing w:after="0"/>
              <w:rPr>
                <w:sz w:val="20"/>
                <w:szCs w:val="20"/>
                <w:color w:val="auto"/>
              </w:rPr>
            </w:pPr>
            <w:r>
              <w:rPr>
                <w:rFonts w:ascii="Times New Roman" w:cs="Times New Roman" w:eastAsia="Times New Roman" w:hAnsi="Times New Roman"/>
                <w:sz w:val="11"/>
                <w:szCs w:val="11"/>
                <w:color w:val="auto"/>
                <w:w w:val="99"/>
              </w:rPr>
              <w:t>03/27/2024</w:t>
            </w:r>
          </w:p>
        </w:tc>
        <w:tc>
          <w:tcPr>
            <w:tcW w:w="160" w:type="dxa"/>
            <w:vAlign w:val="bottom"/>
          </w:tcPr>
          <w:p>
            <w:pPr>
              <w:spacing w:after="0"/>
              <w:rPr>
                <w:sz w:val="12"/>
                <w:szCs w:val="12"/>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1200" w:type="dxa"/>
            <w:vAlign w:val="bottom"/>
            <w:gridSpan w:val="3"/>
          </w:tcPr>
          <w:p>
            <w:pPr>
              <w:jc w:val="right"/>
              <w:ind w:right="140"/>
              <w:spacing w:after="0"/>
              <w:rPr>
                <w:sz w:val="20"/>
                <w:szCs w:val="20"/>
                <w:color w:val="auto"/>
              </w:rPr>
            </w:pPr>
            <w:r>
              <w:rPr>
                <w:rFonts w:ascii="Times New Roman" w:cs="Times New Roman" w:eastAsia="Times New Roman" w:hAnsi="Times New Roman"/>
                <w:sz w:val="11"/>
                <w:szCs w:val="11"/>
                <w:color w:val="auto"/>
              </w:rPr>
              <w:t>9.80 %</w:t>
            </w: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1M L+675</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4,874</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4,592</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3,704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9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Owl Acquisition, LLC</w:t>
            </w:r>
          </w:p>
        </w:tc>
        <w:tc>
          <w:tcPr>
            <w:tcW w:w="900" w:type="dxa"/>
            <w:vAlign w:val="bottom"/>
            <w:gridSpan w:val="2"/>
            <w:shd w:val="clear" w:color="auto" w:fill="CCECFF"/>
          </w:tcPr>
          <w:p>
            <w:pPr>
              <w:jc w:val="center"/>
              <w:ind w:left="106"/>
              <w:spacing w:after="0"/>
              <w:rPr>
                <w:sz w:val="20"/>
                <w:szCs w:val="20"/>
                <w:color w:val="auto"/>
              </w:rPr>
            </w:pPr>
            <w:r>
              <w:rPr>
                <w:rFonts w:ascii="Times New Roman" w:cs="Times New Roman" w:eastAsia="Times New Roman" w:hAnsi="Times New Roman"/>
                <w:sz w:val="11"/>
                <w:szCs w:val="11"/>
                <w:color w:val="auto"/>
                <w:w w:val="99"/>
              </w:rPr>
              <w:t>02/04/2028</w:t>
            </w:r>
          </w:p>
        </w:tc>
        <w:tc>
          <w:tcPr>
            <w:tcW w:w="160" w:type="dxa"/>
            <w:vAlign w:val="bottom"/>
            <w:shd w:val="clear" w:color="auto" w:fill="CCECFF"/>
          </w:tcPr>
          <w:p>
            <w:pPr>
              <w:spacing w:after="0"/>
              <w:rPr>
                <w:sz w:val="12"/>
                <w:szCs w:val="12"/>
                <w:color w:val="auto"/>
              </w:rPr>
            </w:pPr>
          </w:p>
        </w:tc>
        <w:tc>
          <w:tcPr>
            <w:tcW w:w="2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9"/>
              </w:rPr>
              <w:t>Professional Services</w:t>
            </w:r>
          </w:p>
        </w:tc>
        <w:tc>
          <w:tcPr>
            <w:tcW w:w="1200" w:type="dxa"/>
            <w:vAlign w:val="bottom"/>
            <w:gridSpan w:val="3"/>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8.41 %</w:t>
            </w:r>
          </w:p>
        </w:tc>
        <w:tc>
          <w:tcPr>
            <w:tcW w:w="8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L+575</w:t>
            </w:r>
          </w:p>
        </w:tc>
        <w:tc>
          <w:tcPr>
            <w:tcW w:w="10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3,990</w:t>
            </w:r>
          </w:p>
        </w:tc>
        <w:tc>
          <w:tcPr>
            <w:tcW w:w="20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3,874</w:t>
            </w:r>
          </w:p>
        </w:tc>
        <w:tc>
          <w:tcPr>
            <w:tcW w:w="22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7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3,890</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03"/>
        </w:trPr>
        <w:tc>
          <w:tcPr>
            <w:tcW w:w="2940" w:type="dxa"/>
            <w:vAlign w:val="bottom"/>
          </w:tcPr>
          <w:p>
            <w:pPr>
              <w:ind w:left="20"/>
              <w:spacing w:after="0" w:line="103" w:lineRule="exact"/>
              <w:rPr>
                <w:sz w:val="20"/>
                <w:szCs w:val="20"/>
                <w:color w:val="auto"/>
              </w:rPr>
            </w:pPr>
            <w:r>
              <w:rPr>
                <w:rFonts w:ascii="Times New Roman" w:cs="Times New Roman" w:eastAsia="Times New Roman" w:hAnsi="Times New Roman"/>
                <w:sz w:val="11"/>
                <w:szCs w:val="11"/>
                <w:color w:val="auto"/>
              </w:rPr>
              <w:t>Ox Two, LLC</w:t>
            </w:r>
          </w:p>
        </w:tc>
        <w:tc>
          <w:tcPr>
            <w:tcW w:w="900" w:type="dxa"/>
            <w:vAlign w:val="bottom"/>
            <w:gridSpan w:val="2"/>
          </w:tcPr>
          <w:p>
            <w:pPr>
              <w:jc w:val="center"/>
              <w:ind w:left="106"/>
              <w:spacing w:after="0" w:line="103" w:lineRule="exact"/>
              <w:rPr>
                <w:sz w:val="20"/>
                <w:szCs w:val="20"/>
                <w:color w:val="auto"/>
              </w:rPr>
            </w:pPr>
            <w:r>
              <w:rPr>
                <w:rFonts w:ascii="Times New Roman" w:cs="Times New Roman" w:eastAsia="Times New Roman" w:hAnsi="Times New Roman"/>
                <w:sz w:val="11"/>
                <w:szCs w:val="11"/>
                <w:color w:val="auto"/>
                <w:w w:val="99"/>
              </w:rPr>
              <w:t>05/18/2026</w:t>
            </w:r>
          </w:p>
        </w:tc>
        <w:tc>
          <w:tcPr>
            <w:tcW w:w="160" w:type="dxa"/>
            <w:vAlign w:val="bottom"/>
          </w:tcPr>
          <w:p>
            <w:pPr>
              <w:spacing w:after="0"/>
              <w:rPr>
                <w:sz w:val="8"/>
                <w:szCs w:val="8"/>
                <w:color w:val="auto"/>
              </w:rPr>
            </w:pPr>
          </w:p>
        </w:tc>
        <w:tc>
          <w:tcPr>
            <w:tcW w:w="2020" w:type="dxa"/>
            <w:vAlign w:val="bottom"/>
          </w:tcPr>
          <w:p>
            <w:pPr>
              <w:jc w:val="center"/>
              <w:spacing w:after="0" w:line="103" w:lineRule="exact"/>
              <w:rPr>
                <w:sz w:val="20"/>
                <w:szCs w:val="20"/>
                <w:color w:val="auto"/>
              </w:rPr>
            </w:pPr>
            <w:r>
              <w:rPr>
                <w:rFonts w:ascii="Times New Roman" w:cs="Times New Roman" w:eastAsia="Times New Roman" w:hAnsi="Times New Roman"/>
                <w:sz w:val="11"/>
                <w:szCs w:val="11"/>
                <w:color w:val="auto"/>
                <w:w w:val="97"/>
              </w:rPr>
              <w:t>Construction and Building</w:t>
            </w:r>
          </w:p>
        </w:tc>
        <w:tc>
          <w:tcPr>
            <w:tcW w:w="1200" w:type="dxa"/>
            <w:vAlign w:val="bottom"/>
            <w:gridSpan w:val="3"/>
          </w:tcPr>
          <w:p>
            <w:pPr>
              <w:jc w:val="right"/>
              <w:ind w:right="140"/>
              <w:spacing w:after="0" w:line="103" w:lineRule="exact"/>
              <w:rPr>
                <w:sz w:val="20"/>
                <w:szCs w:val="20"/>
                <w:color w:val="auto"/>
              </w:rPr>
            </w:pPr>
            <w:r>
              <w:rPr>
                <w:rFonts w:ascii="Times New Roman" w:cs="Times New Roman" w:eastAsia="Times New Roman" w:hAnsi="Times New Roman"/>
                <w:sz w:val="11"/>
                <w:szCs w:val="11"/>
                <w:color w:val="auto"/>
              </w:rPr>
              <w:t>9.81 %</w:t>
            </w:r>
          </w:p>
        </w:tc>
        <w:tc>
          <w:tcPr>
            <w:tcW w:w="860" w:type="dxa"/>
            <w:vAlign w:val="bottom"/>
          </w:tcPr>
          <w:p>
            <w:pPr>
              <w:jc w:val="right"/>
              <w:spacing w:after="0" w:line="103" w:lineRule="exact"/>
              <w:rPr>
                <w:sz w:val="20"/>
                <w:szCs w:val="20"/>
                <w:color w:val="auto"/>
              </w:rPr>
            </w:pPr>
            <w:r>
              <w:rPr>
                <w:rFonts w:ascii="Times New Roman" w:cs="Times New Roman" w:eastAsia="Times New Roman" w:hAnsi="Times New Roman"/>
                <w:sz w:val="11"/>
                <w:szCs w:val="11"/>
                <w:color w:val="auto"/>
              </w:rPr>
              <w:t>1M L+700</w:t>
            </w:r>
          </w:p>
        </w:tc>
        <w:tc>
          <w:tcPr>
            <w:tcW w:w="1020" w:type="dxa"/>
            <w:vAlign w:val="bottom"/>
            <w:gridSpan w:val="2"/>
          </w:tcPr>
          <w:p>
            <w:pPr>
              <w:jc w:val="right"/>
              <w:spacing w:after="0" w:line="103" w:lineRule="exact"/>
              <w:rPr>
                <w:sz w:val="20"/>
                <w:szCs w:val="20"/>
                <w:color w:val="auto"/>
              </w:rPr>
            </w:pPr>
            <w:r>
              <w:rPr>
                <w:rFonts w:ascii="Times New Roman" w:cs="Times New Roman" w:eastAsia="Times New Roman" w:hAnsi="Times New Roman"/>
                <w:sz w:val="11"/>
                <w:szCs w:val="11"/>
                <w:color w:val="auto"/>
              </w:rPr>
              <w:t>25,772</w:t>
            </w: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jc w:val="right"/>
              <w:spacing w:after="0" w:line="103" w:lineRule="exact"/>
              <w:rPr>
                <w:sz w:val="20"/>
                <w:szCs w:val="20"/>
                <w:color w:val="auto"/>
              </w:rPr>
            </w:pPr>
            <w:r>
              <w:rPr>
                <w:rFonts w:ascii="Times New Roman" w:cs="Times New Roman" w:eastAsia="Times New Roman" w:hAnsi="Times New Roman"/>
                <w:sz w:val="11"/>
                <w:szCs w:val="11"/>
                <w:color w:val="auto"/>
              </w:rPr>
              <w:t>25,440</w:t>
            </w: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jc w:val="right"/>
              <w:spacing w:after="0" w:line="103" w:lineRule="exact"/>
              <w:rPr>
                <w:sz w:val="20"/>
                <w:szCs w:val="20"/>
                <w:color w:val="auto"/>
              </w:rPr>
            </w:pPr>
            <w:r>
              <w:rPr>
                <w:rFonts w:ascii="Times New Roman" w:cs="Times New Roman" w:eastAsia="Times New Roman" w:hAnsi="Times New Roman"/>
                <w:sz w:val="11"/>
                <w:szCs w:val="11"/>
                <w:color w:val="auto"/>
              </w:rPr>
              <w:t>25,257</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294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Ox Two, LLC (Revolver) </w:t>
            </w:r>
            <w:r>
              <w:rPr>
                <w:rFonts w:ascii="Times New Roman" w:cs="Times New Roman" w:eastAsia="Times New Roman" w:hAnsi="Times New Roman"/>
                <w:sz w:val="14"/>
                <w:szCs w:val="14"/>
                <w:color w:val="auto"/>
                <w:vertAlign w:val="superscript"/>
              </w:rPr>
              <w:t>(7)</w:t>
            </w:r>
          </w:p>
        </w:tc>
        <w:tc>
          <w:tcPr>
            <w:tcW w:w="900" w:type="dxa"/>
            <w:vAlign w:val="bottom"/>
            <w:gridSpan w:val="2"/>
          </w:tcPr>
          <w:p>
            <w:pPr>
              <w:jc w:val="center"/>
              <w:ind w:left="106"/>
              <w:spacing w:after="0"/>
              <w:rPr>
                <w:sz w:val="20"/>
                <w:szCs w:val="20"/>
                <w:color w:val="auto"/>
              </w:rPr>
            </w:pPr>
            <w:r>
              <w:rPr>
                <w:rFonts w:ascii="Times New Roman" w:cs="Times New Roman" w:eastAsia="Times New Roman" w:hAnsi="Times New Roman"/>
                <w:sz w:val="11"/>
                <w:szCs w:val="11"/>
                <w:color w:val="auto"/>
                <w:w w:val="99"/>
              </w:rPr>
              <w:t>05/18/2026</w:t>
            </w:r>
          </w:p>
        </w:tc>
        <w:tc>
          <w:tcPr>
            <w:tcW w:w="160" w:type="dxa"/>
            <w:vAlign w:val="bottom"/>
          </w:tcPr>
          <w:p>
            <w:pPr>
              <w:spacing w:after="0"/>
              <w:rPr>
                <w:sz w:val="11"/>
                <w:szCs w:val="11"/>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Construction and Building</w:t>
            </w:r>
          </w:p>
        </w:tc>
        <w:tc>
          <w:tcPr>
            <w:tcW w:w="1200" w:type="dxa"/>
            <w:vAlign w:val="bottom"/>
            <w:gridSpan w:val="3"/>
          </w:tcPr>
          <w:p>
            <w:pPr>
              <w:jc w:val="right"/>
              <w:ind w:right="140"/>
              <w:spacing w:after="0"/>
              <w:rPr>
                <w:sz w:val="20"/>
                <w:szCs w:val="20"/>
                <w:color w:val="auto"/>
              </w:rPr>
            </w:pPr>
            <w:r>
              <w:rPr>
                <w:rFonts w:ascii="Times New Roman" w:cs="Times New Roman" w:eastAsia="Times New Roman" w:hAnsi="Times New Roman"/>
                <w:sz w:val="11"/>
                <w:szCs w:val="11"/>
                <w:color w:val="auto"/>
              </w:rPr>
              <w:t>9.81 %</w:t>
            </w: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1M L+700</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2,484</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2,484</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2,434</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940" w:type="dxa"/>
            <w:vAlign w:val="bottom"/>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Ox Two, LLC (Revolver) </w:t>
            </w:r>
            <w:r>
              <w:rPr>
                <w:rFonts w:ascii="Times New Roman" w:cs="Times New Roman" w:eastAsia="Times New Roman" w:hAnsi="Times New Roman"/>
                <w:sz w:val="14"/>
                <w:szCs w:val="14"/>
                <w:color w:val="auto"/>
                <w:vertAlign w:val="superscript"/>
              </w:rPr>
              <w:t>(9)</w:t>
            </w:r>
          </w:p>
        </w:tc>
        <w:tc>
          <w:tcPr>
            <w:tcW w:w="900" w:type="dxa"/>
            <w:vAlign w:val="bottom"/>
            <w:gridSpan w:val="2"/>
          </w:tcPr>
          <w:p>
            <w:pPr>
              <w:jc w:val="center"/>
              <w:ind w:left="106"/>
              <w:spacing w:after="0"/>
              <w:rPr>
                <w:sz w:val="20"/>
                <w:szCs w:val="20"/>
                <w:color w:val="auto"/>
              </w:rPr>
            </w:pPr>
            <w:r>
              <w:rPr>
                <w:rFonts w:ascii="Times New Roman" w:cs="Times New Roman" w:eastAsia="Times New Roman" w:hAnsi="Times New Roman"/>
                <w:sz w:val="11"/>
                <w:szCs w:val="11"/>
                <w:color w:val="auto"/>
                <w:w w:val="99"/>
              </w:rPr>
              <w:t>05/18/2026</w:t>
            </w:r>
          </w:p>
        </w:tc>
        <w:tc>
          <w:tcPr>
            <w:tcW w:w="160" w:type="dxa"/>
            <w:vAlign w:val="bottom"/>
          </w:tcPr>
          <w:p>
            <w:pPr>
              <w:spacing w:after="0"/>
              <w:rPr>
                <w:sz w:val="13"/>
                <w:szCs w:val="13"/>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Construction and Building</w:t>
            </w:r>
          </w:p>
        </w:tc>
        <w:tc>
          <w:tcPr>
            <w:tcW w:w="140" w:type="dxa"/>
            <w:vAlign w:val="bottom"/>
          </w:tcPr>
          <w:p>
            <w:pPr>
              <w:spacing w:after="0"/>
              <w:rPr>
                <w:sz w:val="13"/>
                <w:szCs w:val="13"/>
                <w:color w:val="auto"/>
              </w:rPr>
            </w:pP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903</w:t>
            </w: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gridSpan w:val="2"/>
          </w:tcPr>
          <w:p>
            <w:pPr>
              <w:jc w:val="right"/>
              <w:ind w:right="22"/>
              <w:spacing w:after="0"/>
              <w:rPr>
                <w:sz w:val="20"/>
                <w:szCs w:val="20"/>
                <w:color w:val="auto"/>
              </w:rPr>
            </w:pPr>
            <w:r>
              <w:rPr>
                <w:rFonts w:ascii="Times New Roman" w:cs="Times New Roman" w:eastAsia="Times New Roman" w:hAnsi="Times New Roman"/>
                <w:sz w:val="11"/>
                <w:szCs w:val="11"/>
                <w:color w:val="auto"/>
              </w:rPr>
              <w:t>(18 )</w:t>
            </w:r>
          </w:p>
        </w:tc>
        <w:tc>
          <w:tcPr>
            <w:tcW w:w="0" w:type="dxa"/>
            <w:vAlign w:val="bottom"/>
          </w:tcPr>
          <w:p>
            <w:pPr>
              <w:spacing w:after="0"/>
              <w:rPr>
                <w:sz w:val="1"/>
                <w:szCs w:val="1"/>
                <w:color w:val="auto"/>
              </w:rPr>
            </w:pPr>
          </w:p>
        </w:tc>
      </w:tr>
      <w:tr>
        <w:trPr>
          <w:trHeight w:val="117"/>
        </w:trPr>
        <w:tc>
          <w:tcPr>
            <w:tcW w:w="2940" w:type="dxa"/>
            <w:vAlign w:val="bottom"/>
          </w:tcPr>
          <w:p>
            <w:pPr>
              <w:ind w:left="20"/>
              <w:spacing w:after="0" w:line="117" w:lineRule="exact"/>
              <w:rPr>
                <w:sz w:val="20"/>
                <w:szCs w:val="20"/>
                <w:color w:val="auto"/>
              </w:rPr>
            </w:pPr>
            <w:r>
              <w:rPr>
                <w:rFonts w:ascii="Times New Roman" w:cs="Times New Roman" w:eastAsia="Times New Roman" w:hAnsi="Times New Roman"/>
                <w:sz w:val="11"/>
                <w:szCs w:val="11"/>
                <w:color w:val="auto"/>
              </w:rPr>
              <w:t>PL Acquisitionco, LLC</w:t>
            </w:r>
          </w:p>
        </w:tc>
        <w:tc>
          <w:tcPr>
            <w:tcW w:w="900" w:type="dxa"/>
            <w:vAlign w:val="bottom"/>
            <w:gridSpan w:val="2"/>
          </w:tcPr>
          <w:p>
            <w:pPr>
              <w:jc w:val="center"/>
              <w:ind w:left="86"/>
              <w:spacing w:after="0" w:line="117" w:lineRule="exact"/>
              <w:rPr>
                <w:sz w:val="20"/>
                <w:szCs w:val="20"/>
                <w:color w:val="auto"/>
              </w:rPr>
            </w:pPr>
            <w:r>
              <w:rPr>
                <w:rFonts w:ascii="Times New Roman" w:cs="Times New Roman" w:eastAsia="Times New Roman" w:hAnsi="Times New Roman"/>
                <w:sz w:val="11"/>
                <w:szCs w:val="11"/>
                <w:color w:val="auto"/>
                <w:w w:val="95"/>
              </w:rPr>
              <w:t>11/09/2027</w:t>
            </w:r>
          </w:p>
        </w:tc>
        <w:tc>
          <w:tcPr>
            <w:tcW w:w="160" w:type="dxa"/>
            <w:vAlign w:val="bottom"/>
          </w:tcPr>
          <w:p>
            <w:pPr>
              <w:spacing w:after="0"/>
              <w:rPr>
                <w:sz w:val="10"/>
                <w:szCs w:val="10"/>
                <w:color w:val="auto"/>
              </w:rPr>
            </w:pPr>
          </w:p>
        </w:tc>
        <w:tc>
          <w:tcPr>
            <w:tcW w:w="202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color w:val="auto"/>
                <w:w w:val="97"/>
              </w:rPr>
              <w:t>Textiles, Apparel and Luxury Goods</w:t>
            </w:r>
          </w:p>
        </w:tc>
        <w:tc>
          <w:tcPr>
            <w:tcW w:w="1200" w:type="dxa"/>
            <w:vAlign w:val="bottom"/>
            <w:gridSpan w:val="3"/>
          </w:tcPr>
          <w:p>
            <w:pPr>
              <w:jc w:val="right"/>
              <w:ind w:right="140"/>
              <w:spacing w:after="0" w:line="117" w:lineRule="exact"/>
              <w:rPr>
                <w:sz w:val="20"/>
                <w:szCs w:val="20"/>
                <w:color w:val="auto"/>
              </w:rPr>
            </w:pPr>
            <w:r>
              <w:rPr>
                <w:rFonts w:ascii="Times New Roman" w:cs="Times New Roman" w:eastAsia="Times New Roman" w:hAnsi="Times New Roman"/>
                <w:sz w:val="11"/>
                <w:szCs w:val="11"/>
                <w:color w:val="auto"/>
              </w:rPr>
              <w:t>9.62 %</w:t>
            </w:r>
          </w:p>
        </w:tc>
        <w:tc>
          <w:tcPr>
            <w:tcW w:w="86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3M L+650</w:t>
            </w:r>
          </w:p>
        </w:tc>
        <w:tc>
          <w:tcPr>
            <w:tcW w:w="102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1"/>
                <w:szCs w:val="11"/>
                <w:color w:val="auto"/>
              </w:rPr>
              <w:t>6,110</w:t>
            </w: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6,015</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5,958</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9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 xml:space="preserve">PL Acquisitionco, LLC - (Revolver) </w:t>
            </w:r>
            <w:r>
              <w:rPr>
                <w:rFonts w:ascii="Times New Roman" w:cs="Times New Roman" w:eastAsia="Times New Roman" w:hAnsi="Times New Roman"/>
                <w:sz w:val="14"/>
                <w:szCs w:val="14"/>
                <w:color w:val="auto"/>
                <w:vertAlign w:val="superscript"/>
              </w:rPr>
              <w:t>(9)</w:t>
            </w:r>
          </w:p>
        </w:tc>
        <w:tc>
          <w:tcPr>
            <w:tcW w:w="90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5"/>
              </w:rPr>
              <w:t>11/09/2027</w:t>
            </w:r>
          </w:p>
        </w:tc>
        <w:tc>
          <w:tcPr>
            <w:tcW w:w="160" w:type="dxa"/>
            <w:vAlign w:val="bottom"/>
          </w:tcPr>
          <w:p>
            <w:pPr>
              <w:spacing w:after="0"/>
              <w:rPr>
                <w:sz w:val="14"/>
                <w:szCs w:val="14"/>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Textiles, Apparel and Luxury Goods</w:t>
            </w:r>
          </w:p>
        </w:tc>
        <w:tc>
          <w:tcPr>
            <w:tcW w:w="140" w:type="dxa"/>
            <w:vAlign w:val="bottom"/>
          </w:tcPr>
          <w:p>
            <w:pPr>
              <w:spacing w:after="0"/>
              <w:rPr>
                <w:sz w:val="14"/>
                <w:szCs w:val="14"/>
                <w:color w:val="auto"/>
              </w:rPr>
            </w:pP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2,290</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right"/>
              <w:ind w:right="22"/>
              <w:spacing w:after="0"/>
              <w:rPr>
                <w:sz w:val="20"/>
                <w:szCs w:val="20"/>
                <w:color w:val="auto"/>
              </w:rPr>
            </w:pPr>
            <w:r>
              <w:rPr>
                <w:rFonts w:ascii="Times New Roman" w:cs="Times New Roman" w:eastAsia="Times New Roman" w:hAnsi="Times New Roman"/>
                <w:sz w:val="11"/>
                <w:szCs w:val="11"/>
                <w:color w:val="auto"/>
              </w:rPr>
              <w:t>(57 )</w:t>
            </w:r>
          </w:p>
        </w:tc>
        <w:tc>
          <w:tcPr>
            <w:tcW w:w="0" w:type="dxa"/>
            <w:vAlign w:val="bottom"/>
          </w:tcPr>
          <w:p>
            <w:pPr>
              <w:spacing w:after="0"/>
              <w:rPr>
                <w:sz w:val="1"/>
                <w:szCs w:val="1"/>
                <w:color w:val="auto"/>
              </w:rPr>
            </w:pPr>
          </w:p>
        </w:tc>
      </w:tr>
      <w:tr>
        <w:trPr>
          <w:trHeight w:val="135"/>
        </w:trPr>
        <w:tc>
          <w:tcPr>
            <w:tcW w:w="29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Plant Health Intermediate, Inc.</w:t>
            </w:r>
          </w:p>
        </w:tc>
        <w:tc>
          <w:tcPr>
            <w:tcW w:w="900" w:type="dxa"/>
            <w:vAlign w:val="bottom"/>
            <w:gridSpan w:val="2"/>
            <w:shd w:val="clear" w:color="auto" w:fill="CCECFF"/>
          </w:tcPr>
          <w:p>
            <w:pPr>
              <w:jc w:val="center"/>
              <w:ind w:left="106"/>
              <w:spacing w:after="0"/>
              <w:rPr>
                <w:sz w:val="20"/>
                <w:szCs w:val="20"/>
                <w:color w:val="auto"/>
              </w:rPr>
            </w:pPr>
            <w:r>
              <w:rPr>
                <w:rFonts w:ascii="Times New Roman" w:cs="Times New Roman" w:eastAsia="Times New Roman" w:hAnsi="Times New Roman"/>
                <w:sz w:val="11"/>
                <w:szCs w:val="11"/>
                <w:color w:val="auto"/>
                <w:w w:val="99"/>
              </w:rPr>
              <w:t>10/19/2022</w:t>
            </w:r>
          </w:p>
        </w:tc>
        <w:tc>
          <w:tcPr>
            <w:tcW w:w="160" w:type="dxa"/>
            <w:vAlign w:val="bottom"/>
            <w:shd w:val="clear" w:color="auto" w:fill="CCECFF"/>
          </w:tcPr>
          <w:p>
            <w:pPr>
              <w:spacing w:after="0"/>
              <w:rPr>
                <w:sz w:val="11"/>
                <w:szCs w:val="11"/>
                <w:color w:val="auto"/>
              </w:rPr>
            </w:pPr>
          </w:p>
        </w:tc>
        <w:tc>
          <w:tcPr>
            <w:tcW w:w="2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9"/>
              </w:rPr>
              <w:t>Chemicals, Plastics and Rubber</w:t>
            </w:r>
          </w:p>
        </w:tc>
        <w:tc>
          <w:tcPr>
            <w:tcW w:w="1200" w:type="dxa"/>
            <w:vAlign w:val="bottom"/>
            <w:gridSpan w:val="3"/>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8.87 %</w:t>
            </w:r>
          </w:p>
        </w:tc>
        <w:tc>
          <w:tcPr>
            <w:tcW w:w="8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L+575</w:t>
            </w:r>
          </w:p>
        </w:tc>
        <w:tc>
          <w:tcPr>
            <w:tcW w:w="10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637</w:t>
            </w:r>
          </w:p>
        </w:tc>
        <w:tc>
          <w:tcPr>
            <w:tcW w:w="20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637</w:t>
            </w:r>
          </w:p>
        </w:tc>
        <w:tc>
          <w:tcPr>
            <w:tcW w:w="22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7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637</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29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PlayPower, Inc.</w:t>
            </w:r>
          </w:p>
        </w:tc>
        <w:tc>
          <w:tcPr>
            <w:tcW w:w="900" w:type="dxa"/>
            <w:vAlign w:val="bottom"/>
            <w:gridSpan w:val="2"/>
          </w:tcPr>
          <w:p>
            <w:pPr>
              <w:jc w:val="center"/>
              <w:ind w:left="106"/>
              <w:spacing w:after="0"/>
              <w:rPr>
                <w:sz w:val="20"/>
                <w:szCs w:val="20"/>
                <w:color w:val="auto"/>
              </w:rPr>
            </w:pPr>
            <w:r>
              <w:rPr>
                <w:rFonts w:ascii="Times New Roman" w:cs="Times New Roman" w:eastAsia="Times New Roman" w:hAnsi="Times New Roman"/>
                <w:sz w:val="11"/>
                <w:szCs w:val="11"/>
                <w:color w:val="auto"/>
                <w:w w:val="99"/>
              </w:rPr>
              <w:t>05/08/2026</w:t>
            </w:r>
          </w:p>
        </w:tc>
        <w:tc>
          <w:tcPr>
            <w:tcW w:w="160" w:type="dxa"/>
            <w:vAlign w:val="bottom"/>
          </w:tcPr>
          <w:p>
            <w:pPr>
              <w:spacing w:after="0"/>
              <w:rPr>
                <w:sz w:val="12"/>
                <w:szCs w:val="12"/>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Leisure Products</w:t>
            </w:r>
          </w:p>
        </w:tc>
        <w:tc>
          <w:tcPr>
            <w:tcW w:w="1200" w:type="dxa"/>
            <w:vAlign w:val="bottom"/>
            <w:gridSpan w:val="3"/>
          </w:tcPr>
          <w:p>
            <w:pPr>
              <w:jc w:val="right"/>
              <w:ind w:right="140"/>
              <w:spacing w:after="0"/>
              <w:rPr>
                <w:sz w:val="20"/>
                <w:szCs w:val="20"/>
                <w:color w:val="auto"/>
              </w:rPr>
            </w:pPr>
            <w:r>
              <w:rPr>
                <w:rFonts w:ascii="Times New Roman" w:cs="Times New Roman" w:eastAsia="Times New Roman" w:hAnsi="Times New Roman"/>
                <w:sz w:val="11"/>
                <w:szCs w:val="11"/>
                <w:color w:val="auto"/>
              </w:rPr>
              <w:t>9.17 %</w:t>
            </w: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1M L+550</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3,440</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3,419</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3,078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28"/>
        </w:trPr>
        <w:tc>
          <w:tcPr>
            <w:tcW w:w="29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0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-6874510</wp:posOffset>
            </wp:positionV>
            <wp:extent cx="7132320" cy="9461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-6694170</wp:posOffset>
            </wp:positionV>
            <wp:extent cx="7132320" cy="8572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-6522720</wp:posOffset>
            </wp:positionV>
            <wp:extent cx="7132320" cy="8572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-6351270</wp:posOffset>
            </wp:positionV>
            <wp:extent cx="7132320" cy="8572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-6179820</wp:posOffset>
            </wp:positionV>
            <wp:extent cx="7132320" cy="8572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-6008370</wp:posOffset>
            </wp:positionV>
            <wp:extent cx="7132320" cy="8572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-5836920</wp:posOffset>
            </wp:positionV>
            <wp:extent cx="7132320" cy="8572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-5665470</wp:posOffset>
            </wp:positionV>
            <wp:extent cx="7132320" cy="8572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-5494020</wp:posOffset>
            </wp:positionV>
            <wp:extent cx="7132320" cy="8572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-5322570</wp:posOffset>
            </wp:positionV>
            <wp:extent cx="7132320" cy="8572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-5151120</wp:posOffset>
            </wp:positionV>
            <wp:extent cx="7132320" cy="8572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-4979670</wp:posOffset>
            </wp:positionV>
            <wp:extent cx="7132320" cy="8572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-4808220</wp:posOffset>
            </wp:positionV>
            <wp:extent cx="7132320" cy="8572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-4636770</wp:posOffset>
            </wp:positionV>
            <wp:extent cx="7132320" cy="8572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-4465320</wp:posOffset>
            </wp:positionV>
            <wp:extent cx="7132320" cy="8572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-4293870</wp:posOffset>
            </wp:positionV>
            <wp:extent cx="7132320" cy="8572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-4122420</wp:posOffset>
            </wp:positionV>
            <wp:extent cx="7132320" cy="8572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-3865245</wp:posOffset>
            </wp:positionV>
            <wp:extent cx="7132320" cy="17145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-3608070</wp:posOffset>
            </wp:positionV>
            <wp:extent cx="7132320" cy="8572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-3436620</wp:posOffset>
            </wp:positionV>
            <wp:extent cx="7132320" cy="8572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-3093720</wp:posOffset>
            </wp:positionV>
            <wp:extent cx="7132320" cy="8572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-2922270</wp:posOffset>
            </wp:positionV>
            <wp:extent cx="7132320" cy="8572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-2750820</wp:posOffset>
            </wp:positionV>
            <wp:extent cx="7132320" cy="8572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-2579370</wp:posOffset>
            </wp:positionV>
            <wp:extent cx="7132320" cy="8572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-2407920</wp:posOffset>
            </wp:positionV>
            <wp:extent cx="7132320" cy="8572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-2236470</wp:posOffset>
            </wp:positionV>
            <wp:extent cx="7132320" cy="8572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-2065020</wp:posOffset>
            </wp:positionV>
            <wp:extent cx="7132320" cy="8572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-1893570</wp:posOffset>
            </wp:positionV>
            <wp:extent cx="7132320" cy="8572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-1722120</wp:posOffset>
            </wp:positionV>
            <wp:extent cx="7132320" cy="8572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-1550670</wp:posOffset>
            </wp:positionV>
            <wp:extent cx="7132320" cy="8572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-1379220</wp:posOffset>
            </wp:positionV>
            <wp:extent cx="7132320" cy="8572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-1208405</wp:posOffset>
            </wp:positionV>
            <wp:extent cx="7132320" cy="8572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-865505</wp:posOffset>
            </wp:positionV>
            <wp:extent cx="7132320" cy="8572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-694055</wp:posOffset>
            </wp:positionV>
            <wp:extent cx="7132320" cy="8572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4"/>
          <w:szCs w:val="14"/>
          <w:b w:val="1"/>
          <w:bCs w:val="1"/>
          <w:color w:val="auto"/>
        </w:rPr>
        <w:t>PENNANTPARK FLOATING RATE CAPITAL LTD. AND SUBSIDIARIES</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CONSOLIDATED SCHEDULE OF INVESTMENTS—(Continued)</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SEPTEMBER 30, 2022</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(in thousands, except share data)</w:t>
      </w:r>
    </w:p>
    <w:tbl>
      <w:tblPr>
        <w:tblLayout w:type="fixed"/>
        <w:tblInd w:w="0" w:type="dxa"/>
        <w:tblCellMar>
          <w:top w:w="0" w:type="dxa"/>
          <w:left w:w="0" w:type="dxa"/>
          <w:bottom w:w="0" w:type="dxa"/>
          <w:right w:w="0" w:type="dxa"/>
        </w:tblCellMar>
      </w:tblPr>
      <w:tr>
        <w:trPr>
          <w:trHeight w:val="102"/>
        </w:trPr>
        <w:tc>
          <w:tcPr>
            <w:tcW w:w="29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80" w:type="dxa"/>
            <w:vAlign w:val="bottom"/>
          </w:tcPr>
          <w:p>
            <w:pPr>
              <w:spacing w:after="0"/>
              <w:rPr>
                <w:sz w:val="8"/>
                <w:szCs w:val="8"/>
                <w:color w:val="auto"/>
              </w:rPr>
            </w:pPr>
          </w:p>
        </w:tc>
        <w:tc>
          <w:tcPr>
            <w:tcW w:w="260" w:type="dxa"/>
            <w:vAlign w:val="bottom"/>
          </w:tcPr>
          <w:p>
            <w:pPr>
              <w:spacing w:after="0"/>
              <w:rPr>
                <w:sz w:val="8"/>
                <w:szCs w:val="8"/>
                <w:color w:val="auto"/>
              </w:rPr>
            </w:pPr>
          </w:p>
        </w:tc>
        <w:tc>
          <w:tcPr>
            <w:tcW w:w="860" w:type="dxa"/>
            <w:vAlign w:val="bottom"/>
          </w:tcPr>
          <w:p>
            <w:pPr>
              <w:jc w:val="center"/>
              <w:spacing w:after="0" w:line="102" w:lineRule="exact"/>
              <w:rPr>
                <w:sz w:val="20"/>
                <w:szCs w:val="20"/>
                <w:color w:val="auto"/>
              </w:rPr>
            </w:pPr>
            <w:r>
              <w:rPr>
                <w:rFonts w:ascii="Times New Roman" w:cs="Times New Roman" w:eastAsia="Times New Roman" w:hAnsi="Times New Roman"/>
                <w:sz w:val="11"/>
                <w:szCs w:val="11"/>
                <w:b w:val="1"/>
                <w:bCs w:val="1"/>
                <w:color w:val="auto"/>
                <w:w w:val="99"/>
              </w:rPr>
              <w:t>Basis Point</w:t>
            </w:r>
          </w:p>
        </w:tc>
        <w:tc>
          <w:tcPr>
            <w:tcW w:w="240" w:type="dxa"/>
            <w:vAlign w:val="bottom"/>
          </w:tcPr>
          <w:p>
            <w:pPr>
              <w:spacing w:after="0"/>
              <w:rPr>
                <w:sz w:val="8"/>
                <w:szCs w:val="8"/>
                <w:color w:val="auto"/>
              </w:rPr>
            </w:pPr>
          </w:p>
        </w:tc>
        <w:tc>
          <w:tcPr>
            <w:tcW w:w="8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9"/>
        </w:trPr>
        <w:tc>
          <w:tcPr>
            <w:tcW w:w="29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60" w:type="dxa"/>
            <w:vAlign w:val="bottom"/>
          </w:tcPr>
          <w:p>
            <w:pPr>
              <w:jc w:val="center"/>
              <w:spacing w:after="0" w:line="120" w:lineRule="exact"/>
              <w:rPr>
                <w:sz w:val="20"/>
                <w:szCs w:val="20"/>
                <w:color w:val="auto"/>
              </w:rPr>
            </w:pPr>
            <w:r>
              <w:rPr>
                <w:rFonts w:ascii="Times New Roman" w:cs="Times New Roman" w:eastAsia="Times New Roman" w:hAnsi="Times New Roman"/>
                <w:sz w:val="11"/>
                <w:szCs w:val="11"/>
                <w:b w:val="1"/>
                <w:bCs w:val="1"/>
                <w:color w:val="auto"/>
              </w:rPr>
              <w:t>Spread</w:t>
            </w:r>
          </w:p>
        </w:tc>
        <w:tc>
          <w:tcPr>
            <w:tcW w:w="2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0"/>
        </w:trPr>
        <w:tc>
          <w:tcPr>
            <w:tcW w:w="29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40" w:type="dxa"/>
            <w:vAlign w:val="bottom"/>
            <w:gridSpan w:val="2"/>
          </w:tcPr>
          <w:p>
            <w:pPr>
              <w:ind w:left="260"/>
              <w:spacing w:after="0" w:line="111" w:lineRule="exact"/>
              <w:rPr>
                <w:sz w:val="20"/>
                <w:szCs w:val="20"/>
                <w:color w:val="auto"/>
              </w:rPr>
            </w:pPr>
            <w:r>
              <w:rPr>
                <w:rFonts w:ascii="Times New Roman" w:cs="Times New Roman" w:eastAsia="Times New Roman" w:hAnsi="Times New Roman"/>
                <w:sz w:val="11"/>
                <w:szCs w:val="11"/>
                <w:b w:val="1"/>
                <w:bCs w:val="1"/>
                <w:color w:val="auto"/>
              </w:rPr>
              <w:t>Current</w:t>
            </w:r>
          </w:p>
        </w:tc>
        <w:tc>
          <w:tcPr>
            <w:tcW w:w="860" w:type="dxa"/>
            <w:vAlign w:val="bottom"/>
          </w:tcPr>
          <w:p>
            <w:pPr>
              <w:jc w:val="center"/>
              <w:spacing w:after="0" w:line="111" w:lineRule="exact"/>
              <w:rPr>
                <w:sz w:val="20"/>
                <w:szCs w:val="20"/>
                <w:color w:val="auto"/>
              </w:rPr>
            </w:pPr>
            <w:r>
              <w:rPr>
                <w:rFonts w:ascii="Times New Roman" w:cs="Times New Roman" w:eastAsia="Times New Roman" w:hAnsi="Times New Roman"/>
                <w:sz w:val="11"/>
                <w:szCs w:val="11"/>
                <w:b w:val="1"/>
                <w:bCs w:val="1"/>
                <w:color w:val="auto"/>
              </w:rPr>
              <w:t>Above</w:t>
            </w:r>
          </w:p>
        </w:tc>
        <w:tc>
          <w:tcPr>
            <w:tcW w:w="240" w:type="dxa"/>
            <w:vAlign w:val="bottom"/>
          </w:tcPr>
          <w:p>
            <w:pPr>
              <w:spacing w:after="0"/>
              <w:rPr>
                <w:sz w:val="9"/>
                <w:szCs w:val="9"/>
                <w:color w:val="auto"/>
              </w:rPr>
            </w:pPr>
          </w:p>
        </w:tc>
        <w:tc>
          <w:tcPr>
            <w:tcW w:w="840" w:type="dxa"/>
            <w:vAlign w:val="bottom"/>
          </w:tcPr>
          <w:p>
            <w:pPr>
              <w:jc w:val="right"/>
              <w:ind w:right="246"/>
              <w:spacing w:after="0" w:line="111" w:lineRule="exact"/>
              <w:rPr>
                <w:sz w:val="20"/>
                <w:szCs w:val="20"/>
                <w:color w:val="auto"/>
              </w:rPr>
            </w:pPr>
            <w:r>
              <w:rPr>
                <w:rFonts w:ascii="Times New Roman" w:cs="Times New Roman" w:eastAsia="Times New Roman" w:hAnsi="Times New Roman"/>
                <w:sz w:val="11"/>
                <w:szCs w:val="11"/>
                <w:b w:val="1"/>
                <w:bCs w:val="1"/>
                <w:color w:val="auto"/>
              </w:rPr>
              <w:t>Par /</w:t>
            </w: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1"/>
                <w:szCs w:val="11"/>
                <w:b w:val="1"/>
                <w:bCs w:val="1"/>
                <w:color w:val="auto"/>
                <w:w w:val="93"/>
              </w:rPr>
              <w:t xml:space="preserve">Fair Value </w:t>
            </w:r>
            <w:r>
              <w:rPr>
                <w:rFonts w:ascii="Times New Roman" w:cs="Times New Roman" w:eastAsia="Times New Roman" w:hAnsi="Times New Roman"/>
                <w:sz w:val="14"/>
                <w:szCs w:val="14"/>
                <w:b w:val="1"/>
                <w:bCs w:val="1"/>
                <w:color w:val="auto"/>
                <w:w w:val="93"/>
                <w:vertAlign w:val="superscript"/>
              </w:rPr>
              <w:t>(2)</w:t>
            </w:r>
          </w:p>
        </w:tc>
        <w:tc>
          <w:tcPr>
            <w:tcW w:w="0" w:type="dxa"/>
            <w:vAlign w:val="bottom"/>
          </w:tcPr>
          <w:p>
            <w:pPr>
              <w:spacing w:after="0"/>
              <w:rPr>
                <w:sz w:val="1"/>
                <w:szCs w:val="1"/>
                <w:color w:val="auto"/>
              </w:rPr>
            </w:pPr>
          </w:p>
        </w:tc>
      </w:tr>
      <w:tr>
        <w:trPr>
          <w:trHeight w:val="162"/>
        </w:trPr>
        <w:tc>
          <w:tcPr>
            <w:tcW w:w="290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Issuer Name</w:t>
            </w:r>
          </w:p>
        </w:tc>
        <w:tc>
          <w:tcPr>
            <w:tcW w:w="14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Maturity</w:t>
            </w:r>
          </w:p>
        </w:tc>
        <w:tc>
          <w:tcPr>
            <w:tcW w:w="160" w:type="dxa"/>
            <w:vAlign w:val="bottom"/>
          </w:tcPr>
          <w:p>
            <w:pPr>
              <w:spacing w:after="0"/>
              <w:rPr>
                <w:sz w:val="14"/>
                <w:szCs w:val="14"/>
                <w:color w:val="auto"/>
              </w:rPr>
            </w:pPr>
          </w:p>
        </w:tc>
        <w:tc>
          <w:tcPr>
            <w:tcW w:w="20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Industry</w:t>
            </w:r>
          </w:p>
        </w:tc>
        <w:tc>
          <w:tcPr>
            <w:tcW w:w="120" w:type="dxa"/>
            <w:vAlign w:val="bottom"/>
          </w:tcPr>
          <w:p>
            <w:pPr>
              <w:spacing w:after="0"/>
              <w:rPr>
                <w:sz w:val="14"/>
                <w:szCs w:val="14"/>
                <w:color w:val="auto"/>
              </w:rPr>
            </w:pPr>
          </w:p>
        </w:tc>
        <w:tc>
          <w:tcPr>
            <w:tcW w:w="1140" w:type="dxa"/>
            <w:vAlign w:val="bottom"/>
            <w:gridSpan w:val="2"/>
          </w:tcPr>
          <w:p>
            <w:pPr>
              <w:jc w:val="right"/>
              <w:ind w:right="446"/>
              <w:spacing w:after="0"/>
              <w:rPr>
                <w:sz w:val="20"/>
                <w:szCs w:val="20"/>
                <w:color w:val="auto"/>
              </w:rPr>
            </w:pPr>
            <w:r>
              <w:rPr>
                <w:rFonts w:ascii="Times New Roman" w:cs="Times New Roman" w:eastAsia="Times New Roman" w:hAnsi="Times New Roman"/>
                <w:sz w:val="11"/>
                <w:szCs w:val="11"/>
                <w:b w:val="1"/>
                <w:bCs w:val="1"/>
                <w:color w:val="auto"/>
              </w:rPr>
              <w:t>Coupon</w:t>
            </w:r>
          </w:p>
        </w:tc>
        <w:tc>
          <w:tcPr>
            <w:tcW w:w="8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3"/>
              </w:rPr>
              <w:t xml:space="preserve">Index </w:t>
            </w:r>
            <w:r>
              <w:rPr>
                <w:rFonts w:ascii="Times New Roman" w:cs="Times New Roman" w:eastAsia="Times New Roman" w:hAnsi="Times New Roman"/>
                <w:sz w:val="14"/>
                <w:szCs w:val="14"/>
                <w:b w:val="1"/>
                <w:bCs w:val="1"/>
                <w:color w:val="auto"/>
                <w:w w:val="93"/>
                <w:vertAlign w:val="superscript"/>
              </w:rPr>
              <w:t>(1)</w:t>
            </w:r>
          </w:p>
        </w:tc>
        <w:tc>
          <w:tcPr>
            <w:tcW w:w="240" w:type="dxa"/>
            <w:vAlign w:val="bottom"/>
          </w:tcPr>
          <w:p>
            <w:pPr>
              <w:spacing w:after="0"/>
              <w:rPr>
                <w:sz w:val="14"/>
                <w:szCs w:val="14"/>
                <w:color w:val="auto"/>
              </w:rPr>
            </w:pPr>
          </w:p>
        </w:tc>
        <w:tc>
          <w:tcPr>
            <w:tcW w:w="840" w:type="dxa"/>
            <w:vAlign w:val="bottom"/>
          </w:tcPr>
          <w:p>
            <w:pPr>
              <w:jc w:val="right"/>
              <w:ind w:right="186"/>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jc w:val="right"/>
              <w:ind w:right="226"/>
              <w:spacing w:after="0"/>
              <w:rPr>
                <w:sz w:val="20"/>
                <w:szCs w:val="20"/>
                <w:color w:val="auto"/>
              </w:rPr>
            </w:pPr>
            <w:r>
              <w:rPr>
                <w:rFonts w:ascii="Times New Roman" w:cs="Times New Roman" w:eastAsia="Times New Roman" w:hAnsi="Times New Roman"/>
                <w:sz w:val="11"/>
                <w:szCs w:val="11"/>
                <w:b w:val="1"/>
                <w:bCs w:val="1"/>
                <w:color w:val="auto"/>
              </w:rPr>
              <w:t>Cost</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900" w:type="dxa"/>
            <w:vAlign w:val="bottom"/>
            <w:tcBorders>
              <w:top w:val="single" w:sz="8" w:color="auto"/>
            </w:tcBorders>
            <w:shd w:val="clear" w:color="auto" w:fill="CCECFF"/>
          </w:tcPr>
          <w:p>
            <w:pPr>
              <w:ind w:left="20"/>
              <w:spacing w:after="0" w:line="115" w:lineRule="exact"/>
              <w:rPr>
                <w:sz w:val="20"/>
                <w:szCs w:val="20"/>
                <w:color w:val="auto"/>
              </w:rPr>
            </w:pPr>
            <w:r>
              <w:rPr>
                <w:rFonts w:ascii="Times New Roman" w:cs="Times New Roman" w:eastAsia="Times New Roman" w:hAnsi="Times New Roman"/>
                <w:sz w:val="11"/>
                <w:szCs w:val="11"/>
                <w:color w:val="auto"/>
              </w:rPr>
              <w:t>PRA Events, Inc.</w:t>
            </w:r>
          </w:p>
        </w:tc>
        <w:tc>
          <w:tcPr>
            <w:tcW w:w="140" w:type="dxa"/>
            <w:vAlign w:val="bottom"/>
            <w:shd w:val="clear" w:color="auto" w:fill="CCECFF"/>
          </w:tcPr>
          <w:p>
            <w:pPr>
              <w:spacing w:after="0"/>
              <w:rPr>
                <w:sz w:val="9"/>
                <w:szCs w:val="9"/>
                <w:color w:val="auto"/>
              </w:rPr>
            </w:pPr>
          </w:p>
        </w:tc>
        <w:tc>
          <w:tcPr>
            <w:tcW w:w="740" w:type="dxa"/>
            <w:vAlign w:val="bottom"/>
            <w:tcBorders>
              <w:top w:val="single" w:sz="8" w:color="auto"/>
            </w:tcBorders>
            <w:shd w:val="clear" w:color="auto" w:fill="CCECFF"/>
          </w:tcPr>
          <w:p>
            <w:pPr>
              <w:jc w:val="center"/>
              <w:spacing w:after="0" w:line="115" w:lineRule="exact"/>
              <w:rPr>
                <w:sz w:val="20"/>
                <w:szCs w:val="20"/>
                <w:color w:val="auto"/>
              </w:rPr>
            </w:pPr>
            <w:r>
              <w:rPr>
                <w:rFonts w:ascii="Times New Roman" w:cs="Times New Roman" w:eastAsia="Times New Roman" w:hAnsi="Times New Roman"/>
                <w:sz w:val="11"/>
                <w:szCs w:val="11"/>
                <w:color w:val="auto"/>
                <w:w w:val="95"/>
              </w:rPr>
              <w:t>08/07/2025</w:t>
            </w:r>
          </w:p>
        </w:tc>
        <w:tc>
          <w:tcPr>
            <w:tcW w:w="160" w:type="dxa"/>
            <w:vAlign w:val="bottom"/>
            <w:shd w:val="clear" w:color="auto" w:fill="CCECFF"/>
          </w:tcPr>
          <w:p>
            <w:pPr>
              <w:spacing w:after="0"/>
              <w:rPr>
                <w:sz w:val="9"/>
                <w:szCs w:val="9"/>
                <w:color w:val="auto"/>
              </w:rPr>
            </w:pPr>
          </w:p>
        </w:tc>
        <w:tc>
          <w:tcPr>
            <w:tcW w:w="2000" w:type="dxa"/>
            <w:vAlign w:val="bottom"/>
            <w:tcBorders>
              <w:top w:val="single" w:sz="8" w:color="auto"/>
            </w:tcBorders>
            <w:shd w:val="clear" w:color="auto" w:fill="CCECFF"/>
          </w:tcPr>
          <w:p>
            <w:pPr>
              <w:jc w:val="center"/>
              <w:spacing w:after="0" w:line="115" w:lineRule="exact"/>
              <w:rPr>
                <w:sz w:val="20"/>
                <w:szCs w:val="20"/>
                <w:color w:val="auto"/>
              </w:rPr>
            </w:pPr>
            <w:r>
              <w:rPr>
                <w:rFonts w:ascii="Times New Roman" w:cs="Times New Roman" w:eastAsia="Times New Roman" w:hAnsi="Times New Roman"/>
                <w:sz w:val="11"/>
                <w:szCs w:val="11"/>
                <w:color w:val="auto"/>
                <w:w w:val="98"/>
              </w:rPr>
              <w:t>Business Services</w:t>
            </w:r>
          </w:p>
        </w:tc>
        <w:tc>
          <w:tcPr>
            <w:tcW w:w="120" w:type="dxa"/>
            <w:vAlign w:val="bottom"/>
            <w:shd w:val="clear" w:color="auto" w:fill="CCECFF"/>
          </w:tcPr>
          <w:p>
            <w:pPr>
              <w:spacing w:after="0"/>
              <w:rPr>
                <w:sz w:val="9"/>
                <w:szCs w:val="9"/>
                <w:color w:val="auto"/>
              </w:rPr>
            </w:pPr>
          </w:p>
        </w:tc>
        <w:tc>
          <w:tcPr>
            <w:tcW w:w="880" w:type="dxa"/>
            <w:vAlign w:val="bottom"/>
            <w:tcBorders>
              <w:top w:val="single" w:sz="8" w:color="auto"/>
            </w:tcBorders>
            <w:shd w:val="clear" w:color="auto" w:fill="CCECFF"/>
          </w:tcPr>
          <w:p>
            <w:pPr>
              <w:jc w:val="right"/>
              <w:spacing w:after="0" w:line="115" w:lineRule="exact"/>
              <w:rPr>
                <w:sz w:val="20"/>
                <w:szCs w:val="20"/>
                <w:color w:val="auto"/>
              </w:rPr>
            </w:pPr>
            <w:r>
              <w:rPr>
                <w:rFonts w:ascii="Times New Roman" w:cs="Times New Roman" w:eastAsia="Times New Roman" w:hAnsi="Times New Roman"/>
                <w:sz w:val="11"/>
                <w:szCs w:val="11"/>
                <w:color w:val="auto"/>
              </w:rPr>
              <w:t>14.17</w:t>
            </w:r>
          </w:p>
        </w:tc>
        <w:tc>
          <w:tcPr>
            <w:tcW w:w="260" w:type="dxa"/>
            <w:vAlign w:val="bottom"/>
            <w:shd w:val="clear" w:color="auto" w:fill="CCECFF"/>
          </w:tcPr>
          <w:p>
            <w:pPr>
              <w:jc w:val="right"/>
              <w:ind w:right="106"/>
              <w:spacing w:after="0" w:line="115" w:lineRule="exact"/>
              <w:rPr>
                <w:sz w:val="20"/>
                <w:szCs w:val="20"/>
                <w:color w:val="auto"/>
              </w:rPr>
            </w:pPr>
            <w:r>
              <w:rPr>
                <w:rFonts w:ascii="Times New Roman" w:cs="Times New Roman" w:eastAsia="Times New Roman" w:hAnsi="Times New Roman"/>
                <w:sz w:val="11"/>
                <w:szCs w:val="11"/>
                <w:color w:val="auto"/>
                <w:w w:val="86"/>
              </w:rPr>
              <w:t>%</w:t>
            </w:r>
          </w:p>
        </w:tc>
        <w:tc>
          <w:tcPr>
            <w:tcW w:w="860" w:type="dxa"/>
            <w:vAlign w:val="bottom"/>
            <w:tcBorders>
              <w:top w:val="single" w:sz="8" w:color="auto"/>
            </w:tcBorders>
            <w:shd w:val="clear" w:color="auto" w:fill="CCECFF"/>
          </w:tcPr>
          <w:p>
            <w:pPr>
              <w:jc w:val="right"/>
              <w:spacing w:after="0" w:line="115" w:lineRule="exact"/>
              <w:rPr>
                <w:sz w:val="20"/>
                <w:szCs w:val="20"/>
                <w:color w:val="auto"/>
              </w:rPr>
            </w:pPr>
            <w:r>
              <w:rPr>
                <w:rFonts w:ascii="Times New Roman" w:cs="Times New Roman" w:eastAsia="Times New Roman" w:hAnsi="Times New Roman"/>
                <w:sz w:val="11"/>
                <w:szCs w:val="11"/>
                <w:color w:val="auto"/>
              </w:rPr>
              <w:t>1M L+1,050</w:t>
            </w:r>
          </w:p>
        </w:tc>
        <w:tc>
          <w:tcPr>
            <w:tcW w:w="240" w:type="dxa"/>
            <w:vAlign w:val="bottom"/>
            <w:shd w:val="clear" w:color="auto" w:fill="CCECFF"/>
          </w:tcPr>
          <w:p>
            <w:pPr>
              <w:spacing w:after="0"/>
              <w:rPr>
                <w:sz w:val="9"/>
                <w:szCs w:val="9"/>
                <w:color w:val="auto"/>
              </w:rPr>
            </w:pPr>
          </w:p>
        </w:tc>
        <w:tc>
          <w:tcPr>
            <w:tcW w:w="840" w:type="dxa"/>
            <w:vAlign w:val="bottom"/>
            <w:tcBorders>
              <w:top w:val="single" w:sz="8" w:color="auto"/>
            </w:tcBorders>
            <w:shd w:val="clear" w:color="auto" w:fill="CCECFF"/>
          </w:tcPr>
          <w:p>
            <w:pPr>
              <w:jc w:val="right"/>
              <w:spacing w:after="0" w:line="115" w:lineRule="exact"/>
              <w:rPr>
                <w:sz w:val="20"/>
                <w:szCs w:val="20"/>
                <w:color w:val="auto"/>
              </w:rPr>
            </w:pPr>
            <w:r>
              <w:rPr>
                <w:rFonts w:ascii="Times New Roman" w:cs="Times New Roman" w:eastAsia="Times New Roman" w:hAnsi="Times New Roman"/>
                <w:sz w:val="11"/>
                <w:szCs w:val="11"/>
                <w:color w:val="auto"/>
              </w:rPr>
              <w:t>3,323</w:t>
            </w:r>
          </w:p>
        </w:tc>
        <w:tc>
          <w:tcPr>
            <w:tcW w:w="220" w:type="dxa"/>
            <w:vAlign w:val="bottom"/>
            <w:shd w:val="clear" w:color="auto" w:fill="CCECFF"/>
          </w:tcPr>
          <w:p>
            <w:pPr>
              <w:spacing w:after="0"/>
              <w:rPr>
                <w:sz w:val="9"/>
                <w:szCs w:val="9"/>
                <w:color w:val="auto"/>
              </w:rPr>
            </w:pPr>
          </w:p>
        </w:tc>
        <w:tc>
          <w:tcPr>
            <w:tcW w:w="180" w:type="dxa"/>
            <w:vAlign w:val="bottom"/>
            <w:tcBorders>
              <w:top w:val="single" w:sz="8" w:color="auto"/>
            </w:tcBorders>
            <w:shd w:val="clear" w:color="auto" w:fill="CCECFF"/>
          </w:tcPr>
          <w:p>
            <w:pPr>
              <w:jc w:val="right"/>
              <w:ind w:right="46"/>
              <w:spacing w:after="0" w:line="115" w:lineRule="exact"/>
              <w:rPr>
                <w:sz w:val="20"/>
                <w:szCs w:val="20"/>
                <w:color w:val="auto"/>
              </w:rPr>
            </w:pPr>
            <w:r>
              <w:rPr>
                <w:rFonts w:ascii="Times New Roman" w:cs="Times New Roman" w:eastAsia="Times New Roman" w:hAnsi="Times New Roman"/>
                <w:sz w:val="11"/>
                <w:szCs w:val="11"/>
                <w:color w:val="auto"/>
              </w:rPr>
              <w:t>$</w:t>
            </w:r>
          </w:p>
        </w:tc>
        <w:tc>
          <w:tcPr>
            <w:tcW w:w="600" w:type="dxa"/>
            <w:vAlign w:val="bottom"/>
            <w:tcBorders>
              <w:top w:val="single" w:sz="8" w:color="auto"/>
            </w:tcBorders>
            <w:shd w:val="clear" w:color="auto" w:fill="CCECFF"/>
          </w:tcPr>
          <w:p>
            <w:pPr>
              <w:jc w:val="right"/>
              <w:spacing w:after="0" w:line="115" w:lineRule="exact"/>
              <w:rPr>
                <w:sz w:val="20"/>
                <w:szCs w:val="20"/>
                <w:color w:val="auto"/>
              </w:rPr>
            </w:pPr>
            <w:r>
              <w:rPr>
                <w:rFonts w:ascii="Times New Roman" w:cs="Times New Roman" w:eastAsia="Times New Roman" w:hAnsi="Times New Roman"/>
                <w:sz w:val="11"/>
                <w:szCs w:val="11"/>
                <w:color w:val="auto"/>
              </w:rPr>
              <w:t>2,903</w:t>
            </w:r>
          </w:p>
        </w:tc>
        <w:tc>
          <w:tcPr>
            <w:tcW w:w="200" w:type="dxa"/>
            <w:vAlign w:val="bottom"/>
            <w:shd w:val="clear" w:color="auto" w:fill="CCECFF"/>
          </w:tcPr>
          <w:p>
            <w:pPr>
              <w:spacing w:after="0"/>
              <w:rPr>
                <w:sz w:val="9"/>
                <w:szCs w:val="9"/>
                <w:color w:val="auto"/>
              </w:rPr>
            </w:pPr>
          </w:p>
        </w:tc>
        <w:tc>
          <w:tcPr>
            <w:tcW w:w="80" w:type="dxa"/>
            <w:vAlign w:val="bottom"/>
            <w:tcBorders>
              <w:top w:val="single" w:sz="8" w:color="auto"/>
            </w:tcBorders>
            <w:shd w:val="clear" w:color="auto" w:fill="CCECFF"/>
          </w:tcPr>
          <w:p>
            <w:pPr>
              <w:jc w:val="right"/>
              <w:spacing w:after="0" w:line="115" w:lineRule="exact"/>
              <w:rPr>
                <w:sz w:val="20"/>
                <w:szCs w:val="20"/>
                <w:color w:val="auto"/>
              </w:rPr>
            </w:pPr>
            <w:r>
              <w:rPr>
                <w:rFonts w:ascii="Times New Roman" w:cs="Times New Roman" w:eastAsia="Times New Roman" w:hAnsi="Times New Roman"/>
                <w:sz w:val="11"/>
                <w:szCs w:val="11"/>
                <w:color w:val="auto"/>
              </w:rPr>
              <w:t>$</w:t>
            </w:r>
          </w:p>
        </w:tc>
        <w:tc>
          <w:tcPr>
            <w:tcW w:w="720" w:type="dxa"/>
            <w:vAlign w:val="bottom"/>
            <w:tcBorders>
              <w:top w:val="single" w:sz="8" w:color="auto"/>
            </w:tcBorders>
            <w:shd w:val="clear" w:color="auto" w:fill="CCECFF"/>
          </w:tcPr>
          <w:p>
            <w:pPr>
              <w:jc w:val="right"/>
              <w:spacing w:after="0" w:line="115" w:lineRule="exact"/>
              <w:rPr>
                <w:sz w:val="20"/>
                <w:szCs w:val="20"/>
                <w:color w:val="auto"/>
              </w:rPr>
            </w:pPr>
            <w:r>
              <w:rPr>
                <w:rFonts w:ascii="Times New Roman" w:cs="Times New Roman" w:eastAsia="Times New Roman" w:hAnsi="Times New Roman"/>
                <w:sz w:val="11"/>
                <w:szCs w:val="11"/>
                <w:color w:val="auto"/>
              </w:rPr>
              <w:t>3,323</w:t>
            </w:r>
          </w:p>
        </w:tc>
        <w:tc>
          <w:tcPr>
            <w:tcW w:w="100" w:type="dxa"/>
            <w:vAlign w:val="bottom"/>
            <w:shd w:val="clear" w:color="auto" w:fill="CCECFF"/>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90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74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200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1140" w:type="dxa"/>
            <w:vAlign w:val="bottom"/>
            <w:gridSpan w:val="2"/>
            <w:shd w:val="clear" w:color="auto" w:fill="CCECFF"/>
          </w:tcPr>
          <w:p>
            <w:pPr>
              <w:ind w:left="260"/>
              <w:spacing w:after="0"/>
              <w:rPr>
                <w:sz w:val="20"/>
                <w:szCs w:val="20"/>
                <w:color w:val="auto"/>
              </w:rPr>
            </w:pPr>
            <w:r>
              <w:rPr>
                <w:rFonts w:ascii="Times New Roman" w:cs="Times New Roman" w:eastAsia="Times New Roman" w:hAnsi="Times New Roman"/>
                <w:sz w:val="11"/>
                <w:szCs w:val="11"/>
                <w:color w:val="auto"/>
              </w:rPr>
              <w:t>(PIK 10.50%)</w:t>
            </w:r>
          </w:p>
        </w:tc>
        <w:tc>
          <w:tcPr>
            <w:tcW w:w="86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4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600" w:type="dxa"/>
            <w:vAlign w:val="bottom"/>
            <w:shd w:val="clear" w:color="auto" w:fill="CCECFF"/>
          </w:tcPr>
          <w:p>
            <w:pPr>
              <w:spacing w:after="0"/>
              <w:rPr>
                <w:sz w:val="12"/>
                <w:szCs w:val="12"/>
                <w:color w:val="auto"/>
              </w:rPr>
            </w:pPr>
          </w:p>
        </w:tc>
        <w:tc>
          <w:tcPr>
            <w:tcW w:w="2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7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2900" w:type="dxa"/>
            <w:vAlign w:val="bottom"/>
          </w:tcPr>
          <w:p>
            <w:pPr>
              <w:ind w:left="20"/>
              <w:spacing w:after="0" w:line="122" w:lineRule="exact"/>
              <w:rPr>
                <w:sz w:val="20"/>
                <w:szCs w:val="20"/>
                <w:color w:val="auto"/>
              </w:rPr>
            </w:pPr>
            <w:r>
              <w:rPr>
                <w:rFonts w:ascii="Times New Roman" w:cs="Times New Roman" w:eastAsia="Times New Roman" w:hAnsi="Times New Roman"/>
                <w:sz w:val="11"/>
                <w:szCs w:val="11"/>
                <w:color w:val="auto"/>
              </w:rPr>
              <w:t>Pragmatic Institute, LLC - Unfunded Term Loan</w:t>
            </w:r>
          </w:p>
        </w:tc>
        <w:tc>
          <w:tcPr>
            <w:tcW w:w="880" w:type="dxa"/>
            <w:vAlign w:val="bottom"/>
            <w:gridSpan w:val="2"/>
          </w:tcPr>
          <w:p>
            <w:pPr>
              <w:jc w:val="center"/>
              <w:ind w:left="106"/>
              <w:spacing w:after="0" w:line="122" w:lineRule="exact"/>
              <w:rPr>
                <w:sz w:val="20"/>
                <w:szCs w:val="20"/>
                <w:color w:val="auto"/>
              </w:rPr>
            </w:pPr>
            <w:r>
              <w:rPr>
                <w:rFonts w:ascii="Times New Roman" w:cs="Times New Roman" w:eastAsia="Times New Roman" w:hAnsi="Times New Roman"/>
                <w:sz w:val="11"/>
                <w:szCs w:val="11"/>
                <w:color w:val="auto"/>
                <w:w w:val="95"/>
              </w:rPr>
              <w:t>07/06/2028</w:t>
            </w:r>
          </w:p>
        </w:tc>
        <w:tc>
          <w:tcPr>
            <w:tcW w:w="160" w:type="dxa"/>
            <w:vAlign w:val="bottom"/>
          </w:tcPr>
          <w:p>
            <w:pPr>
              <w:spacing w:after="0"/>
              <w:rPr>
                <w:sz w:val="10"/>
                <w:szCs w:val="10"/>
                <w:color w:val="auto"/>
              </w:rPr>
            </w:pPr>
          </w:p>
        </w:tc>
        <w:tc>
          <w:tcPr>
            <w:tcW w:w="200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7"/>
              </w:rPr>
              <w:t>Professional Services</w:t>
            </w:r>
          </w:p>
        </w:tc>
        <w:tc>
          <w:tcPr>
            <w:tcW w:w="120" w:type="dxa"/>
            <w:vAlign w:val="bottom"/>
          </w:tcPr>
          <w:p>
            <w:pPr>
              <w:spacing w:after="0"/>
              <w:rPr>
                <w:sz w:val="10"/>
                <w:szCs w:val="10"/>
                <w:color w:val="auto"/>
              </w:rPr>
            </w:pPr>
          </w:p>
        </w:tc>
        <w:tc>
          <w:tcPr>
            <w:tcW w:w="1140" w:type="dxa"/>
            <w:vAlign w:val="bottom"/>
            <w:gridSpan w:val="2"/>
          </w:tcPr>
          <w:p>
            <w:pPr>
              <w:jc w:val="right"/>
              <w:ind w:right="226"/>
              <w:spacing w:after="0" w:line="122" w:lineRule="exact"/>
              <w:rPr>
                <w:sz w:val="20"/>
                <w:szCs w:val="20"/>
                <w:color w:val="auto"/>
              </w:rPr>
            </w:pPr>
            <w:r>
              <w:rPr>
                <w:rFonts w:ascii="Times New Roman" w:cs="Times New Roman" w:eastAsia="Times New Roman" w:hAnsi="Times New Roman"/>
                <w:sz w:val="11"/>
                <w:szCs w:val="11"/>
                <w:color w:val="auto"/>
              </w:rPr>
              <w:t>—</w:t>
            </w:r>
          </w:p>
        </w:tc>
        <w:tc>
          <w:tcPr>
            <w:tcW w:w="8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8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2,290</w:t>
            </w: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gridSpan w:val="2"/>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17"/>
        </w:trPr>
        <w:tc>
          <w:tcPr>
            <w:tcW w:w="2900" w:type="dxa"/>
            <w:vAlign w:val="bottom"/>
          </w:tcPr>
          <w:p>
            <w:pPr>
              <w:ind w:left="20"/>
              <w:spacing w:after="0" w:line="117" w:lineRule="exact"/>
              <w:rPr>
                <w:sz w:val="20"/>
                <w:szCs w:val="20"/>
                <w:color w:val="auto"/>
              </w:rPr>
            </w:pPr>
            <w:r>
              <w:rPr>
                <w:rFonts w:ascii="Times New Roman" w:cs="Times New Roman" w:eastAsia="Times New Roman" w:hAnsi="Times New Roman"/>
                <w:sz w:val="11"/>
                <w:szCs w:val="11"/>
                <w:color w:val="auto"/>
              </w:rPr>
              <w:t>Pragmatic Institute, LLC (Revolver)</w:t>
            </w:r>
          </w:p>
        </w:tc>
        <w:tc>
          <w:tcPr>
            <w:tcW w:w="880" w:type="dxa"/>
            <w:vAlign w:val="bottom"/>
            <w:gridSpan w:val="2"/>
          </w:tcPr>
          <w:p>
            <w:pPr>
              <w:jc w:val="center"/>
              <w:ind w:left="106"/>
              <w:spacing w:after="0" w:line="117" w:lineRule="exact"/>
              <w:rPr>
                <w:sz w:val="20"/>
                <w:szCs w:val="20"/>
                <w:color w:val="auto"/>
              </w:rPr>
            </w:pPr>
            <w:r>
              <w:rPr>
                <w:rFonts w:ascii="Times New Roman" w:cs="Times New Roman" w:eastAsia="Times New Roman" w:hAnsi="Times New Roman"/>
                <w:sz w:val="11"/>
                <w:szCs w:val="11"/>
                <w:color w:val="auto"/>
                <w:w w:val="95"/>
              </w:rPr>
              <w:t>07/06/2028</w:t>
            </w:r>
          </w:p>
        </w:tc>
        <w:tc>
          <w:tcPr>
            <w:tcW w:w="160" w:type="dxa"/>
            <w:vAlign w:val="bottom"/>
          </w:tcPr>
          <w:p>
            <w:pPr>
              <w:spacing w:after="0"/>
              <w:rPr>
                <w:sz w:val="10"/>
                <w:szCs w:val="10"/>
                <w:color w:val="auto"/>
              </w:rPr>
            </w:pPr>
          </w:p>
        </w:tc>
        <w:tc>
          <w:tcPr>
            <w:tcW w:w="200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color w:val="auto"/>
                <w:w w:val="97"/>
              </w:rPr>
              <w:t>Professional Services</w:t>
            </w:r>
          </w:p>
        </w:tc>
        <w:tc>
          <w:tcPr>
            <w:tcW w:w="1260" w:type="dxa"/>
            <w:vAlign w:val="bottom"/>
            <w:gridSpan w:val="3"/>
          </w:tcPr>
          <w:p>
            <w:pPr>
              <w:jc w:val="right"/>
              <w:ind w:right="106"/>
              <w:spacing w:after="0" w:line="117" w:lineRule="exact"/>
              <w:rPr>
                <w:sz w:val="20"/>
                <w:szCs w:val="20"/>
                <w:color w:val="auto"/>
              </w:rPr>
            </w:pPr>
            <w:r>
              <w:rPr>
                <w:rFonts w:ascii="Times New Roman" w:cs="Times New Roman" w:eastAsia="Times New Roman" w:hAnsi="Times New Roman"/>
                <w:sz w:val="11"/>
                <w:szCs w:val="11"/>
                <w:color w:val="auto"/>
              </w:rPr>
              <w:t>9.30 %</w:t>
            </w:r>
          </w:p>
        </w:tc>
        <w:tc>
          <w:tcPr>
            <w:tcW w:w="86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3M L+575</w:t>
            </w:r>
          </w:p>
        </w:tc>
        <w:tc>
          <w:tcPr>
            <w:tcW w:w="108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1"/>
                <w:szCs w:val="11"/>
                <w:color w:val="auto"/>
              </w:rPr>
              <w:t>305</w:t>
            </w: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305</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302</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900" w:type="dxa"/>
            <w:vAlign w:val="bottom"/>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Pragmatic Institute, LLC (Revolver) </w:t>
            </w:r>
            <w:r>
              <w:rPr>
                <w:rFonts w:ascii="Times New Roman" w:cs="Times New Roman" w:eastAsia="Times New Roman" w:hAnsi="Times New Roman"/>
                <w:sz w:val="14"/>
                <w:szCs w:val="14"/>
                <w:color w:val="auto"/>
                <w:vertAlign w:val="superscript"/>
              </w:rPr>
              <w:t>(9)</w:t>
            </w:r>
          </w:p>
        </w:tc>
        <w:tc>
          <w:tcPr>
            <w:tcW w:w="880" w:type="dxa"/>
            <w:vAlign w:val="bottom"/>
            <w:gridSpan w:val="2"/>
          </w:tcPr>
          <w:p>
            <w:pPr>
              <w:jc w:val="center"/>
              <w:ind w:left="106"/>
              <w:spacing w:after="0"/>
              <w:rPr>
                <w:sz w:val="20"/>
                <w:szCs w:val="20"/>
                <w:color w:val="auto"/>
              </w:rPr>
            </w:pPr>
            <w:r>
              <w:rPr>
                <w:rFonts w:ascii="Times New Roman" w:cs="Times New Roman" w:eastAsia="Times New Roman" w:hAnsi="Times New Roman"/>
                <w:sz w:val="11"/>
                <w:szCs w:val="11"/>
                <w:color w:val="auto"/>
                <w:w w:val="95"/>
              </w:rPr>
              <w:t>07/06/2028</w:t>
            </w:r>
          </w:p>
        </w:tc>
        <w:tc>
          <w:tcPr>
            <w:tcW w:w="160" w:type="dxa"/>
            <w:vAlign w:val="bottom"/>
          </w:tcPr>
          <w:p>
            <w:pPr>
              <w:spacing w:after="0"/>
              <w:rPr>
                <w:sz w:val="13"/>
                <w:szCs w:val="13"/>
                <w:color w:val="auto"/>
              </w:rPr>
            </w:pPr>
          </w:p>
        </w:tc>
        <w:tc>
          <w:tcPr>
            <w:tcW w:w="20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Professional Services</w:t>
            </w:r>
          </w:p>
        </w:tc>
        <w:tc>
          <w:tcPr>
            <w:tcW w:w="120" w:type="dxa"/>
            <w:vAlign w:val="bottom"/>
          </w:tcPr>
          <w:p>
            <w:pPr>
              <w:spacing w:after="0"/>
              <w:rPr>
                <w:sz w:val="13"/>
                <w:szCs w:val="13"/>
                <w:color w:val="auto"/>
              </w:rPr>
            </w:pPr>
          </w:p>
        </w:tc>
        <w:tc>
          <w:tcPr>
            <w:tcW w:w="1140" w:type="dxa"/>
            <w:vAlign w:val="bottom"/>
            <w:gridSpan w:val="2"/>
          </w:tcPr>
          <w:p>
            <w:pPr>
              <w:jc w:val="right"/>
              <w:ind w:right="226"/>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1,221</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(12 )</w:t>
            </w:r>
          </w:p>
        </w:tc>
        <w:tc>
          <w:tcPr>
            <w:tcW w:w="0" w:type="dxa"/>
            <w:vAlign w:val="bottom"/>
          </w:tcPr>
          <w:p>
            <w:pPr>
              <w:spacing w:after="0"/>
              <w:rPr>
                <w:sz w:val="1"/>
                <w:szCs w:val="1"/>
                <w:color w:val="auto"/>
              </w:rPr>
            </w:pPr>
          </w:p>
        </w:tc>
      </w:tr>
      <w:tr>
        <w:trPr>
          <w:trHeight w:val="108"/>
        </w:trPr>
        <w:tc>
          <w:tcPr>
            <w:tcW w:w="2900" w:type="dxa"/>
            <w:vAlign w:val="bottom"/>
          </w:tcPr>
          <w:p>
            <w:pPr>
              <w:ind w:left="20"/>
              <w:spacing w:after="0" w:line="109" w:lineRule="exact"/>
              <w:rPr>
                <w:sz w:val="20"/>
                <w:szCs w:val="20"/>
                <w:color w:val="auto"/>
              </w:rPr>
            </w:pPr>
            <w:r>
              <w:rPr>
                <w:rFonts w:ascii="Times New Roman" w:cs="Times New Roman" w:eastAsia="Times New Roman" w:hAnsi="Times New Roman"/>
                <w:sz w:val="11"/>
                <w:szCs w:val="11"/>
                <w:color w:val="auto"/>
              </w:rPr>
              <w:t>Quantic Electronics, LLC</w:t>
            </w:r>
          </w:p>
        </w:tc>
        <w:tc>
          <w:tcPr>
            <w:tcW w:w="880" w:type="dxa"/>
            <w:vAlign w:val="bottom"/>
            <w:gridSpan w:val="2"/>
          </w:tcPr>
          <w:p>
            <w:pPr>
              <w:jc w:val="center"/>
              <w:ind w:left="106"/>
              <w:spacing w:after="0" w:line="109" w:lineRule="exact"/>
              <w:rPr>
                <w:sz w:val="20"/>
                <w:szCs w:val="20"/>
                <w:color w:val="auto"/>
              </w:rPr>
            </w:pPr>
            <w:r>
              <w:rPr>
                <w:rFonts w:ascii="Times New Roman" w:cs="Times New Roman" w:eastAsia="Times New Roman" w:hAnsi="Times New Roman"/>
                <w:sz w:val="11"/>
                <w:szCs w:val="11"/>
                <w:color w:val="auto"/>
                <w:w w:val="95"/>
              </w:rPr>
              <w:t>11/19/2026</w:t>
            </w:r>
          </w:p>
        </w:tc>
        <w:tc>
          <w:tcPr>
            <w:tcW w:w="160" w:type="dxa"/>
            <w:vAlign w:val="bottom"/>
          </w:tcPr>
          <w:p>
            <w:pPr>
              <w:spacing w:after="0"/>
              <w:rPr>
                <w:sz w:val="9"/>
                <w:szCs w:val="9"/>
                <w:color w:val="auto"/>
              </w:rPr>
            </w:pPr>
          </w:p>
        </w:tc>
        <w:tc>
          <w:tcPr>
            <w:tcW w:w="2000" w:type="dxa"/>
            <w:vAlign w:val="bottom"/>
          </w:tcPr>
          <w:p>
            <w:pPr>
              <w:jc w:val="center"/>
              <w:spacing w:after="0" w:line="109" w:lineRule="exact"/>
              <w:rPr>
                <w:sz w:val="20"/>
                <w:szCs w:val="20"/>
                <w:color w:val="auto"/>
              </w:rPr>
            </w:pPr>
            <w:r>
              <w:rPr>
                <w:rFonts w:ascii="Times New Roman" w:cs="Times New Roman" w:eastAsia="Times New Roman" w:hAnsi="Times New Roman"/>
                <w:sz w:val="11"/>
                <w:szCs w:val="11"/>
                <w:color w:val="auto"/>
                <w:w w:val="98"/>
              </w:rPr>
              <w:t>Electronic Equipment, Instruments, and</w:t>
            </w:r>
          </w:p>
        </w:tc>
        <w:tc>
          <w:tcPr>
            <w:tcW w:w="1260" w:type="dxa"/>
            <w:vAlign w:val="bottom"/>
            <w:gridSpan w:val="3"/>
          </w:tcPr>
          <w:p>
            <w:pPr>
              <w:jc w:val="right"/>
              <w:ind w:right="106"/>
              <w:spacing w:after="0" w:line="109" w:lineRule="exact"/>
              <w:rPr>
                <w:sz w:val="20"/>
                <w:szCs w:val="20"/>
                <w:color w:val="auto"/>
              </w:rPr>
            </w:pPr>
            <w:r>
              <w:rPr>
                <w:rFonts w:ascii="Times New Roman" w:cs="Times New Roman" w:eastAsia="Times New Roman" w:hAnsi="Times New Roman"/>
                <w:sz w:val="11"/>
                <w:szCs w:val="11"/>
                <w:color w:val="auto"/>
              </w:rPr>
              <w:t>9.92 %</w:t>
            </w:r>
          </w:p>
        </w:tc>
        <w:tc>
          <w:tcPr>
            <w:tcW w:w="860" w:type="dxa"/>
            <w:vAlign w:val="bottom"/>
          </w:tcPr>
          <w:p>
            <w:pPr>
              <w:jc w:val="right"/>
              <w:spacing w:after="0" w:line="109" w:lineRule="exact"/>
              <w:rPr>
                <w:sz w:val="20"/>
                <w:szCs w:val="20"/>
                <w:color w:val="auto"/>
              </w:rPr>
            </w:pPr>
            <w:r>
              <w:rPr>
                <w:rFonts w:ascii="Times New Roman" w:cs="Times New Roman" w:eastAsia="Times New Roman" w:hAnsi="Times New Roman"/>
                <w:sz w:val="11"/>
                <w:szCs w:val="11"/>
                <w:color w:val="auto"/>
              </w:rPr>
              <w:t>1M L+600</w:t>
            </w:r>
          </w:p>
        </w:tc>
        <w:tc>
          <w:tcPr>
            <w:tcW w:w="1080" w:type="dxa"/>
            <w:vAlign w:val="bottom"/>
            <w:gridSpan w:val="2"/>
          </w:tcPr>
          <w:p>
            <w:pPr>
              <w:jc w:val="right"/>
              <w:spacing w:after="0" w:line="109" w:lineRule="exact"/>
              <w:rPr>
                <w:sz w:val="20"/>
                <w:szCs w:val="20"/>
                <w:color w:val="auto"/>
              </w:rPr>
            </w:pPr>
            <w:r>
              <w:rPr>
                <w:rFonts w:ascii="Times New Roman" w:cs="Times New Roman" w:eastAsia="Times New Roman" w:hAnsi="Times New Roman"/>
                <w:sz w:val="11"/>
                <w:szCs w:val="11"/>
                <w:color w:val="auto"/>
              </w:rPr>
              <w:t>4,706</w:t>
            </w: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tcPr>
          <w:p>
            <w:pPr>
              <w:jc w:val="right"/>
              <w:spacing w:after="0" w:line="109" w:lineRule="exact"/>
              <w:rPr>
                <w:sz w:val="20"/>
                <w:szCs w:val="20"/>
                <w:color w:val="auto"/>
              </w:rPr>
            </w:pPr>
            <w:r>
              <w:rPr>
                <w:rFonts w:ascii="Times New Roman" w:cs="Times New Roman" w:eastAsia="Times New Roman" w:hAnsi="Times New Roman"/>
                <w:sz w:val="11"/>
                <w:szCs w:val="11"/>
                <w:color w:val="auto"/>
              </w:rPr>
              <w:t>4,632</w:t>
            </w: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jc w:val="right"/>
              <w:spacing w:after="0" w:line="109" w:lineRule="exact"/>
              <w:rPr>
                <w:sz w:val="20"/>
                <w:szCs w:val="20"/>
                <w:color w:val="auto"/>
              </w:rPr>
            </w:pPr>
            <w:r>
              <w:rPr>
                <w:rFonts w:ascii="Times New Roman" w:cs="Times New Roman" w:eastAsia="Times New Roman" w:hAnsi="Times New Roman"/>
                <w:sz w:val="11"/>
                <w:szCs w:val="11"/>
                <w:color w:val="auto"/>
              </w:rPr>
              <w:t>4,612</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0"/>
        </w:trPr>
        <w:tc>
          <w:tcPr>
            <w:tcW w:w="2900" w:type="dxa"/>
            <w:vAlign w:val="bottom"/>
            <w:vMerge w:val="restart"/>
          </w:tcPr>
          <w:p>
            <w:pPr>
              <w:ind w:left="20"/>
              <w:spacing w:after="0"/>
              <w:rPr>
                <w:sz w:val="20"/>
                <w:szCs w:val="20"/>
                <w:color w:val="auto"/>
              </w:rPr>
            </w:pPr>
            <w:r>
              <w:rPr>
                <w:rFonts w:ascii="Times New Roman" w:cs="Times New Roman" w:eastAsia="Times New Roman" w:hAnsi="Times New Roman"/>
                <w:sz w:val="11"/>
                <w:szCs w:val="11"/>
                <w:color w:val="auto"/>
              </w:rPr>
              <w:t xml:space="preserve">Quantic Electronics, LLC (Revolver) </w:t>
            </w:r>
            <w:r>
              <w:rPr>
                <w:rFonts w:ascii="Times New Roman" w:cs="Times New Roman" w:eastAsia="Times New Roman" w:hAnsi="Times New Roman"/>
                <w:sz w:val="14"/>
                <w:szCs w:val="14"/>
                <w:color w:val="auto"/>
                <w:vertAlign w:val="superscript"/>
              </w:rPr>
              <w:t>(7)</w:t>
            </w: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Components</w:t>
            </w: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6"/>
        </w:trPr>
        <w:tc>
          <w:tcPr>
            <w:tcW w:w="2900" w:type="dxa"/>
            <w:vAlign w:val="bottom"/>
            <w:vMerge w:val="continue"/>
          </w:tcPr>
          <w:p>
            <w:pPr>
              <w:spacing w:after="0"/>
              <w:rPr>
                <w:sz w:val="10"/>
                <w:szCs w:val="10"/>
                <w:color w:val="auto"/>
              </w:rPr>
            </w:pPr>
          </w:p>
        </w:tc>
        <w:tc>
          <w:tcPr>
            <w:tcW w:w="880" w:type="dxa"/>
            <w:vAlign w:val="bottom"/>
            <w:gridSpan w:val="2"/>
          </w:tcPr>
          <w:p>
            <w:pPr>
              <w:jc w:val="center"/>
              <w:ind w:left="106"/>
              <w:spacing w:after="0" w:line="116" w:lineRule="exact"/>
              <w:rPr>
                <w:sz w:val="20"/>
                <w:szCs w:val="20"/>
                <w:color w:val="auto"/>
              </w:rPr>
            </w:pPr>
            <w:r>
              <w:rPr>
                <w:rFonts w:ascii="Times New Roman" w:cs="Times New Roman" w:eastAsia="Times New Roman" w:hAnsi="Times New Roman"/>
                <w:sz w:val="11"/>
                <w:szCs w:val="11"/>
                <w:color w:val="auto"/>
                <w:w w:val="95"/>
              </w:rPr>
              <w:t>11/19/2026</w:t>
            </w:r>
          </w:p>
        </w:tc>
        <w:tc>
          <w:tcPr>
            <w:tcW w:w="160" w:type="dxa"/>
            <w:vAlign w:val="bottom"/>
          </w:tcPr>
          <w:p>
            <w:pPr>
              <w:spacing w:after="0"/>
              <w:rPr>
                <w:sz w:val="10"/>
                <w:szCs w:val="10"/>
                <w:color w:val="auto"/>
              </w:rPr>
            </w:pPr>
          </w:p>
        </w:tc>
        <w:tc>
          <w:tcPr>
            <w:tcW w:w="2000" w:type="dxa"/>
            <w:vAlign w:val="bottom"/>
          </w:tcPr>
          <w:p>
            <w:pPr>
              <w:jc w:val="center"/>
              <w:spacing w:after="0" w:line="116" w:lineRule="exact"/>
              <w:rPr>
                <w:sz w:val="20"/>
                <w:szCs w:val="20"/>
                <w:color w:val="auto"/>
              </w:rPr>
            </w:pPr>
            <w:r>
              <w:rPr>
                <w:rFonts w:ascii="Times New Roman" w:cs="Times New Roman" w:eastAsia="Times New Roman" w:hAnsi="Times New Roman"/>
                <w:sz w:val="11"/>
                <w:szCs w:val="11"/>
                <w:color w:val="auto"/>
                <w:w w:val="98"/>
              </w:rPr>
              <w:t>Electronic Equipment, Instruments, and</w:t>
            </w:r>
          </w:p>
        </w:tc>
        <w:tc>
          <w:tcPr>
            <w:tcW w:w="1260" w:type="dxa"/>
            <w:vAlign w:val="bottom"/>
            <w:gridSpan w:val="3"/>
          </w:tcPr>
          <w:p>
            <w:pPr>
              <w:jc w:val="right"/>
              <w:ind w:right="106"/>
              <w:spacing w:after="0" w:line="116" w:lineRule="exact"/>
              <w:rPr>
                <w:sz w:val="20"/>
                <w:szCs w:val="20"/>
                <w:color w:val="auto"/>
              </w:rPr>
            </w:pPr>
            <w:r>
              <w:rPr>
                <w:rFonts w:ascii="Times New Roman" w:cs="Times New Roman" w:eastAsia="Times New Roman" w:hAnsi="Times New Roman"/>
                <w:sz w:val="11"/>
                <w:szCs w:val="11"/>
                <w:color w:val="auto"/>
              </w:rPr>
              <w:t>9.51 %</w:t>
            </w:r>
          </w:p>
        </w:tc>
        <w:tc>
          <w:tcPr>
            <w:tcW w:w="860" w:type="dxa"/>
            <w:vAlign w:val="bottom"/>
          </w:tcPr>
          <w:p>
            <w:pPr>
              <w:jc w:val="right"/>
              <w:spacing w:after="0" w:line="116" w:lineRule="exact"/>
              <w:rPr>
                <w:sz w:val="20"/>
                <w:szCs w:val="20"/>
                <w:color w:val="auto"/>
              </w:rPr>
            </w:pPr>
            <w:r>
              <w:rPr>
                <w:rFonts w:ascii="Times New Roman" w:cs="Times New Roman" w:eastAsia="Times New Roman" w:hAnsi="Times New Roman"/>
                <w:sz w:val="11"/>
                <w:szCs w:val="11"/>
                <w:color w:val="auto"/>
              </w:rPr>
              <w:t>1M L+600</w:t>
            </w:r>
          </w:p>
        </w:tc>
        <w:tc>
          <w:tcPr>
            <w:tcW w:w="1080" w:type="dxa"/>
            <w:vAlign w:val="bottom"/>
            <w:gridSpan w:val="2"/>
          </w:tcPr>
          <w:p>
            <w:pPr>
              <w:jc w:val="right"/>
              <w:spacing w:after="0" w:line="116" w:lineRule="exact"/>
              <w:rPr>
                <w:sz w:val="20"/>
                <w:szCs w:val="20"/>
                <w:color w:val="auto"/>
              </w:rPr>
            </w:pPr>
            <w:r>
              <w:rPr>
                <w:rFonts w:ascii="Times New Roman" w:cs="Times New Roman" w:eastAsia="Times New Roman" w:hAnsi="Times New Roman"/>
                <w:sz w:val="11"/>
                <w:szCs w:val="11"/>
                <w:color w:val="auto"/>
              </w:rPr>
              <w:t>268</w:t>
            </w: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Pr>
          <w:p>
            <w:pPr>
              <w:jc w:val="right"/>
              <w:spacing w:after="0" w:line="116" w:lineRule="exact"/>
              <w:rPr>
                <w:sz w:val="20"/>
                <w:szCs w:val="20"/>
                <w:color w:val="auto"/>
              </w:rPr>
            </w:pPr>
            <w:r>
              <w:rPr>
                <w:rFonts w:ascii="Times New Roman" w:cs="Times New Roman" w:eastAsia="Times New Roman" w:hAnsi="Times New Roman"/>
                <w:sz w:val="11"/>
                <w:szCs w:val="11"/>
                <w:color w:val="auto"/>
              </w:rPr>
              <w:t>268</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jc w:val="right"/>
              <w:spacing w:after="0" w:line="116" w:lineRule="exact"/>
              <w:rPr>
                <w:sz w:val="20"/>
                <w:szCs w:val="20"/>
                <w:color w:val="auto"/>
              </w:rPr>
            </w:pPr>
            <w:r>
              <w:rPr>
                <w:rFonts w:ascii="Times New Roman" w:cs="Times New Roman" w:eastAsia="Times New Roman" w:hAnsi="Times New Roman"/>
                <w:sz w:val="11"/>
                <w:szCs w:val="11"/>
                <w:color w:val="auto"/>
              </w:rPr>
              <w:t>263</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2900" w:type="dxa"/>
            <w:vAlign w:val="bottom"/>
            <w:vMerge w:val="restart"/>
          </w:tcPr>
          <w:p>
            <w:pPr>
              <w:ind w:left="20"/>
              <w:spacing w:after="0"/>
              <w:rPr>
                <w:sz w:val="20"/>
                <w:szCs w:val="20"/>
                <w:color w:val="auto"/>
              </w:rPr>
            </w:pPr>
            <w:r>
              <w:rPr>
                <w:rFonts w:ascii="Times New Roman" w:cs="Times New Roman" w:eastAsia="Times New Roman" w:hAnsi="Times New Roman"/>
                <w:sz w:val="11"/>
                <w:szCs w:val="11"/>
                <w:color w:val="auto"/>
              </w:rPr>
              <w:t xml:space="preserve">Quantic Electronics, LLC (Revolver) </w:t>
            </w:r>
            <w:r>
              <w:rPr>
                <w:rFonts w:ascii="Times New Roman" w:cs="Times New Roman" w:eastAsia="Times New Roman" w:hAnsi="Times New Roman"/>
                <w:sz w:val="14"/>
                <w:szCs w:val="14"/>
                <w:color w:val="auto"/>
                <w:vertAlign w:val="superscript"/>
              </w:rPr>
              <w:t>(7), (9)</w:t>
            </w: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Components</w:t>
            </w: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6"/>
        </w:trPr>
        <w:tc>
          <w:tcPr>
            <w:tcW w:w="2900" w:type="dxa"/>
            <w:vAlign w:val="bottom"/>
            <w:vMerge w:val="continue"/>
          </w:tcPr>
          <w:p>
            <w:pPr>
              <w:spacing w:after="0"/>
              <w:rPr>
                <w:sz w:val="10"/>
                <w:szCs w:val="10"/>
                <w:color w:val="auto"/>
              </w:rPr>
            </w:pPr>
          </w:p>
        </w:tc>
        <w:tc>
          <w:tcPr>
            <w:tcW w:w="880" w:type="dxa"/>
            <w:vAlign w:val="bottom"/>
            <w:gridSpan w:val="2"/>
          </w:tcPr>
          <w:p>
            <w:pPr>
              <w:jc w:val="center"/>
              <w:ind w:left="106"/>
              <w:spacing w:after="0" w:line="116" w:lineRule="exact"/>
              <w:rPr>
                <w:sz w:val="20"/>
                <w:szCs w:val="20"/>
                <w:color w:val="auto"/>
              </w:rPr>
            </w:pPr>
            <w:r>
              <w:rPr>
                <w:rFonts w:ascii="Times New Roman" w:cs="Times New Roman" w:eastAsia="Times New Roman" w:hAnsi="Times New Roman"/>
                <w:sz w:val="11"/>
                <w:szCs w:val="11"/>
                <w:color w:val="auto"/>
                <w:w w:val="95"/>
              </w:rPr>
              <w:t>11/19/2026</w:t>
            </w:r>
          </w:p>
        </w:tc>
        <w:tc>
          <w:tcPr>
            <w:tcW w:w="160" w:type="dxa"/>
            <w:vAlign w:val="bottom"/>
          </w:tcPr>
          <w:p>
            <w:pPr>
              <w:spacing w:after="0"/>
              <w:rPr>
                <w:sz w:val="10"/>
                <w:szCs w:val="10"/>
                <w:color w:val="auto"/>
              </w:rPr>
            </w:pPr>
          </w:p>
        </w:tc>
        <w:tc>
          <w:tcPr>
            <w:tcW w:w="2000" w:type="dxa"/>
            <w:vAlign w:val="bottom"/>
          </w:tcPr>
          <w:p>
            <w:pPr>
              <w:jc w:val="center"/>
              <w:spacing w:after="0" w:line="116" w:lineRule="exact"/>
              <w:rPr>
                <w:sz w:val="20"/>
                <w:szCs w:val="20"/>
                <w:color w:val="auto"/>
              </w:rPr>
            </w:pPr>
            <w:r>
              <w:rPr>
                <w:rFonts w:ascii="Times New Roman" w:cs="Times New Roman" w:eastAsia="Times New Roman" w:hAnsi="Times New Roman"/>
                <w:sz w:val="11"/>
                <w:szCs w:val="11"/>
                <w:color w:val="auto"/>
                <w:w w:val="98"/>
              </w:rPr>
              <w:t>Electronic Equipment, Instruments, and</w:t>
            </w:r>
          </w:p>
        </w:tc>
        <w:tc>
          <w:tcPr>
            <w:tcW w:w="120" w:type="dxa"/>
            <w:vAlign w:val="bottom"/>
          </w:tcPr>
          <w:p>
            <w:pPr>
              <w:spacing w:after="0"/>
              <w:rPr>
                <w:sz w:val="10"/>
                <w:szCs w:val="10"/>
                <w:color w:val="auto"/>
              </w:rPr>
            </w:pPr>
          </w:p>
        </w:tc>
        <w:tc>
          <w:tcPr>
            <w:tcW w:w="1140" w:type="dxa"/>
            <w:vAlign w:val="bottom"/>
            <w:gridSpan w:val="2"/>
          </w:tcPr>
          <w:p>
            <w:pPr>
              <w:jc w:val="right"/>
              <w:ind w:right="226"/>
              <w:spacing w:after="0" w:line="116" w:lineRule="exact"/>
              <w:rPr>
                <w:sz w:val="20"/>
                <w:szCs w:val="20"/>
                <w:color w:val="auto"/>
              </w:rPr>
            </w:pPr>
            <w:r>
              <w:rPr>
                <w:rFonts w:ascii="Times New Roman" w:cs="Times New Roman" w:eastAsia="Times New Roman" w:hAnsi="Times New Roman"/>
                <w:sz w:val="11"/>
                <w:szCs w:val="11"/>
                <w:color w:val="auto"/>
              </w:rPr>
              <w:t>—</w:t>
            </w:r>
          </w:p>
        </w:tc>
        <w:tc>
          <w:tcPr>
            <w:tcW w:w="860" w:type="dxa"/>
            <w:vAlign w:val="bottom"/>
          </w:tcPr>
          <w:p>
            <w:pPr>
              <w:jc w:val="right"/>
              <w:spacing w:after="0" w:line="116" w:lineRule="exact"/>
              <w:rPr>
                <w:sz w:val="20"/>
                <w:szCs w:val="20"/>
                <w:color w:val="auto"/>
              </w:rPr>
            </w:pPr>
            <w:r>
              <w:rPr>
                <w:rFonts w:ascii="Times New Roman" w:cs="Times New Roman" w:eastAsia="Times New Roman" w:hAnsi="Times New Roman"/>
                <w:sz w:val="11"/>
                <w:szCs w:val="11"/>
                <w:color w:val="auto"/>
              </w:rPr>
              <w:t>—</w:t>
            </w:r>
          </w:p>
        </w:tc>
        <w:tc>
          <w:tcPr>
            <w:tcW w:w="1080" w:type="dxa"/>
            <w:vAlign w:val="bottom"/>
            <w:gridSpan w:val="2"/>
          </w:tcPr>
          <w:p>
            <w:pPr>
              <w:jc w:val="right"/>
              <w:spacing w:after="0" w:line="116" w:lineRule="exact"/>
              <w:rPr>
                <w:sz w:val="20"/>
                <w:szCs w:val="20"/>
                <w:color w:val="auto"/>
              </w:rPr>
            </w:pPr>
            <w:r>
              <w:rPr>
                <w:rFonts w:ascii="Times New Roman" w:cs="Times New Roman" w:eastAsia="Times New Roman" w:hAnsi="Times New Roman"/>
                <w:sz w:val="11"/>
                <w:szCs w:val="11"/>
                <w:color w:val="auto"/>
              </w:rPr>
              <w:t>402</w:t>
            </w: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Pr>
          <w:p>
            <w:pPr>
              <w:jc w:val="right"/>
              <w:spacing w:after="0" w:line="116" w:lineRule="exact"/>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gridSpan w:val="2"/>
          </w:tcPr>
          <w:p>
            <w:pPr>
              <w:jc w:val="right"/>
              <w:ind w:right="60"/>
              <w:spacing w:after="0" w:line="116" w:lineRule="exact"/>
              <w:rPr>
                <w:sz w:val="20"/>
                <w:szCs w:val="20"/>
                <w:color w:val="auto"/>
              </w:rPr>
            </w:pPr>
            <w:r>
              <w:rPr>
                <w:rFonts w:ascii="Times New Roman" w:cs="Times New Roman" w:eastAsia="Times New Roman" w:hAnsi="Times New Roman"/>
                <w:sz w:val="11"/>
                <w:szCs w:val="11"/>
                <w:color w:val="auto"/>
              </w:rPr>
              <w:t>(8 )</w:t>
            </w:r>
          </w:p>
        </w:tc>
        <w:tc>
          <w:tcPr>
            <w:tcW w:w="0" w:type="dxa"/>
            <w:vAlign w:val="bottom"/>
          </w:tcPr>
          <w:p>
            <w:pPr>
              <w:spacing w:after="0"/>
              <w:rPr>
                <w:sz w:val="1"/>
                <w:szCs w:val="1"/>
                <w:color w:val="auto"/>
              </w:rPr>
            </w:pPr>
          </w:p>
        </w:tc>
      </w:tr>
      <w:tr>
        <w:trPr>
          <w:trHeight w:val="140"/>
        </w:trPr>
        <w:tc>
          <w:tcPr>
            <w:tcW w:w="2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Components</w:t>
            </w: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2900" w:type="dxa"/>
            <w:vAlign w:val="bottom"/>
          </w:tcPr>
          <w:p>
            <w:pPr>
              <w:ind w:left="20"/>
              <w:spacing w:after="0" w:line="125" w:lineRule="exact"/>
              <w:rPr>
                <w:sz w:val="20"/>
                <w:szCs w:val="20"/>
                <w:color w:val="auto"/>
              </w:rPr>
            </w:pPr>
            <w:r>
              <w:rPr>
                <w:rFonts w:ascii="Times New Roman" w:cs="Times New Roman" w:eastAsia="Times New Roman" w:hAnsi="Times New Roman"/>
                <w:sz w:val="11"/>
                <w:szCs w:val="11"/>
                <w:color w:val="auto"/>
              </w:rPr>
              <w:t>Questex, LLC</w:t>
            </w:r>
          </w:p>
        </w:tc>
        <w:tc>
          <w:tcPr>
            <w:tcW w:w="880" w:type="dxa"/>
            <w:vAlign w:val="bottom"/>
            <w:gridSpan w:val="2"/>
          </w:tcPr>
          <w:p>
            <w:pPr>
              <w:jc w:val="center"/>
              <w:ind w:left="106"/>
              <w:spacing w:after="0" w:line="125" w:lineRule="exact"/>
              <w:rPr>
                <w:sz w:val="20"/>
                <w:szCs w:val="20"/>
                <w:color w:val="auto"/>
              </w:rPr>
            </w:pPr>
            <w:r>
              <w:rPr>
                <w:rFonts w:ascii="Times New Roman" w:cs="Times New Roman" w:eastAsia="Times New Roman" w:hAnsi="Times New Roman"/>
                <w:sz w:val="11"/>
                <w:szCs w:val="11"/>
                <w:color w:val="auto"/>
                <w:w w:val="95"/>
              </w:rPr>
              <w:t>09/09/2024</w:t>
            </w:r>
          </w:p>
        </w:tc>
        <w:tc>
          <w:tcPr>
            <w:tcW w:w="160" w:type="dxa"/>
            <w:vAlign w:val="bottom"/>
          </w:tcPr>
          <w:p>
            <w:pPr>
              <w:spacing w:after="0"/>
              <w:rPr>
                <w:sz w:val="10"/>
                <w:szCs w:val="10"/>
                <w:color w:val="auto"/>
              </w:rPr>
            </w:pPr>
          </w:p>
        </w:tc>
        <w:tc>
          <w:tcPr>
            <w:tcW w:w="2000" w:type="dxa"/>
            <w:vAlign w:val="bottom"/>
          </w:tcPr>
          <w:p>
            <w:pPr>
              <w:jc w:val="center"/>
              <w:spacing w:after="0" w:line="125" w:lineRule="exact"/>
              <w:rPr>
                <w:sz w:val="20"/>
                <w:szCs w:val="20"/>
                <w:color w:val="auto"/>
              </w:rPr>
            </w:pPr>
            <w:r>
              <w:rPr>
                <w:rFonts w:ascii="Times New Roman" w:cs="Times New Roman" w:eastAsia="Times New Roman" w:hAnsi="Times New Roman"/>
                <w:sz w:val="11"/>
                <w:szCs w:val="11"/>
                <w:color w:val="auto"/>
                <w:w w:val="97"/>
              </w:rPr>
              <w:t>Media: Diversified and Production</w:t>
            </w:r>
          </w:p>
        </w:tc>
        <w:tc>
          <w:tcPr>
            <w:tcW w:w="1260" w:type="dxa"/>
            <w:vAlign w:val="bottom"/>
            <w:gridSpan w:val="3"/>
          </w:tcPr>
          <w:p>
            <w:pPr>
              <w:jc w:val="right"/>
              <w:ind w:right="106"/>
              <w:spacing w:after="0" w:line="125" w:lineRule="exact"/>
              <w:rPr>
                <w:sz w:val="20"/>
                <w:szCs w:val="20"/>
                <w:color w:val="auto"/>
              </w:rPr>
            </w:pPr>
            <w:r>
              <w:rPr>
                <w:rFonts w:ascii="Times New Roman" w:cs="Times New Roman" w:eastAsia="Times New Roman" w:hAnsi="Times New Roman"/>
                <w:sz w:val="11"/>
                <w:szCs w:val="11"/>
                <w:color w:val="auto"/>
              </w:rPr>
              <w:t>7.45 %</w:t>
            </w:r>
          </w:p>
        </w:tc>
        <w:tc>
          <w:tcPr>
            <w:tcW w:w="860" w:type="dxa"/>
            <w:vAlign w:val="bottom"/>
          </w:tcPr>
          <w:p>
            <w:pPr>
              <w:jc w:val="right"/>
              <w:spacing w:after="0" w:line="125" w:lineRule="exact"/>
              <w:rPr>
                <w:sz w:val="20"/>
                <w:szCs w:val="20"/>
                <w:color w:val="auto"/>
              </w:rPr>
            </w:pPr>
            <w:r>
              <w:rPr>
                <w:rFonts w:ascii="Times New Roman" w:cs="Times New Roman" w:eastAsia="Times New Roman" w:hAnsi="Times New Roman"/>
                <w:sz w:val="11"/>
                <w:szCs w:val="11"/>
                <w:color w:val="auto"/>
              </w:rPr>
              <w:t>3M L+500</w:t>
            </w:r>
          </w:p>
        </w:tc>
        <w:tc>
          <w:tcPr>
            <w:tcW w:w="1080" w:type="dxa"/>
            <w:vAlign w:val="bottom"/>
            <w:gridSpan w:val="2"/>
          </w:tcPr>
          <w:p>
            <w:pPr>
              <w:jc w:val="right"/>
              <w:spacing w:after="0" w:line="125" w:lineRule="exact"/>
              <w:rPr>
                <w:sz w:val="20"/>
                <w:szCs w:val="20"/>
                <w:color w:val="auto"/>
              </w:rPr>
            </w:pPr>
            <w:r>
              <w:rPr>
                <w:rFonts w:ascii="Times New Roman" w:cs="Times New Roman" w:eastAsia="Times New Roman" w:hAnsi="Times New Roman"/>
                <w:sz w:val="11"/>
                <w:szCs w:val="11"/>
                <w:color w:val="auto"/>
              </w:rPr>
              <w:t>7,200</w:t>
            </w: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Pr>
          <w:p>
            <w:pPr>
              <w:jc w:val="right"/>
              <w:spacing w:after="0" w:line="125" w:lineRule="exact"/>
              <w:rPr>
                <w:sz w:val="20"/>
                <w:szCs w:val="20"/>
                <w:color w:val="auto"/>
              </w:rPr>
            </w:pPr>
            <w:r>
              <w:rPr>
                <w:rFonts w:ascii="Times New Roman" w:cs="Times New Roman" w:eastAsia="Times New Roman" w:hAnsi="Times New Roman"/>
                <w:sz w:val="11"/>
                <w:szCs w:val="11"/>
                <w:color w:val="auto"/>
              </w:rPr>
              <w:t>7,146</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jc w:val="right"/>
              <w:spacing w:after="0" w:line="125" w:lineRule="exact"/>
              <w:rPr>
                <w:sz w:val="20"/>
                <w:szCs w:val="20"/>
                <w:color w:val="auto"/>
              </w:rPr>
            </w:pPr>
            <w:r>
              <w:rPr>
                <w:rFonts w:ascii="Times New Roman" w:cs="Times New Roman" w:eastAsia="Times New Roman" w:hAnsi="Times New Roman"/>
                <w:sz w:val="11"/>
                <w:szCs w:val="11"/>
                <w:color w:val="auto"/>
              </w:rPr>
              <w:t>7,056</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90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Questex, LLC (Revolver) </w:t>
            </w:r>
            <w:r>
              <w:rPr>
                <w:rFonts w:ascii="Times New Roman" w:cs="Times New Roman" w:eastAsia="Times New Roman" w:hAnsi="Times New Roman"/>
                <w:sz w:val="14"/>
                <w:szCs w:val="14"/>
                <w:color w:val="auto"/>
                <w:vertAlign w:val="superscript"/>
              </w:rPr>
              <w:t>(7), (9)</w:t>
            </w:r>
          </w:p>
        </w:tc>
        <w:tc>
          <w:tcPr>
            <w:tcW w:w="880" w:type="dxa"/>
            <w:vAlign w:val="bottom"/>
            <w:gridSpan w:val="2"/>
          </w:tcPr>
          <w:p>
            <w:pPr>
              <w:jc w:val="center"/>
              <w:ind w:left="106"/>
              <w:spacing w:after="0"/>
              <w:rPr>
                <w:sz w:val="20"/>
                <w:szCs w:val="20"/>
                <w:color w:val="auto"/>
              </w:rPr>
            </w:pPr>
            <w:r>
              <w:rPr>
                <w:rFonts w:ascii="Times New Roman" w:cs="Times New Roman" w:eastAsia="Times New Roman" w:hAnsi="Times New Roman"/>
                <w:sz w:val="11"/>
                <w:szCs w:val="11"/>
                <w:color w:val="auto"/>
                <w:w w:val="95"/>
              </w:rPr>
              <w:t>09/09/2024</w:t>
            </w:r>
          </w:p>
        </w:tc>
        <w:tc>
          <w:tcPr>
            <w:tcW w:w="160" w:type="dxa"/>
            <w:vAlign w:val="bottom"/>
          </w:tcPr>
          <w:p>
            <w:pPr>
              <w:spacing w:after="0"/>
              <w:rPr>
                <w:sz w:val="11"/>
                <w:szCs w:val="11"/>
                <w:color w:val="auto"/>
              </w:rPr>
            </w:pPr>
          </w:p>
        </w:tc>
        <w:tc>
          <w:tcPr>
            <w:tcW w:w="20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Media: Diversified and Production</w:t>
            </w:r>
          </w:p>
        </w:tc>
        <w:tc>
          <w:tcPr>
            <w:tcW w:w="120" w:type="dxa"/>
            <w:vAlign w:val="bottom"/>
          </w:tcPr>
          <w:p>
            <w:pPr>
              <w:spacing w:after="0"/>
              <w:rPr>
                <w:sz w:val="11"/>
                <w:szCs w:val="11"/>
                <w:color w:val="auto"/>
              </w:rPr>
            </w:pPr>
          </w:p>
        </w:tc>
        <w:tc>
          <w:tcPr>
            <w:tcW w:w="1140" w:type="dxa"/>
            <w:vAlign w:val="bottom"/>
            <w:gridSpan w:val="2"/>
          </w:tcPr>
          <w:p>
            <w:pPr>
              <w:jc w:val="right"/>
              <w:ind w:right="226"/>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1,197</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(24 )</w:t>
            </w:r>
          </w:p>
        </w:tc>
        <w:tc>
          <w:tcPr>
            <w:tcW w:w="0" w:type="dxa"/>
            <w:vAlign w:val="bottom"/>
          </w:tcPr>
          <w:p>
            <w:pPr>
              <w:spacing w:after="0"/>
              <w:rPr>
                <w:sz w:val="1"/>
                <w:szCs w:val="1"/>
                <w:color w:val="auto"/>
              </w:rPr>
            </w:pPr>
          </w:p>
        </w:tc>
      </w:tr>
      <w:tr>
        <w:trPr>
          <w:trHeight w:val="135"/>
        </w:trPr>
        <w:tc>
          <w:tcPr>
            <w:tcW w:w="290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Rancho Health MSO, Inc. </w:t>
            </w:r>
            <w:r>
              <w:rPr>
                <w:rFonts w:ascii="Times New Roman" w:cs="Times New Roman" w:eastAsia="Times New Roman" w:hAnsi="Times New Roman"/>
                <w:sz w:val="14"/>
                <w:szCs w:val="14"/>
                <w:color w:val="auto"/>
                <w:vertAlign w:val="superscript"/>
              </w:rPr>
              <w:t>(7)</w:t>
            </w:r>
          </w:p>
        </w:tc>
        <w:tc>
          <w:tcPr>
            <w:tcW w:w="880" w:type="dxa"/>
            <w:vAlign w:val="bottom"/>
            <w:gridSpan w:val="2"/>
          </w:tcPr>
          <w:p>
            <w:pPr>
              <w:jc w:val="center"/>
              <w:ind w:left="106"/>
              <w:spacing w:after="0"/>
              <w:rPr>
                <w:sz w:val="20"/>
                <w:szCs w:val="20"/>
                <w:color w:val="auto"/>
              </w:rPr>
            </w:pPr>
            <w:r>
              <w:rPr>
                <w:rFonts w:ascii="Times New Roman" w:cs="Times New Roman" w:eastAsia="Times New Roman" w:hAnsi="Times New Roman"/>
                <w:sz w:val="11"/>
                <w:szCs w:val="11"/>
                <w:color w:val="auto"/>
                <w:w w:val="95"/>
              </w:rPr>
              <w:t>12/18/2025</w:t>
            </w:r>
          </w:p>
        </w:tc>
        <w:tc>
          <w:tcPr>
            <w:tcW w:w="160" w:type="dxa"/>
            <w:vAlign w:val="bottom"/>
          </w:tcPr>
          <w:p>
            <w:pPr>
              <w:spacing w:after="0"/>
              <w:rPr>
                <w:sz w:val="11"/>
                <w:szCs w:val="11"/>
                <w:color w:val="auto"/>
              </w:rPr>
            </w:pPr>
          </w:p>
        </w:tc>
        <w:tc>
          <w:tcPr>
            <w:tcW w:w="20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Healthcare Equipment and Supplies</w:t>
            </w:r>
          </w:p>
        </w:tc>
        <w:tc>
          <w:tcPr>
            <w:tcW w:w="1260" w:type="dxa"/>
            <w:vAlign w:val="bottom"/>
            <w:gridSpan w:val="3"/>
          </w:tcPr>
          <w:p>
            <w:pPr>
              <w:jc w:val="right"/>
              <w:ind w:right="106"/>
              <w:spacing w:after="0"/>
              <w:rPr>
                <w:sz w:val="20"/>
                <w:szCs w:val="20"/>
                <w:color w:val="auto"/>
              </w:rPr>
            </w:pPr>
            <w:r>
              <w:rPr>
                <w:rFonts w:ascii="Times New Roman" w:cs="Times New Roman" w:eastAsia="Times New Roman" w:hAnsi="Times New Roman"/>
                <w:sz w:val="11"/>
                <w:szCs w:val="11"/>
                <w:color w:val="auto"/>
              </w:rPr>
              <w:t>7.75 %</w:t>
            </w: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L+550</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1,040</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1,040</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1,040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900" w:type="dxa"/>
            <w:vAlign w:val="bottom"/>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Rancho Health MSO, Inc. (Revolver) </w:t>
            </w:r>
            <w:r>
              <w:rPr>
                <w:rFonts w:ascii="Times New Roman" w:cs="Times New Roman" w:eastAsia="Times New Roman" w:hAnsi="Times New Roman"/>
                <w:sz w:val="14"/>
                <w:szCs w:val="14"/>
                <w:color w:val="auto"/>
                <w:vertAlign w:val="superscript"/>
              </w:rPr>
              <w:t>(7), (9)</w:t>
            </w:r>
          </w:p>
        </w:tc>
        <w:tc>
          <w:tcPr>
            <w:tcW w:w="880" w:type="dxa"/>
            <w:vAlign w:val="bottom"/>
            <w:gridSpan w:val="2"/>
          </w:tcPr>
          <w:p>
            <w:pPr>
              <w:jc w:val="center"/>
              <w:ind w:left="106"/>
              <w:spacing w:after="0"/>
              <w:rPr>
                <w:sz w:val="20"/>
                <w:szCs w:val="20"/>
                <w:color w:val="auto"/>
              </w:rPr>
            </w:pPr>
            <w:r>
              <w:rPr>
                <w:rFonts w:ascii="Times New Roman" w:cs="Times New Roman" w:eastAsia="Times New Roman" w:hAnsi="Times New Roman"/>
                <w:sz w:val="11"/>
                <w:szCs w:val="11"/>
                <w:color w:val="auto"/>
                <w:w w:val="95"/>
              </w:rPr>
              <w:t>12/18/2025</w:t>
            </w:r>
          </w:p>
        </w:tc>
        <w:tc>
          <w:tcPr>
            <w:tcW w:w="160" w:type="dxa"/>
            <w:vAlign w:val="bottom"/>
          </w:tcPr>
          <w:p>
            <w:pPr>
              <w:spacing w:after="0"/>
              <w:rPr>
                <w:sz w:val="13"/>
                <w:szCs w:val="13"/>
                <w:color w:val="auto"/>
              </w:rPr>
            </w:pPr>
          </w:p>
        </w:tc>
        <w:tc>
          <w:tcPr>
            <w:tcW w:w="20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Healthcare Equipment and Supplies</w:t>
            </w:r>
          </w:p>
        </w:tc>
        <w:tc>
          <w:tcPr>
            <w:tcW w:w="120" w:type="dxa"/>
            <w:vAlign w:val="bottom"/>
          </w:tcPr>
          <w:p>
            <w:pPr>
              <w:spacing w:after="0"/>
              <w:rPr>
                <w:sz w:val="13"/>
                <w:szCs w:val="13"/>
                <w:color w:val="auto"/>
              </w:rPr>
            </w:pPr>
          </w:p>
        </w:tc>
        <w:tc>
          <w:tcPr>
            <w:tcW w:w="1140" w:type="dxa"/>
            <w:vAlign w:val="bottom"/>
            <w:gridSpan w:val="2"/>
          </w:tcPr>
          <w:p>
            <w:pPr>
              <w:jc w:val="right"/>
              <w:ind w:right="226"/>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525</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17"/>
        </w:trPr>
        <w:tc>
          <w:tcPr>
            <w:tcW w:w="2900" w:type="dxa"/>
            <w:vAlign w:val="bottom"/>
          </w:tcPr>
          <w:p>
            <w:pPr>
              <w:ind w:left="20"/>
              <w:spacing w:after="0" w:line="117" w:lineRule="exact"/>
              <w:rPr>
                <w:sz w:val="20"/>
                <w:szCs w:val="20"/>
                <w:color w:val="auto"/>
              </w:rPr>
            </w:pPr>
            <w:r>
              <w:rPr>
                <w:rFonts w:ascii="Times New Roman" w:cs="Times New Roman" w:eastAsia="Times New Roman" w:hAnsi="Times New Roman"/>
                <w:sz w:val="11"/>
                <w:szCs w:val="11"/>
                <w:color w:val="auto"/>
              </w:rPr>
              <w:t>Recteq, LLC</w:t>
            </w:r>
          </w:p>
        </w:tc>
        <w:tc>
          <w:tcPr>
            <w:tcW w:w="880" w:type="dxa"/>
            <w:vAlign w:val="bottom"/>
            <w:gridSpan w:val="2"/>
          </w:tcPr>
          <w:p>
            <w:pPr>
              <w:jc w:val="center"/>
              <w:ind w:left="106"/>
              <w:spacing w:after="0" w:line="117" w:lineRule="exact"/>
              <w:rPr>
                <w:sz w:val="20"/>
                <w:szCs w:val="20"/>
                <w:color w:val="auto"/>
              </w:rPr>
            </w:pPr>
            <w:r>
              <w:rPr>
                <w:rFonts w:ascii="Times New Roman" w:cs="Times New Roman" w:eastAsia="Times New Roman" w:hAnsi="Times New Roman"/>
                <w:sz w:val="11"/>
                <w:szCs w:val="11"/>
                <w:color w:val="auto"/>
                <w:w w:val="95"/>
              </w:rPr>
              <w:t>01/29/2026</w:t>
            </w:r>
          </w:p>
        </w:tc>
        <w:tc>
          <w:tcPr>
            <w:tcW w:w="160" w:type="dxa"/>
            <w:vAlign w:val="bottom"/>
          </w:tcPr>
          <w:p>
            <w:pPr>
              <w:spacing w:after="0"/>
              <w:rPr>
                <w:sz w:val="10"/>
                <w:szCs w:val="10"/>
                <w:color w:val="auto"/>
              </w:rPr>
            </w:pPr>
          </w:p>
        </w:tc>
        <w:tc>
          <w:tcPr>
            <w:tcW w:w="200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color w:val="auto"/>
                <w:w w:val="96"/>
              </w:rPr>
              <w:t>Leisure Products</w:t>
            </w:r>
          </w:p>
        </w:tc>
        <w:tc>
          <w:tcPr>
            <w:tcW w:w="1260" w:type="dxa"/>
            <w:vAlign w:val="bottom"/>
            <w:gridSpan w:val="3"/>
          </w:tcPr>
          <w:p>
            <w:pPr>
              <w:jc w:val="right"/>
              <w:ind w:right="106"/>
              <w:spacing w:after="0" w:line="117" w:lineRule="exact"/>
              <w:rPr>
                <w:sz w:val="20"/>
                <w:szCs w:val="20"/>
                <w:color w:val="auto"/>
              </w:rPr>
            </w:pPr>
            <w:r>
              <w:rPr>
                <w:rFonts w:ascii="Times New Roman" w:cs="Times New Roman" w:eastAsia="Times New Roman" w:hAnsi="Times New Roman"/>
                <w:sz w:val="11"/>
                <w:szCs w:val="11"/>
                <w:color w:val="auto"/>
              </w:rPr>
              <w:t>9.92 %</w:t>
            </w:r>
          </w:p>
        </w:tc>
        <w:tc>
          <w:tcPr>
            <w:tcW w:w="86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3M L+600</w:t>
            </w:r>
          </w:p>
        </w:tc>
        <w:tc>
          <w:tcPr>
            <w:tcW w:w="108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1"/>
                <w:szCs w:val="11"/>
                <w:color w:val="auto"/>
              </w:rPr>
              <w:t>1,478</w:t>
            </w: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1,457</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1,426</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90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Recteq, LLC (Revolver) </w:t>
            </w:r>
            <w:r>
              <w:rPr>
                <w:rFonts w:ascii="Times New Roman" w:cs="Times New Roman" w:eastAsia="Times New Roman" w:hAnsi="Times New Roman"/>
                <w:sz w:val="14"/>
                <w:szCs w:val="14"/>
                <w:color w:val="auto"/>
                <w:vertAlign w:val="superscript"/>
              </w:rPr>
              <w:t>(7)</w:t>
            </w:r>
          </w:p>
        </w:tc>
        <w:tc>
          <w:tcPr>
            <w:tcW w:w="880" w:type="dxa"/>
            <w:vAlign w:val="bottom"/>
            <w:gridSpan w:val="2"/>
          </w:tcPr>
          <w:p>
            <w:pPr>
              <w:jc w:val="center"/>
              <w:ind w:left="106"/>
              <w:spacing w:after="0"/>
              <w:rPr>
                <w:sz w:val="20"/>
                <w:szCs w:val="20"/>
                <w:color w:val="auto"/>
              </w:rPr>
            </w:pPr>
            <w:r>
              <w:rPr>
                <w:rFonts w:ascii="Times New Roman" w:cs="Times New Roman" w:eastAsia="Times New Roman" w:hAnsi="Times New Roman"/>
                <w:sz w:val="11"/>
                <w:szCs w:val="11"/>
                <w:color w:val="auto"/>
                <w:w w:val="95"/>
              </w:rPr>
              <w:t>01/29/2026</w:t>
            </w:r>
          </w:p>
        </w:tc>
        <w:tc>
          <w:tcPr>
            <w:tcW w:w="160" w:type="dxa"/>
            <w:vAlign w:val="bottom"/>
          </w:tcPr>
          <w:p>
            <w:pPr>
              <w:spacing w:after="0"/>
              <w:rPr>
                <w:sz w:val="11"/>
                <w:szCs w:val="11"/>
                <w:color w:val="auto"/>
              </w:rPr>
            </w:pPr>
          </w:p>
        </w:tc>
        <w:tc>
          <w:tcPr>
            <w:tcW w:w="20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6"/>
              </w:rPr>
              <w:t>Leisure Products</w:t>
            </w:r>
          </w:p>
        </w:tc>
        <w:tc>
          <w:tcPr>
            <w:tcW w:w="1260" w:type="dxa"/>
            <w:vAlign w:val="bottom"/>
            <w:gridSpan w:val="3"/>
          </w:tcPr>
          <w:p>
            <w:pPr>
              <w:jc w:val="right"/>
              <w:ind w:right="106"/>
              <w:spacing w:after="0"/>
              <w:rPr>
                <w:sz w:val="20"/>
                <w:szCs w:val="20"/>
                <w:color w:val="auto"/>
              </w:rPr>
            </w:pPr>
            <w:r>
              <w:rPr>
                <w:rFonts w:ascii="Times New Roman" w:cs="Times New Roman" w:eastAsia="Times New Roman" w:hAnsi="Times New Roman"/>
                <w:sz w:val="11"/>
                <w:szCs w:val="11"/>
                <w:color w:val="auto"/>
              </w:rPr>
              <w:t>9.92 %</w:t>
            </w: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L+600</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360</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360</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347</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9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 xml:space="preserve">Recteq, LLC (Revolver) </w:t>
            </w:r>
            <w:r>
              <w:rPr>
                <w:rFonts w:ascii="Times New Roman" w:cs="Times New Roman" w:eastAsia="Times New Roman" w:hAnsi="Times New Roman"/>
                <w:sz w:val="14"/>
                <w:szCs w:val="14"/>
                <w:color w:val="auto"/>
                <w:vertAlign w:val="superscript"/>
              </w:rPr>
              <w:t>(7), (9)</w:t>
            </w:r>
          </w:p>
        </w:tc>
        <w:tc>
          <w:tcPr>
            <w:tcW w:w="880" w:type="dxa"/>
            <w:vAlign w:val="bottom"/>
            <w:gridSpan w:val="2"/>
          </w:tcPr>
          <w:p>
            <w:pPr>
              <w:jc w:val="center"/>
              <w:ind w:left="106"/>
              <w:spacing w:after="0"/>
              <w:rPr>
                <w:sz w:val="20"/>
                <w:szCs w:val="20"/>
                <w:color w:val="auto"/>
              </w:rPr>
            </w:pPr>
            <w:r>
              <w:rPr>
                <w:rFonts w:ascii="Times New Roman" w:cs="Times New Roman" w:eastAsia="Times New Roman" w:hAnsi="Times New Roman"/>
                <w:sz w:val="11"/>
                <w:szCs w:val="11"/>
                <w:color w:val="auto"/>
                <w:w w:val="95"/>
              </w:rPr>
              <w:t>01/29/2026</w:t>
            </w:r>
          </w:p>
        </w:tc>
        <w:tc>
          <w:tcPr>
            <w:tcW w:w="160" w:type="dxa"/>
            <w:vAlign w:val="bottom"/>
          </w:tcPr>
          <w:p>
            <w:pPr>
              <w:spacing w:after="0"/>
              <w:rPr>
                <w:sz w:val="14"/>
                <w:szCs w:val="14"/>
                <w:color w:val="auto"/>
              </w:rPr>
            </w:pPr>
          </w:p>
        </w:tc>
        <w:tc>
          <w:tcPr>
            <w:tcW w:w="20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6"/>
              </w:rPr>
              <w:t>Leisure Products</w:t>
            </w:r>
          </w:p>
        </w:tc>
        <w:tc>
          <w:tcPr>
            <w:tcW w:w="120" w:type="dxa"/>
            <w:vAlign w:val="bottom"/>
          </w:tcPr>
          <w:p>
            <w:pPr>
              <w:spacing w:after="0"/>
              <w:rPr>
                <w:sz w:val="14"/>
                <w:szCs w:val="14"/>
                <w:color w:val="auto"/>
              </w:rPr>
            </w:pPr>
          </w:p>
        </w:tc>
        <w:tc>
          <w:tcPr>
            <w:tcW w:w="1140" w:type="dxa"/>
            <w:vAlign w:val="bottom"/>
            <w:gridSpan w:val="2"/>
          </w:tcPr>
          <w:p>
            <w:pPr>
              <w:jc w:val="right"/>
              <w:ind w:right="226"/>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Pr>
          <w:p>
            <w:pPr>
              <w:spacing w:after="0"/>
              <w:rPr>
                <w:sz w:val="14"/>
                <w:szCs w:val="14"/>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936</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(33 )</w:t>
            </w:r>
          </w:p>
        </w:tc>
        <w:tc>
          <w:tcPr>
            <w:tcW w:w="0" w:type="dxa"/>
            <w:vAlign w:val="bottom"/>
          </w:tcPr>
          <w:p>
            <w:pPr>
              <w:spacing w:after="0"/>
              <w:rPr>
                <w:sz w:val="1"/>
                <w:szCs w:val="1"/>
                <w:color w:val="auto"/>
              </w:rPr>
            </w:pPr>
          </w:p>
        </w:tc>
      </w:tr>
      <w:tr>
        <w:trPr>
          <w:trHeight w:val="135"/>
        </w:trPr>
        <w:tc>
          <w:tcPr>
            <w:tcW w:w="29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Research Now Group, Inc. and Dynata, LLC</w:t>
            </w:r>
          </w:p>
        </w:tc>
        <w:tc>
          <w:tcPr>
            <w:tcW w:w="880" w:type="dxa"/>
            <w:vAlign w:val="bottom"/>
            <w:gridSpan w:val="2"/>
            <w:shd w:val="clear" w:color="auto" w:fill="CCECFF"/>
          </w:tcPr>
          <w:p>
            <w:pPr>
              <w:jc w:val="center"/>
              <w:ind w:left="106"/>
              <w:spacing w:after="0"/>
              <w:rPr>
                <w:sz w:val="20"/>
                <w:szCs w:val="20"/>
                <w:color w:val="auto"/>
              </w:rPr>
            </w:pPr>
            <w:r>
              <w:rPr>
                <w:rFonts w:ascii="Times New Roman" w:cs="Times New Roman" w:eastAsia="Times New Roman" w:hAnsi="Times New Roman"/>
                <w:sz w:val="11"/>
                <w:szCs w:val="11"/>
                <w:color w:val="auto"/>
                <w:w w:val="95"/>
              </w:rPr>
              <w:t>12/20/2024</w:t>
            </w:r>
          </w:p>
        </w:tc>
        <w:tc>
          <w:tcPr>
            <w:tcW w:w="160" w:type="dxa"/>
            <w:vAlign w:val="bottom"/>
            <w:shd w:val="clear" w:color="auto" w:fill="CCECFF"/>
          </w:tcPr>
          <w:p>
            <w:pPr>
              <w:spacing w:after="0"/>
              <w:rPr>
                <w:sz w:val="11"/>
                <w:szCs w:val="11"/>
                <w:color w:val="auto"/>
              </w:rPr>
            </w:pPr>
          </w:p>
        </w:tc>
        <w:tc>
          <w:tcPr>
            <w:tcW w:w="20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1260" w:type="dxa"/>
            <w:vAlign w:val="bottom"/>
            <w:gridSpan w:val="3"/>
            <w:shd w:val="clear" w:color="auto" w:fill="CCECFF"/>
          </w:tcPr>
          <w:p>
            <w:pPr>
              <w:jc w:val="right"/>
              <w:ind w:right="106"/>
              <w:spacing w:after="0"/>
              <w:rPr>
                <w:sz w:val="20"/>
                <w:szCs w:val="20"/>
                <w:color w:val="auto"/>
              </w:rPr>
            </w:pPr>
            <w:r>
              <w:rPr>
                <w:rFonts w:ascii="Times New Roman" w:cs="Times New Roman" w:eastAsia="Times New Roman" w:hAnsi="Times New Roman"/>
                <w:sz w:val="11"/>
                <w:szCs w:val="11"/>
                <w:color w:val="auto"/>
              </w:rPr>
              <w:t>8.84 %</w:t>
            </w:r>
          </w:p>
        </w:tc>
        <w:tc>
          <w:tcPr>
            <w:tcW w:w="8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L+550</w:t>
            </w:r>
          </w:p>
        </w:tc>
        <w:tc>
          <w:tcPr>
            <w:tcW w:w="108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17,142</w:t>
            </w:r>
          </w:p>
        </w:tc>
        <w:tc>
          <w:tcPr>
            <w:tcW w:w="22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16,985</w:t>
            </w:r>
          </w:p>
        </w:tc>
        <w:tc>
          <w:tcPr>
            <w:tcW w:w="20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7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15,406</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03"/>
        </w:trPr>
        <w:tc>
          <w:tcPr>
            <w:tcW w:w="2900" w:type="dxa"/>
            <w:vAlign w:val="bottom"/>
          </w:tcPr>
          <w:p>
            <w:pPr>
              <w:ind w:left="20"/>
              <w:spacing w:after="0" w:line="103" w:lineRule="exact"/>
              <w:rPr>
                <w:sz w:val="20"/>
                <w:szCs w:val="20"/>
                <w:color w:val="auto"/>
              </w:rPr>
            </w:pPr>
            <w:r>
              <w:rPr>
                <w:rFonts w:ascii="Times New Roman" w:cs="Times New Roman" w:eastAsia="Times New Roman" w:hAnsi="Times New Roman"/>
                <w:sz w:val="11"/>
                <w:szCs w:val="11"/>
                <w:color w:val="auto"/>
              </w:rPr>
              <w:t>Riverpoint Medical, LLC</w:t>
            </w:r>
          </w:p>
        </w:tc>
        <w:tc>
          <w:tcPr>
            <w:tcW w:w="880" w:type="dxa"/>
            <w:vAlign w:val="bottom"/>
            <w:gridSpan w:val="2"/>
          </w:tcPr>
          <w:p>
            <w:pPr>
              <w:jc w:val="center"/>
              <w:ind w:left="106"/>
              <w:spacing w:after="0" w:line="103" w:lineRule="exact"/>
              <w:rPr>
                <w:sz w:val="20"/>
                <w:szCs w:val="20"/>
                <w:color w:val="auto"/>
              </w:rPr>
            </w:pPr>
            <w:r>
              <w:rPr>
                <w:rFonts w:ascii="Times New Roman" w:cs="Times New Roman" w:eastAsia="Times New Roman" w:hAnsi="Times New Roman"/>
                <w:sz w:val="11"/>
                <w:szCs w:val="11"/>
                <w:color w:val="auto"/>
                <w:w w:val="95"/>
              </w:rPr>
              <w:t>06/20/2025</w:t>
            </w:r>
          </w:p>
        </w:tc>
        <w:tc>
          <w:tcPr>
            <w:tcW w:w="160" w:type="dxa"/>
            <w:vAlign w:val="bottom"/>
          </w:tcPr>
          <w:p>
            <w:pPr>
              <w:spacing w:after="0"/>
              <w:rPr>
                <w:sz w:val="8"/>
                <w:szCs w:val="8"/>
                <w:color w:val="auto"/>
              </w:rPr>
            </w:pPr>
          </w:p>
        </w:tc>
        <w:tc>
          <w:tcPr>
            <w:tcW w:w="2000" w:type="dxa"/>
            <w:vAlign w:val="bottom"/>
          </w:tcPr>
          <w:p>
            <w:pPr>
              <w:jc w:val="center"/>
              <w:spacing w:after="0" w:line="103" w:lineRule="exact"/>
              <w:rPr>
                <w:sz w:val="20"/>
                <w:szCs w:val="20"/>
                <w:color w:val="auto"/>
              </w:rPr>
            </w:pPr>
            <w:r>
              <w:rPr>
                <w:rFonts w:ascii="Times New Roman" w:cs="Times New Roman" w:eastAsia="Times New Roman" w:hAnsi="Times New Roman"/>
                <w:sz w:val="11"/>
                <w:szCs w:val="11"/>
                <w:color w:val="auto"/>
                <w:w w:val="98"/>
              </w:rPr>
              <w:t>Healthcare Equipment and Supplies</w:t>
            </w:r>
          </w:p>
        </w:tc>
        <w:tc>
          <w:tcPr>
            <w:tcW w:w="1260" w:type="dxa"/>
            <w:vAlign w:val="bottom"/>
            <w:gridSpan w:val="3"/>
          </w:tcPr>
          <w:p>
            <w:pPr>
              <w:jc w:val="right"/>
              <w:ind w:right="106"/>
              <w:spacing w:after="0" w:line="103" w:lineRule="exact"/>
              <w:rPr>
                <w:sz w:val="20"/>
                <w:szCs w:val="20"/>
                <w:color w:val="auto"/>
              </w:rPr>
            </w:pPr>
            <w:r>
              <w:rPr>
                <w:rFonts w:ascii="Times New Roman" w:cs="Times New Roman" w:eastAsia="Times New Roman" w:hAnsi="Times New Roman"/>
                <w:sz w:val="11"/>
                <w:szCs w:val="11"/>
                <w:color w:val="auto"/>
              </w:rPr>
              <w:t>8.65 %</w:t>
            </w:r>
          </w:p>
        </w:tc>
        <w:tc>
          <w:tcPr>
            <w:tcW w:w="860" w:type="dxa"/>
            <w:vAlign w:val="bottom"/>
          </w:tcPr>
          <w:p>
            <w:pPr>
              <w:jc w:val="right"/>
              <w:spacing w:after="0" w:line="103" w:lineRule="exact"/>
              <w:rPr>
                <w:sz w:val="20"/>
                <w:szCs w:val="20"/>
                <w:color w:val="auto"/>
              </w:rPr>
            </w:pPr>
            <w:r>
              <w:rPr>
                <w:rFonts w:ascii="Times New Roman" w:cs="Times New Roman" w:eastAsia="Times New Roman" w:hAnsi="Times New Roman"/>
                <w:sz w:val="11"/>
                <w:szCs w:val="11"/>
                <w:color w:val="auto"/>
              </w:rPr>
              <w:t>3M L+575</w:t>
            </w:r>
          </w:p>
        </w:tc>
        <w:tc>
          <w:tcPr>
            <w:tcW w:w="1080" w:type="dxa"/>
            <w:vAlign w:val="bottom"/>
            <w:gridSpan w:val="2"/>
          </w:tcPr>
          <w:p>
            <w:pPr>
              <w:jc w:val="right"/>
              <w:spacing w:after="0" w:line="103" w:lineRule="exact"/>
              <w:rPr>
                <w:sz w:val="20"/>
                <w:szCs w:val="20"/>
                <w:color w:val="auto"/>
              </w:rPr>
            </w:pPr>
            <w:r>
              <w:rPr>
                <w:rFonts w:ascii="Times New Roman" w:cs="Times New Roman" w:eastAsia="Times New Roman" w:hAnsi="Times New Roman"/>
                <w:sz w:val="11"/>
                <w:szCs w:val="11"/>
                <w:color w:val="auto"/>
              </w:rPr>
              <w:t>7,980</w:t>
            </w: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tcPr>
          <w:p>
            <w:pPr>
              <w:jc w:val="right"/>
              <w:spacing w:after="0" w:line="103" w:lineRule="exact"/>
              <w:rPr>
                <w:sz w:val="20"/>
                <w:szCs w:val="20"/>
                <w:color w:val="auto"/>
              </w:rPr>
            </w:pPr>
            <w:r>
              <w:rPr>
                <w:rFonts w:ascii="Times New Roman" w:cs="Times New Roman" w:eastAsia="Times New Roman" w:hAnsi="Times New Roman"/>
                <w:sz w:val="11"/>
                <w:szCs w:val="11"/>
                <w:color w:val="auto"/>
              </w:rPr>
              <w:t>7,924</w:t>
            </w: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jc w:val="right"/>
              <w:spacing w:after="0" w:line="103" w:lineRule="exact"/>
              <w:rPr>
                <w:sz w:val="20"/>
                <w:szCs w:val="20"/>
                <w:color w:val="auto"/>
              </w:rPr>
            </w:pPr>
            <w:r>
              <w:rPr>
                <w:rFonts w:ascii="Times New Roman" w:cs="Times New Roman" w:eastAsia="Times New Roman" w:hAnsi="Times New Roman"/>
                <w:sz w:val="11"/>
                <w:szCs w:val="11"/>
                <w:color w:val="auto"/>
              </w:rPr>
              <w:t>7,781</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3"/>
        </w:trPr>
        <w:tc>
          <w:tcPr>
            <w:tcW w:w="2900" w:type="dxa"/>
            <w:vAlign w:val="bottom"/>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Riverpoint Medical, LLC (Revolver) </w:t>
            </w:r>
            <w:r>
              <w:rPr>
                <w:rFonts w:ascii="Times New Roman" w:cs="Times New Roman" w:eastAsia="Times New Roman" w:hAnsi="Times New Roman"/>
                <w:sz w:val="14"/>
                <w:szCs w:val="14"/>
                <w:color w:val="auto"/>
                <w:vertAlign w:val="superscript"/>
              </w:rPr>
              <w:t>(7), (9)</w:t>
            </w:r>
          </w:p>
        </w:tc>
        <w:tc>
          <w:tcPr>
            <w:tcW w:w="880" w:type="dxa"/>
            <w:vAlign w:val="bottom"/>
            <w:gridSpan w:val="2"/>
          </w:tcPr>
          <w:p>
            <w:pPr>
              <w:jc w:val="center"/>
              <w:ind w:left="106"/>
              <w:spacing w:after="0"/>
              <w:rPr>
                <w:sz w:val="20"/>
                <w:szCs w:val="20"/>
                <w:color w:val="auto"/>
              </w:rPr>
            </w:pPr>
            <w:r>
              <w:rPr>
                <w:rFonts w:ascii="Times New Roman" w:cs="Times New Roman" w:eastAsia="Times New Roman" w:hAnsi="Times New Roman"/>
                <w:sz w:val="11"/>
                <w:szCs w:val="11"/>
                <w:color w:val="auto"/>
                <w:w w:val="95"/>
              </w:rPr>
              <w:t>06/20/2025</w:t>
            </w:r>
          </w:p>
        </w:tc>
        <w:tc>
          <w:tcPr>
            <w:tcW w:w="160" w:type="dxa"/>
            <w:vAlign w:val="bottom"/>
          </w:tcPr>
          <w:p>
            <w:pPr>
              <w:spacing w:after="0"/>
              <w:rPr>
                <w:sz w:val="13"/>
                <w:szCs w:val="13"/>
                <w:color w:val="auto"/>
              </w:rPr>
            </w:pPr>
          </w:p>
        </w:tc>
        <w:tc>
          <w:tcPr>
            <w:tcW w:w="20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Healthcare Equipment and Supplies</w:t>
            </w:r>
          </w:p>
        </w:tc>
        <w:tc>
          <w:tcPr>
            <w:tcW w:w="120" w:type="dxa"/>
            <w:vAlign w:val="bottom"/>
          </w:tcPr>
          <w:p>
            <w:pPr>
              <w:spacing w:after="0"/>
              <w:rPr>
                <w:sz w:val="13"/>
                <w:szCs w:val="13"/>
                <w:color w:val="auto"/>
              </w:rPr>
            </w:pPr>
          </w:p>
        </w:tc>
        <w:tc>
          <w:tcPr>
            <w:tcW w:w="1140" w:type="dxa"/>
            <w:vAlign w:val="bottom"/>
            <w:gridSpan w:val="2"/>
          </w:tcPr>
          <w:p>
            <w:pPr>
              <w:jc w:val="right"/>
              <w:ind w:right="226"/>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909</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(23 )</w:t>
            </w:r>
          </w:p>
        </w:tc>
        <w:tc>
          <w:tcPr>
            <w:tcW w:w="0" w:type="dxa"/>
            <w:vAlign w:val="bottom"/>
          </w:tcPr>
          <w:p>
            <w:pPr>
              <w:spacing w:after="0"/>
              <w:rPr>
                <w:sz w:val="1"/>
                <w:szCs w:val="1"/>
                <w:color w:val="auto"/>
              </w:rPr>
            </w:pPr>
          </w:p>
        </w:tc>
      </w:tr>
      <w:tr>
        <w:trPr>
          <w:trHeight w:val="135"/>
        </w:trPr>
        <w:tc>
          <w:tcPr>
            <w:tcW w:w="29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Riverside Assessments, LLC</w:t>
            </w:r>
          </w:p>
        </w:tc>
        <w:tc>
          <w:tcPr>
            <w:tcW w:w="880" w:type="dxa"/>
            <w:vAlign w:val="bottom"/>
            <w:gridSpan w:val="2"/>
          </w:tcPr>
          <w:p>
            <w:pPr>
              <w:jc w:val="center"/>
              <w:ind w:left="106"/>
              <w:spacing w:after="0"/>
              <w:rPr>
                <w:sz w:val="20"/>
                <w:szCs w:val="20"/>
                <w:color w:val="auto"/>
              </w:rPr>
            </w:pPr>
            <w:r>
              <w:rPr>
                <w:rFonts w:ascii="Times New Roman" w:cs="Times New Roman" w:eastAsia="Times New Roman" w:hAnsi="Times New Roman"/>
                <w:sz w:val="11"/>
                <w:szCs w:val="11"/>
                <w:color w:val="auto"/>
                <w:w w:val="95"/>
              </w:rPr>
              <w:t>03/10/2025</w:t>
            </w:r>
          </w:p>
        </w:tc>
        <w:tc>
          <w:tcPr>
            <w:tcW w:w="160" w:type="dxa"/>
            <w:vAlign w:val="bottom"/>
          </w:tcPr>
          <w:p>
            <w:pPr>
              <w:spacing w:after="0"/>
              <w:rPr>
                <w:sz w:val="11"/>
                <w:szCs w:val="11"/>
                <w:color w:val="auto"/>
              </w:rPr>
            </w:pPr>
          </w:p>
        </w:tc>
        <w:tc>
          <w:tcPr>
            <w:tcW w:w="20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Professional Services</w:t>
            </w:r>
          </w:p>
        </w:tc>
        <w:tc>
          <w:tcPr>
            <w:tcW w:w="1260" w:type="dxa"/>
            <w:vAlign w:val="bottom"/>
            <w:gridSpan w:val="3"/>
          </w:tcPr>
          <w:p>
            <w:pPr>
              <w:jc w:val="right"/>
              <w:ind w:right="106"/>
              <w:spacing w:after="0"/>
              <w:rPr>
                <w:sz w:val="20"/>
                <w:szCs w:val="20"/>
                <w:color w:val="auto"/>
              </w:rPr>
            </w:pPr>
            <w:r>
              <w:rPr>
                <w:rFonts w:ascii="Times New Roman" w:cs="Times New Roman" w:eastAsia="Times New Roman" w:hAnsi="Times New Roman"/>
                <w:sz w:val="11"/>
                <w:szCs w:val="11"/>
                <w:color w:val="auto"/>
              </w:rPr>
              <w:t>9.95 %</w:t>
            </w: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L+625</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15,356</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15,201</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15,049</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2900" w:type="dxa"/>
            <w:vAlign w:val="bottom"/>
          </w:tcPr>
          <w:p>
            <w:pPr>
              <w:ind w:left="20"/>
              <w:spacing w:after="0" w:line="117" w:lineRule="exact"/>
              <w:rPr>
                <w:sz w:val="20"/>
                <w:szCs w:val="20"/>
                <w:color w:val="auto"/>
              </w:rPr>
            </w:pPr>
            <w:r>
              <w:rPr>
                <w:rFonts w:ascii="Times New Roman" w:cs="Times New Roman" w:eastAsia="Times New Roman" w:hAnsi="Times New Roman"/>
                <w:sz w:val="11"/>
                <w:szCs w:val="11"/>
                <w:color w:val="auto"/>
              </w:rPr>
              <w:t>Sales Benchmark Index LLC</w:t>
            </w:r>
          </w:p>
        </w:tc>
        <w:tc>
          <w:tcPr>
            <w:tcW w:w="880" w:type="dxa"/>
            <w:vAlign w:val="bottom"/>
            <w:gridSpan w:val="2"/>
          </w:tcPr>
          <w:p>
            <w:pPr>
              <w:jc w:val="center"/>
              <w:ind w:left="106"/>
              <w:spacing w:after="0" w:line="117" w:lineRule="exact"/>
              <w:rPr>
                <w:sz w:val="20"/>
                <w:szCs w:val="20"/>
                <w:color w:val="auto"/>
              </w:rPr>
            </w:pPr>
            <w:r>
              <w:rPr>
                <w:rFonts w:ascii="Times New Roman" w:cs="Times New Roman" w:eastAsia="Times New Roman" w:hAnsi="Times New Roman"/>
                <w:sz w:val="11"/>
                <w:szCs w:val="11"/>
                <w:color w:val="auto"/>
                <w:w w:val="95"/>
              </w:rPr>
              <w:t>01/03/2025</w:t>
            </w:r>
          </w:p>
        </w:tc>
        <w:tc>
          <w:tcPr>
            <w:tcW w:w="160" w:type="dxa"/>
            <w:vAlign w:val="bottom"/>
          </w:tcPr>
          <w:p>
            <w:pPr>
              <w:spacing w:after="0"/>
              <w:rPr>
                <w:sz w:val="10"/>
                <w:szCs w:val="10"/>
                <w:color w:val="auto"/>
              </w:rPr>
            </w:pPr>
          </w:p>
        </w:tc>
        <w:tc>
          <w:tcPr>
            <w:tcW w:w="200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color w:val="auto"/>
                <w:w w:val="97"/>
              </w:rPr>
              <w:t>Professional Services</w:t>
            </w:r>
          </w:p>
        </w:tc>
        <w:tc>
          <w:tcPr>
            <w:tcW w:w="1260" w:type="dxa"/>
            <w:vAlign w:val="bottom"/>
            <w:gridSpan w:val="3"/>
          </w:tcPr>
          <w:p>
            <w:pPr>
              <w:jc w:val="right"/>
              <w:ind w:right="106"/>
              <w:spacing w:after="0" w:line="117" w:lineRule="exact"/>
              <w:rPr>
                <w:sz w:val="20"/>
                <w:szCs w:val="20"/>
                <w:color w:val="auto"/>
              </w:rPr>
            </w:pPr>
            <w:r>
              <w:rPr>
                <w:rFonts w:ascii="Times New Roman" w:cs="Times New Roman" w:eastAsia="Times New Roman" w:hAnsi="Times New Roman"/>
                <w:sz w:val="11"/>
                <w:szCs w:val="11"/>
                <w:color w:val="auto"/>
              </w:rPr>
              <w:t>9.67 %</w:t>
            </w:r>
          </w:p>
        </w:tc>
        <w:tc>
          <w:tcPr>
            <w:tcW w:w="86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3M L+600</w:t>
            </w:r>
          </w:p>
        </w:tc>
        <w:tc>
          <w:tcPr>
            <w:tcW w:w="108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1"/>
                <w:szCs w:val="11"/>
                <w:color w:val="auto"/>
              </w:rPr>
              <w:t>7,105</w:t>
            </w: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7,034</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7,034</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9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 xml:space="preserve">Sales Benchmark Index LLC (Revolver) </w:t>
            </w:r>
            <w:r>
              <w:rPr>
                <w:rFonts w:ascii="Times New Roman" w:cs="Times New Roman" w:eastAsia="Times New Roman" w:hAnsi="Times New Roman"/>
                <w:sz w:val="14"/>
                <w:szCs w:val="14"/>
                <w:color w:val="auto"/>
                <w:vertAlign w:val="superscript"/>
              </w:rPr>
              <w:t>(7), (9)</w:t>
            </w:r>
          </w:p>
        </w:tc>
        <w:tc>
          <w:tcPr>
            <w:tcW w:w="880" w:type="dxa"/>
            <w:vAlign w:val="bottom"/>
            <w:gridSpan w:val="2"/>
          </w:tcPr>
          <w:p>
            <w:pPr>
              <w:jc w:val="center"/>
              <w:ind w:left="106"/>
              <w:spacing w:after="0"/>
              <w:rPr>
                <w:sz w:val="20"/>
                <w:szCs w:val="20"/>
                <w:color w:val="auto"/>
              </w:rPr>
            </w:pPr>
            <w:r>
              <w:rPr>
                <w:rFonts w:ascii="Times New Roman" w:cs="Times New Roman" w:eastAsia="Times New Roman" w:hAnsi="Times New Roman"/>
                <w:sz w:val="11"/>
                <w:szCs w:val="11"/>
                <w:color w:val="auto"/>
                <w:w w:val="95"/>
              </w:rPr>
              <w:t>01/03/2025</w:t>
            </w:r>
          </w:p>
        </w:tc>
        <w:tc>
          <w:tcPr>
            <w:tcW w:w="160" w:type="dxa"/>
            <w:vAlign w:val="bottom"/>
          </w:tcPr>
          <w:p>
            <w:pPr>
              <w:spacing w:after="0"/>
              <w:rPr>
                <w:sz w:val="14"/>
                <w:szCs w:val="14"/>
                <w:color w:val="auto"/>
              </w:rPr>
            </w:pPr>
          </w:p>
        </w:tc>
        <w:tc>
          <w:tcPr>
            <w:tcW w:w="20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Professional Services</w:t>
            </w:r>
          </w:p>
        </w:tc>
        <w:tc>
          <w:tcPr>
            <w:tcW w:w="120" w:type="dxa"/>
            <w:vAlign w:val="bottom"/>
          </w:tcPr>
          <w:p>
            <w:pPr>
              <w:spacing w:after="0"/>
              <w:rPr>
                <w:sz w:val="14"/>
                <w:szCs w:val="14"/>
                <w:color w:val="auto"/>
              </w:rPr>
            </w:pPr>
          </w:p>
        </w:tc>
        <w:tc>
          <w:tcPr>
            <w:tcW w:w="1140" w:type="dxa"/>
            <w:vAlign w:val="bottom"/>
            <w:gridSpan w:val="2"/>
          </w:tcPr>
          <w:p>
            <w:pPr>
              <w:jc w:val="right"/>
              <w:ind w:right="226"/>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1,293</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(13 )</w:t>
            </w:r>
          </w:p>
        </w:tc>
        <w:tc>
          <w:tcPr>
            <w:tcW w:w="0" w:type="dxa"/>
            <w:vAlign w:val="bottom"/>
          </w:tcPr>
          <w:p>
            <w:pPr>
              <w:spacing w:after="0"/>
              <w:rPr>
                <w:sz w:val="1"/>
                <w:szCs w:val="1"/>
                <w:color w:val="auto"/>
              </w:rPr>
            </w:pPr>
          </w:p>
        </w:tc>
      </w:tr>
      <w:tr>
        <w:trPr>
          <w:trHeight w:val="94"/>
        </w:trPr>
        <w:tc>
          <w:tcPr>
            <w:tcW w:w="2900" w:type="dxa"/>
            <w:vAlign w:val="bottom"/>
            <w:shd w:val="clear" w:color="auto" w:fill="CCECFF"/>
          </w:tcPr>
          <w:p>
            <w:pPr>
              <w:ind w:left="20"/>
              <w:spacing w:after="0" w:line="95" w:lineRule="exact"/>
              <w:rPr>
                <w:sz w:val="20"/>
                <w:szCs w:val="20"/>
                <w:color w:val="auto"/>
              </w:rPr>
            </w:pPr>
            <w:r>
              <w:rPr>
                <w:rFonts w:ascii="Times New Roman" w:cs="Times New Roman" w:eastAsia="Times New Roman" w:hAnsi="Times New Roman"/>
                <w:sz w:val="10"/>
                <w:szCs w:val="10"/>
                <w:color w:val="auto"/>
              </w:rPr>
              <w:t>Sargent &amp; Greenleaf Inc.</w:t>
            </w:r>
          </w:p>
        </w:tc>
        <w:tc>
          <w:tcPr>
            <w:tcW w:w="880" w:type="dxa"/>
            <w:vAlign w:val="bottom"/>
            <w:gridSpan w:val="2"/>
            <w:shd w:val="clear" w:color="auto" w:fill="CCECFF"/>
          </w:tcPr>
          <w:p>
            <w:pPr>
              <w:jc w:val="center"/>
              <w:ind w:left="106"/>
              <w:spacing w:after="0" w:line="95" w:lineRule="exact"/>
              <w:rPr>
                <w:sz w:val="20"/>
                <w:szCs w:val="20"/>
                <w:color w:val="auto"/>
              </w:rPr>
            </w:pPr>
            <w:r>
              <w:rPr>
                <w:rFonts w:ascii="Times New Roman" w:cs="Times New Roman" w:eastAsia="Times New Roman" w:hAnsi="Times New Roman"/>
                <w:sz w:val="10"/>
                <w:szCs w:val="10"/>
                <w:color w:val="auto"/>
              </w:rPr>
              <w:t>12/20/2024</w:t>
            </w:r>
          </w:p>
        </w:tc>
        <w:tc>
          <w:tcPr>
            <w:tcW w:w="160" w:type="dxa"/>
            <w:vAlign w:val="bottom"/>
            <w:shd w:val="clear" w:color="auto" w:fill="CCECFF"/>
          </w:tcPr>
          <w:p>
            <w:pPr>
              <w:spacing w:after="0"/>
              <w:rPr>
                <w:sz w:val="8"/>
                <w:szCs w:val="8"/>
                <w:color w:val="auto"/>
              </w:rPr>
            </w:pPr>
          </w:p>
        </w:tc>
        <w:tc>
          <w:tcPr>
            <w:tcW w:w="2000" w:type="dxa"/>
            <w:vAlign w:val="bottom"/>
            <w:shd w:val="clear" w:color="auto" w:fill="CCECFF"/>
          </w:tcPr>
          <w:p>
            <w:pPr>
              <w:jc w:val="center"/>
              <w:spacing w:after="0" w:line="95" w:lineRule="exact"/>
              <w:rPr>
                <w:sz w:val="20"/>
                <w:szCs w:val="20"/>
                <w:color w:val="auto"/>
              </w:rPr>
            </w:pPr>
            <w:r>
              <w:rPr>
                <w:rFonts w:ascii="Times New Roman" w:cs="Times New Roman" w:eastAsia="Times New Roman" w:hAnsi="Times New Roman"/>
                <w:sz w:val="10"/>
                <w:szCs w:val="10"/>
                <w:color w:val="auto"/>
              </w:rPr>
              <w:t>Electronic Equipment, Instruments, and</w:t>
            </w:r>
          </w:p>
        </w:tc>
        <w:tc>
          <w:tcPr>
            <w:tcW w:w="1260" w:type="dxa"/>
            <w:vAlign w:val="bottom"/>
            <w:gridSpan w:val="3"/>
            <w:shd w:val="clear" w:color="auto" w:fill="CCECFF"/>
          </w:tcPr>
          <w:p>
            <w:pPr>
              <w:jc w:val="right"/>
              <w:ind w:right="106"/>
              <w:spacing w:after="0" w:line="95" w:lineRule="exact"/>
              <w:rPr>
                <w:sz w:val="20"/>
                <w:szCs w:val="20"/>
                <w:color w:val="auto"/>
              </w:rPr>
            </w:pPr>
            <w:r>
              <w:rPr>
                <w:rFonts w:ascii="Times New Roman" w:cs="Times New Roman" w:eastAsia="Times New Roman" w:hAnsi="Times New Roman"/>
                <w:sz w:val="10"/>
                <w:szCs w:val="10"/>
                <w:color w:val="auto"/>
              </w:rPr>
              <w:t>8.62 %</w:t>
            </w:r>
          </w:p>
        </w:tc>
        <w:tc>
          <w:tcPr>
            <w:tcW w:w="860" w:type="dxa"/>
            <w:vAlign w:val="bottom"/>
            <w:shd w:val="clear" w:color="auto" w:fill="CCECFF"/>
          </w:tcPr>
          <w:p>
            <w:pPr>
              <w:jc w:val="right"/>
              <w:spacing w:after="0" w:line="95" w:lineRule="exact"/>
              <w:rPr>
                <w:sz w:val="20"/>
                <w:szCs w:val="20"/>
                <w:color w:val="auto"/>
              </w:rPr>
            </w:pPr>
            <w:r>
              <w:rPr>
                <w:rFonts w:ascii="Times New Roman" w:cs="Times New Roman" w:eastAsia="Times New Roman" w:hAnsi="Times New Roman"/>
                <w:sz w:val="10"/>
                <w:szCs w:val="10"/>
                <w:color w:val="auto"/>
              </w:rPr>
              <w:t>1M L+550</w:t>
            </w:r>
          </w:p>
        </w:tc>
        <w:tc>
          <w:tcPr>
            <w:tcW w:w="1080" w:type="dxa"/>
            <w:vAlign w:val="bottom"/>
            <w:gridSpan w:val="2"/>
            <w:shd w:val="clear" w:color="auto" w:fill="CCECFF"/>
          </w:tcPr>
          <w:p>
            <w:pPr>
              <w:jc w:val="right"/>
              <w:spacing w:after="0" w:line="95" w:lineRule="exact"/>
              <w:rPr>
                <w:sz w:val="20"/>
                <w:szCs w:val="20"/>
                <w:color w:val="auto"/>
              </w:rPr>
            </w:pPr>
            <w:r>
              <w:rPr>
                <w:rFonts w:ascii="Times New Roman" w:cs="Times New Roman" w:eastAsia="Times New Roman" w:hAnsi="Times New Roman"/>
                <w:sz w:val="10"/>
                <w:szCs w:val="10"/>
                <w:color w:val="auto"/>
              </w:rPr>
              <w:t>3,487</w:t>
            </w:r>
          </w:p>
        </w:tc>
        <w:tc>
          <w:tcPr>
            <w:tcW w:w="220" w:type="dxa"/>
            <w:vAlign w:val="bottom"/>
            <w:shd w:val="clear" w:color="auto" w:fill="CCECFF"/>
          </w:tcPr>
          <w:p>
            <w:pPr>
              <w:spacing w:after="0"/>
              <w:rPr>
                <w:sz w:val="8"/>
                <w:szCs w:val="8"/>
                <w:color w:val="auto"/>
              </w:rPr>
            </w:pPr>
          </w:p>
        </w:tc>
        <w:tc>
          <w:tcPr>
            <w:tcW w:w="180" w:type="dxa"/>
            <w:vAlign w:val="bottom"/>
            <w:shd w:val="clear" w:color="auto" w:fill="CCECFF"/>
          </w:tcPr>
          <w:p>
            <w:pPr>
              <w:spacing w:after="0"/>
              <w:rPr>
                <w:sz w:val="8"/>
                <w:szCs w:val="8"/>
                <w:color w:val="auto"/>
              </w:rPr>
            </w:pPr>
          </w:p>
        </w:tc>
        <w:tc>
          <w:tcPr>
            <w:tcW w:w="600" w:type="dxa"/>
            <w:vAlign w:val="bottom"/>
            <w:shd w:val="clear" w:color="auto" w:fill="CCECFF"/>
          </w:tcPr>
          <w:p>
            <w:pPr>
              <w:jc w:val="right"/>
              <w:spacing w:after="0" w:line="95" w:lineRule="exact"/>
              <w:rPr>
                <w:sz w:val="20"/>
                <w:szCs w:val="20"/>
                <w:color w:val="auto"/>
              </w:rPr>
            </w:pPr>
            <w:r>
              <w:rPr>
                <w:rFonts w:ascii="Times New Roman" w:cs="Times New Roman" w:eastAsia="Times New Roman" w:hAnsi="Times New Roman"/>
                <w:sz w:val="10"/>
                <w:szCs w:val="10"/>
                <w:color w:val="auto"/>
              </w:rPr>
              <w:t>3,462</w:t>
            </w:r>
          </w:p>
        </w:tc>
        <w:tc>
          <w:tcPr>
            <w:tcW w:w="200" w:type="dxa"/>
            <w:vAlign w:val="bottom"/>
            <w:shd w:val="clear" w:color="auto" w:fill="CCECFF"/>
          </w:tcPr>
          <w:p>
            <w:pPr>
              <w:spacing w:after="0"/>
              <w:rPr>
                <w:sz w:val="8"/>
                <w:szCs w:val="8"/>
                <w:color w:val="auto"/>
              </w:rPr>
            </w:pPr>
          </w:p>
        </w:tc>
        <w:tc>
          <w:tcPr>
            <w:tcW w:w="80" w:type="dxa"/>
            <w:vAlign w:val="bottom"/>
            <w:shd w:val="clear" w:color="auto" w:fill="CCECFF"/>
          </w:tcPr>
          <w:p>
            <w:pPr>
              <w:spacing w:after="0"/>
              <w:rPr>
                <w:sz w:val="8"/>
                <w:szCs w:val="8"/>
                <w:color w:val="auto"/>
              </w:rPr>
            </w:pPr>
          </w:p>
        </w:tc>
        <w:tc>
          <w:tcPr>
            <w:tcW w:w="720" w:type="dxa"/>
            <w:vAlign w:val="bottom"/>
            <w:shd w:val="clear" w:color="auto" w:fill="CCECFF"/>
          </w:tcPr>
          <w:p>
            <w:pPr>
              <w:jc w:val="right"/>
              <w:spacing w:after="0" w:line="95" w:lineRule="exact"/>
              <w:rPr>
                <w:sz w:val="20"/>
                <w:szCs w:val="20"/>
                <w:color w:val="auto"/>
              </w:rPr>
            </w:pPr>
            <w:r>
              <w:rPr>
                <w:rFonts w:ascii="Times New Roman" w:cs="Times New Roman" w:eastAsia="Times New Roman" w:hAnsi="Times New Roman"/>
                <w:sz w:val="10"/>
                <w:szCs w:val="10"/>
                <w:color w:val="auto"/>
              </w:rPr>
              <w:t>3,452</w:t>
            </w:r>
          </w:p>
        </w:tc>
        <w:tc>
          <w:tcPr>
            <w:tcW w:w="100" w:type="dxa"/>
            <w:vAlign w:val="bottom"/>
            <w:shd w:val="clear" w:color="auto" w:fill="CCECFF"/>
          </w:tcPr>
          <w:p>
            <w:pPr>
              <w:spacing w:after="0"/>
              <w:rPr>
                <w:sz w:val="8"/>
                <w:szCs w:val="8"/>
                <w:color w:val="auto"/>
              </w:rPr>
            </w:pPr>
          </w:p>
        </w:tc>
        <w:tc>
          <w:tcPr>
            <w:tcW w:w="0" w:type="dxa"/>
            <w:vAlign w:val="bottom"/>
          </w:tcPr>
          <w:p>
            <w:pPr>
              <w:spacing w:after="0"/>
              <w:rPr>
                <w:sz w:val="1"/>
                <w:szCs w:val="1"/>
                <w:color w:val="auto"/>
              </w:rPr>
            </w:pPr>
          </w:p>
        </w:tc>
      </w:tr>
      <w:tr>
        <w:trPr>
          <w:trHeight w:val="142"/>
        </w:trPr>
        <w:tc>
          <w:tcPr>
            <w:tcW w:w="2900" w:type="dxa"/>
            <w:vAlign w:val="bottom"/>
            <w:tcBorders>
              <w:bottom w:val="single" w:sz="8" w:color="CCECFF"/>
            </w:tcBorders>
            <w:shd w:val="clear" w:color="auto" w:fill="CCECFF"/>
          </w:tcPr>
          <w:p>
            <w:pPr>
              <w:spacing w:after="0"/>
              <w:rPr>
                <w:sz w:val="12"/>
                <w:szCs w:val="12"/>
                <w:color w:val="auto"/>
              </w:rPr>
            </w:pPr>
          </w:p>
        </w:tc>
        <w:tc>
          <w:tcPr>
            <w:tcW w:w="140" w:type="dxa"/>
            <w:vAlign w:val="bottom"/>
            <w:tcBorders>
              <w:bottom w:val="single" w:sz="8" w:color="CCECFF"/>
            </w:tcBorders>
            <w:shd w:val="clear" w:color="auto" w:fill="CCECFF"/>
          </w:tcPr>
          <w:p>
            <w:pPr>
              <w:spacing w:after="0"/>
              <w:rPr>
                <w:sz w:val="12"/>
                <w:szCs w:val="12"/>
                <w:color w:val="auto"/>
              </w:rPr>
            </w:pPr>
          </w:p>
        </w:tc>
        <w:tc>
          <w:tcPr>
            <w:tcW w:w="740" w:type="dxa"/>
            <w:vAlign w:val="bottom"/>
            <w:tcBorders>
              <w:bottom w:val="single" w:sz="8" w:color="CCECFF"/>
            </w:tcBorders>
            <w:shd w:val="clear" w:color="auto" w:fill="CCECFF"/>
          </w:tcPr>
          <w:p>
            <w:pPr>
              <w:spacing w:after="0"/>
              <w:rPr>
                <w:sz w:val="12"/>
                <w:szCs w:val="12"/>
                <w:color w:val="auto"/>
              </w:rPr>
            </w:pPr>
          </w:p>
        </w:tc>
        <w:tc>
          <w:tcPr>
            <w:tcW w:w="160" w:type="dxa"/>
            <w:vAlign w:val="bottom"/>
            <w:tcBorders>
              <w:bottom w:val="single" w:sz="8" w:color="CCECFF"/>
            </w:tcBorders>
            <w:shd w:val="clear" w:color="auto" w:fill="CCECFF"/>
          </w:tcPr>
          <w:p>
            <w:pPr>
              <w:spacing w:after="0"/>
              <w:rPr>
                <w:sz w:val="12"/>
                <w:szCs w:val="12"/>
                <w:color w:val="auto"/>
              </w:rPr>
            </w:pPr>
          </w:p>
        </w:tc>
        <w:tc>
          <w:tcPr>
            <w:tcW w:w="2000" w:type="dxa"/>
            <w:vAlign w:val="bottom"/>
            <w:tcBorders>
              <w:bottom w:val="single" w:sz="8" w:color="CCECFF"/>
            </w:tcBorders>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rPr>
              <w:t>Components</w:t>
            </w:r>
          </w:p>
        </w:tc>
        <w:tc>
          <w:tcPr>
            <w:tcW w:w="120" w:type="dxa"/>
            <w:vAlign w:val="bottom"/>
            <w:tcBorders>
              <w:bottom w:val="single" w:sz="8" w:color="CCECFF"/>
            </w:tcBorders>
            <w:shd w:val="clear" w:color="auto" w:fill="CCECFF"/>
          </w:tcPr>
          <w:p>
            <w:pPr>
              <w:spacing w:after="0"/>
              <w:rPr>
                <w:sz w:val="12"/>
                <w:szCs w:val="12"/>
                <w:color w:val="auto"/>
              </w:rPr>
            </w:pPr>
          </w:p>
        </w:tc>
        <w:tc>
          <w:tcPr>
            <w:tcW w:w="880" w:type="dxa"/>
            <w:vAlign w:val="bottom"/>
            <w:tcBorders>
              <w:bottom w:val="single" w:sz="8" w:color="CCECFF"/>
            </w:tcBorders>
            <w:shd w:val="clear" w:color="auto" w:fill="CCECFF"/>
          </w:tcPr>
          <w:p>
            <w:pPr>
              <w:spacing w:after="0"/>
              <w:rPr>
                <w:sz w:val="12"/>
                <w:szCs w:val="12"/>
                <w:color w:val="auto"/>
              </w:rPr>
            </w:pPr>
          </w:p>
        </w:tc>
        <w:tc>
          <w:tcPr>
            <w:tcW w:w="260" w:type="dxa"/>
            <w:vAlign w:val="bottom"/>
            <w:tcBorders>
              <w:bottom w:val="single" w:sz="8" w:color="CCECFF"/>
            </w:tcBorders>
            <w:shd w:val="clear" w:color="auto" w:fill="CCECFF"/>
          </w:tcPr>
          <w:p>
            <w:pPr>
              <w:spacing w:after="0"/>
              <w:rPr>
                <w:sz w:val="12"/>
                <w:szCs w:val="12"/>
                <w:color w:val="auto"/>
              </w:rPr>
            </w:pPr>
          </w:p>
        </w:tc>
        <w:tc>
          <w:tcPr>
            <w:tcW w:w="860" w:type="dxa"/>
            <w:vAlign w:val="bottom"/>
            <w:tcBorders>
              <w:bottom w:val="single" w:sz="8" w:color="CCECFF"/>
            </w:tcBorders>
            <w:shd w:val="clear" w:color="auto" w:fill="CCECFF"/>
          </w:tcPr>
          <w:p>
            <w:pPr>
              <w:spacing w:after="0"/>
              <w:rPr>
                <w:sz w:val="12"/>
                <w:szCs w:val="12"/>
                <w:color w:val="auto"/>
              </w:rPr>
            </w:pPr>
          </w:p>
        </w:tc>
        <w:tc>
          <w:tcPr>
            <w:tcW w:w="240" w:type="dxa"/>
            <w:vAlign w:val="bottom"/>
            <w:tcBorders>
              <w:bottom w:val="single" w:sz="8" w:color="CCECFF"/>
            </w:tcBorders>
            <w:shd w:val="clear" w:color="auto" w:fill="CCECFF"/>
          </w:tcPr>
          <w:p>
            <w:pPr>
              <w:spacing w:after="0"/>
              <w:rPr>
                <w:sz w:val="12"/>
                <w:szCs w:val="12"/>
                <w:color w:val="auto"/>
              </w:rPr>
            </w:pPr>
          </w:p>
        </w:tc>
        <w:tc>
          <w:tcPr>
            <w:tcW w:w="840" w:type="dxa"/>
            <w:vAlign w:val="bottom"/>
            <w:tcBorders>
              <w:bottom w:val="single" w:sz="8" w:color="CCECFF"/>
            </w:tcBorders>
            <w:shd w:val="clear" w:color="auto" w:fill="CCECFF"/>
          </w:tcPr>
          <w:p>
            <w:pPr>
              <w:spacing w:after="0"/>
              <w:rPr>
                <w:sz w:val="12"/>
                <w:szCs w:val="12"/>
                <w:color w:val="auto"/>
              </w:rPr>
            </w:pPr>
          </w:p>
        </w:tc>
        <w:tc>
          <w:tcPr>
            <w:tcW w:w="220" w:type="dxa"/>
            <w:vAlign w:val="bottom"/>
            <w:tcBorders>
              <w:bottom w:val="single" w:sz="8" w:color="CCECFF"/>
            </w:tcBorders>
            <w:shd w:val="clear" w:color="auto" w:fill="CCECFF"/>
          </w:tcPr>
          <w:p>
            <w:pPr>
              <w:spacing w:after="0"/>
              <w:rPr>
                <w:sz w:val="12"/>
                <w:szCs w:val="12"/>
                <w:color w:val="auto"/>
              </w:rPr>
            </w:pPr>
          </w:p>
        </w:tc>
        <w:tc>
          <w:tcPr>
            <w:tcW w:w="180" w:type="dxa"/>
            <w:vAlign w:val="bottom"/>
            <w:tcBorders>
              <w:bottom w:val="single" w:sz="8" w:color="CCECFF"/>
            </w:tcBorders>
            <w:shd w:val="clear" w:color="auto" w:fill="CCECFF"/>
          </w:tcPr>
          <w:p>
            <w:pPr>
              <w:spacing w:after="0"/>
              <w:rPr>
                <w:sz w:val="12"/>
                <w:szCs w:val="12"/>
                <w:color w:val="auto"/>
              </w:rPr>
            </w:pPr>
          </w:p>
        </w:tc>
        <w:tc>
          <w:tcPr>
            <w:tcW w:w="600" w:type="dxa"/>
            <w:vAlign w:val="bottom"/>
            <w:tcBorders>
              <w:bottom w:val="single" w:sz="8" w:color="CCECFF"/>
            </w:tcBorders>
            <w:shd w:val="clear" w:color="auto" w:fill="CCECFF"/>
          </w:tcPr>
          <w:p>
            <w:pPr>
              <w:spacing w:after="0"/>
              <w:rPr>
                <w:sz w:val="12"/>
                <w:szCs w:val="12"/>
                <w:color w:val="auto"/>
              </w:rPr>
            </w:pPr>
          </w:p>
        </w:tc>
        <w:tc>
          <w:tcPr>
            <w:tcW w:w="200" w:type="dxa"/>
            <w:vAlign w:val="bottom"/>
            <w:tcBorders>
              <w:bottom w:val="single" w:sz="8" w:color="CCECFF"/>
            </w:tcBorders>
            <w:shd w:val="clear" w:color="auto" w:fill="CCECFF"/>
          </w:tcPr>
          <w:p>
            <w:pPr>
              <w:spacing w:after="0"/>
              <w:rPr>
                <w:sz w:val="12"/>
                <w:szCs w:val="12"/>
                <w:color w:val="auto"/>
              </w:rPr>
            </w:pPr>
          </w:p>
        </w:tc>
        <w:tc>
          <w:tcPr>
            <w:tcW w:w="80" w:type="dxa"/>
            <w:vAlign w:val="bottom"/>
            <w:tcBorders>
              <w:bottom w:val="single" w:sz="8" w:color="CCECFF"/>
            </w:tcBorders>
            <w:shd w:val="clear" w:color="auto" w:fill="CCECFF"/>
          </w:tcPr>
          <w:p>
            <w:pPr>
              <w:spacing w:after="0"/>
              <w:rPr>
                <w:sz w:val="12"/>
                <w:szCs w:val="12"/>
                <w:color w:val="auto"/>
              </w:rPr>
            </w:pPr>
          </w:p>
        </w:tc>
        <w:tc>
          <w:tcPr>
            <w:tcW w:w="720" w:type="dxa"/>
            <w:vAlign w:val="bottom"/>
            <w:tcBorders>
              <w:bottom w:val="single" w:sz="8" w:color="CCECFF"/>
            </w:tcBorders>
            <w:shd w:val="clear" w:color="auto" w:fill="CCECFF"/>
          </w:tcPr>
          <w:p>
            <w:pPr>
              <w:spacing w:after="0"/>
              <w:rPr>
                <w:sz w:val="12"/>
                <w:szCs w:val="12"/>
                <w:color w:val="auto"/>
              </w:rPr>
            </w:pPr>
          </w:p>
        </w:tc>
        <w:tc>
          <w:tcPr>
            <w:tcW w:w="100" w:type="dxa"/>
            <w:vAlign w:val="bottom"/>
            <w:tcBorders>
              <w:bottom w:val="single" w:sz="8" w:color="CCECFF"/>
            </w:tcBorders>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95"/>
        </w:trPr>
        <w:tc>
          <w:tcPr>
            <w:tcW w:w="2900" w:type="dxa"/>
            <w:vAlign w:val="bottom"/>
          </w:tcPr>
          <w:p>
            <w:pPr>
              <w:ind w:left="20"/>
              <w:spacing w:after="0" w:line="95" w:lineRule="exact"/>
              <w:rPr>
                <w:sz w:val="20"/>
                <w:szCs w:val="20"/>
                <w:color w:val="auto"/>
              </w:rPr>
            </w:pPr>
            <w:r>
              <w:rPr>
                <w:rFonts w:ascii="Times New Roman" w:cs="Times New Roman" w:eastAsia="Times New Roman" w:hAnsi="Times New Roman"/>
                <w:sz w:val="10"/>
                <w:szCs w:val="10"/>
                <w:color w:val="auto"/>
              </w:rPr>
              <w:t>Sargent &amp; Greenleaf Inc. (Revolver)</w:t>
            </w:r>
          </w:p>
        </w:tc>
        <w:tc>
          <w:tcPr>
            <w:tcW w:w="880" w:type="dxa"/>
            <w:vAlign w:val="bottom"/>
            <w:gridSpan w:val="2"/>
          </w:tcPr>
          <w:p>
            <w:pPr>
              <w:jc w:val="center"/>
              <w:ind w:left="106"/>
              <w:spacing w:after="0" w:line="95" w:lineRule="exact"/>
              <w:rPr>
                <w:sz w:val="20"/>
                <w:szCs w:val="20"/>
                <w:color w:val="auto"/>
              </w:rPr>
            </w:pPr>
            <w:r>
              <w:rPr>
                <w:rFonts w:ascii="Times New Roman" w:cs="Times New Roman" w:eastAsia="Times New Roman" w:hAnsi="Times New Roman"/>
                <w:sz w:val="10"/>
                <w:szCs w:val="10"/>
                <w:color w:val="auto"/>
              </w:rPr>
              <w:t>12/20/2024</w:t>
            </w:r>
          </w:p>
        </w:tc>
        <w:tc>
          <w:tcPr>
            <w:tcW w:w="160" w:type="dxa"/>
            <w:vAlign w:val="bottom"/>
          </w:tcPr>
          <w:p>
            <w:pPr>
              <w:spacing w:after="0"/>
              <w:rPr>
                <w:sz w:val="8"/>
                <w:szCs w:val="8"/>
                <w:color w:val="auto"/>
              </w:rPr>
            </w:pPr>
          </w:p>
        </w:tc>
        <w:tc>
          <w:tcPr>
            <w:tcW w:w="2000" w:type="dxa"/>
            <w:vAlign w:val="bottom"/>
          </w:tcPr>
          <w:p>
            <w:pPr>
              <w:jc w:val="center"/>
              <w:spacing w:after="0" w:line="95" w:lineRule="exact"/>
              <w:rPr>
                <w:sz w:val="20"/>
                <w:szCs w:val="20"/>
                <w:color w:val="auto"/>
              </w:rPr>
            </w:pPr>
            <w:r>
              <w:rPr>
                <w:rFonts w:ascii="Times New Roman" w:cs="Times New Roman" w:eastAsia="Times New Roman" w:hAnsi="Times New Roman"/>
                <w:sz w:val="10"/>
                <w:szCs w:val="10"/>
                <w:color w:val="auto"/>
              </w:rPr>
              <w:t>Electronic Equipment, Instruments, and</w:t>
            </w:r>
          </w:p>
        </w:tc>
        <w:tc>
          <w:tcPr>
            <w:tcW w:w="1260" w:type="dxa"/>
            <w:vAlign w:val="bottom"/>
            <w:gridSpan w:val="3"/>
          </w:tcPr>
          <w:p>
            <w:pPr>
              <w:jc w:val="right"/>
              <w:ind w:right="106"/>
              <w:spacing w:after="0" w:line="95" w:lineRule="exact"/>
              <w:rPr>
                <w:sz w:val="20"/>
                <w:szCs w:val="20"/>
                <w:color w:val="auto"/>
              </w:rPr>
            </w:pPr>
            <w:r>
              <w:rPr>
                <w:rFonts w:ascii="Times New Roman" w:cs="Times New Roman" w:eastAsia="Times New Roman" w:hAnsi="Times New Roman"/>
                <w:sz w:val="10"/>
                <w:szCs w:val="10"/>
                <w:color w:val="auto"/>
              </w:rPr>
              <w:t>8.28 %</w:t>
            </w:r>
          </w:p>
        </w:tc>
        <w:tc>
          <w:tcPr>
            <w:tcW w:w="860" w:type="dxa"/>
            <w:vAlign w:val="bottom"/>
          </w:tcPr>
          <w:p>
            <w:pPr>
              <w:jc w:val="right"/>
              <w:spacing w:after="0" w:line="95" w:lineRule="exact"/>
              <w:rPr>
                <w:sz w:val="20"/>
                <w:szCs w:val="20"/>
                <w:color w:val="auto"/>
              </w:rPr>
            </w:pPr>
            <w:r>
              <w:rPr>
                <w:rFonts w:ascii="Times New Roman" w:cs="Times New Roman" w:eastAsia="Times New Roman" w:hAnsi="Times New Roman"/>
                <w:sz w:val="10"/>
                <w:szCs w:val="10"/>
                <w:color w:val="auto"/>
              </w:rPr>
              <w:t>1M L+550</w:t>
            </w:r>
          </w:p>
        </w:tc>
        <w:tc>
          <w:tcPr>
            <w:tcW w:w="1080" w:type="dxa"/>
            <w:vAlign w:val="bottom"/>
            <w:gridSpan w:val="2"/>
          </w:tcPr>
          <w:p>
            <w:pPr>
              <w:jc w:val="right"/>
              <w:spacing w:after="0" w:line="95" w:lineRule="exact"/>
              <w:rPr>
                <w:sz w:val="20"/>
                <w:szCs w:val="20"/>
                <w:color w:val="auto"/>
              </w:rPr>
            </w:pPr>
            <w:r>
              <w:rPr>
                <w:rFonts w:ascii="Times New Roman" w:cs="Times New Roman" w:eastAsia="Times New Roman" w:hAnsi="Times New Roman"/>
                <w:sz w:val="10"/>
                <w:szCs w:val="10"/>
                <w:color w:val="auto"/>
              </w:rPr>
              <w:t>1,048</w:t>
            </w: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tcPr>
          <w:p>
            <w:pPr>
              <w:jc w:val="right"/>
              <w:spacing w:after="0" w:line="95" w:lineRule="exact"/>
              <w:rPr>
                <w:sz w:val="20"/>
                <w:szCs w:val="20"/>
                <w:color w:val="auto"/>
              </w:rPr>
            </w:pPr>
            <w:r>
              <w:rPr>
                <w:rFonts w:ascii="Times New Roman" w:cs="Times New Roman" w:eastAsia="Times New Roman" w:hAnsi="Times New Roman"/>
                <w:sz w:val="10"/>
                <w:szCs w:val="10"/>
                <w:color w:val="auto"/>
              </w:rPr>
              <w:t>1,048</w:t>
            </w: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jc w:val="right"/>
              <w:spacing w:after="0" w:line="95" w:lineRule="exact"/>
              <w:rPr>
                <w:sz w:val="20"/>
                <w:szCs w:val="20"/>
                <w:color w:val="auto"/>
              </w:rPr>
            </w:pPr>
            <w:r>
              <w:rPr>
                <w:rFonts w:ascii="Times New Roman" w:cs="Times New Roman" w:eastAsia="Times New Roman" w:hAnsi="Times New Roman"/>
                <w:sz w:val="10"/>
                <w:szCs w:val="10"/>
                <w:color w:val="auto"/>
              </w:rPr>
              <w:t>1,037</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0"/>
        </w:trPr>
        <w:tc>
          <w:tcPr>
            <w:tcW w:w="2900" w:type="dxa"/>
            <w:vAlign w:val="bottom"/>
            <w:vMerge w:val="restart"/>
          </w:tcPr>
          <w:p>
            <w:pPr>
              <w:ind w:left="20"/>
              <w:spacing w:after="0"/>
              <w:rPr>
                <w:sz w:val="20"/>
                <w:szCs w:val="20"/>
                <w:color w:val="auto"/>
              </w:rPr>
            </w:pPr>
            <w:r>
              <w:rPr>
                <w:rFonts w:ascii="Times New Roman" w:cs="Times New Roman" w:eastAsia="Times New Roman" w:hAnsi="Times New Roman"/>
                <w:sz w:val="11"/>
                <w:szCs w:val="11"/>
                <w:color w:val="auto"/>
              </w:rPr>
              <w:t xml:space="preserve">Sargent &amp; Greenleaf Inc. (Revolver) </w:t>
            </w:r>
            <w:r>
              <w:rPr>
                <w:rFonts w:ascii="Times New Roman" w:cs="Times New Roman" w:eastAsia="Times New Roman" w:hAnsi="Times New Roman"/>
                <w:sz w:val="14"/>
                <w:szCs w:val="14"/>
                <w:color w:val="auto"/>
                <w:vertAlign w:val="superscript"/>
              </w:rPr>
              <w:t>(9)</w:t>
            </w: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Components</w:t>
            </w: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6"/>
        </w:trPr>
        <w:tc>
          <w:tcPr>
            <w:tcW w:w="2900" w:type="dxa"/>
            <w:vAlign w:val="bottom"/>
            <w:vMerge w:val="continue"/>
          </w:tcPr>
          <w:p>
            <w:pPr>
              <w:spacing w:after="0"/>
              <w:rPr>
                <w:sz w:val="10"/>
                <w:szCs w:val="10"/>
                <w:color w:val="auto"/>
              </w:rPr>
            </w:pPr>
          </w:p>
        </w:tc>
        <w:tc>
          <w:tcPr>
            <w:tcW w:w="880" w:type="dxa"/>
            <w:vAlign w:val="bottom"/>
            <w:gridSpan w:val="2"/>
          </w:tcPr>
          <w:p>
            <w:pPr>
              <w:jc w:val="center"/>
              <w:ind w:left="106"/>
              <w:spacing w:after="0" w:line="116" w:lineRule="exact"/>
              <w:rPr>
                <w:sz w:val="20"/>
                <w:szCs w:val="20"/>
                <w:color w:val="auto"/>
              </w:rPr>
            </w:pPr>
            <w:r>
              <w:rPr>
                <w:rFonts w:ascii="Times New Roman" w:cs="Times New Roman" w:eastAsia="Times New Roman" w:hAnsi="Times New Roman"/>
                <w:sz w:val="11"/>
                <w:szCs w:val="11"/>
                <w:color w:val="auto"/>
                <w:w w:val="95"/>
              </w:rPr>
              <w:t>12/20/2024</w:t>
            </w:r>
          </w:p>
        </w:tc>
        <w:tc>
          <w:tcPr>
            <w:tcW w:w="160" w:type="dxa"/>
            <w:vAlign w:val="bottom"/>
          </w:tcPr>
          <w:p>
            <w:pPr>
              <w:spacing w:after="0"/>
              <w:rPr>
                <w:sz w:val="10"/>
                <w:szCs w:val="10"/>
                <w:color w:val="auto"/>
              </w:rPr>
            </w:pPr>
          </w:p>
        </w:tc>
        <w:tc>
          <w:tcPr>
            <w:tcW w:w="2000" w:type="dxa"/>
            <w:vAlign w:val="bottom"/>
          </w:tcPr>
          <w:p>
            <w:pPr>
              <w:jc w:val="center"/>
              <w:spacing w:after="0" w:line="116" w:lineRule="exact"/>
              <w:rPr>
                <w:sz w:val="20"/>
                <w:szCs w:val="20"/>
                <w:color w:val="auto"/>
              </w:rPr>
            </w:pPr>
            <w:r>
              <w:rPr>
                <w:rFonts w:ascii="Times New Roman" w:cs="Times New Roman" w:eastAsia="Times New Roman" w:hAnsi="Times New Roman"/>
                <w:sz w:val="11"/>
                <w:szCs w:val="11"/>
                <w:color w:val="auto"/>
                <w:w w:val="98"/>
              </w:rPr>
              <w:t>Electronic Equipment, Instruments, and</w:t>
            </w:r>
          </w:p>
        </w:tc>
        <w:tc>
          <w:tcPr>
            <w:tcW w:w="120" w:type="dxa"/>
            <w:vAlign w:val="bottom"/>
          </w:tcPr>
          <w:p>
            <w:pPr>
              <w:spacing w:after="0"/>
              <w:rPr>
                <w:sz w:val="10"/>
                <w:szCs w:val="10"/>
                <w:color w:val="auto"/>
              </w:rPr>
            </w:pPr>
          </w:p>
        </w:tc>
        <w:tc>
          <w:tcPr>
            <w:tcW w:w="1140" w:type="dxa"/>
            <w:vAlign w:val="bottom"/>
            <w:gridSpan w:val="2"/>
          </w:tcPr>
          <w:p>
            <w:pPr>
              <w:jc w:val="right"/>
              <w:ind w:right="226"/>
              <w:spacing w:after="0" w:line="116" w:lineRule="exact"/>
              <w:rPr>
                <w:sz w:val="20"/>
                <w:szCs w:val="20"/>
                <w:color w:val="auto"/>
              </w:rPr>
            </w:pPr>
            <w:r>
              <w:rPr>
                <w:rFonts w:ascii="Times New Roman" w:cs="Times New Roman" w:eastAsia="Times New Roman" w:hAnsi="Times New Roman"/>
                <w:sz w:val="11"/>
                <w:szCs w:val="11"/>
                <w:color w:val="auto"/>
              </w:rPr>
              <w:t>—</w:t>
            </w:r>
          </w:p>
        </w:tc>
        <w:tc>
          <w:tcPr>
            <w:tcW w:w="860" w:type="dxa"/>
            <w:vAlign w:val="bottom"/>
          </w:tcPr>
          <w:p>
            <w:pPr>
              <w:jc w:val="right"/>
              <w:spacing w:after="0" w:line="116" w:lineRule="exact"/>
              <w:rPr>
                <w:sz w:val="20"/>
                <w:szCs w:val="20"/>
                <w:color w:val="auto"/>
              </w:rPr>
            </w:pPr>
            <w:r>
              <w:rPr>
                <w:rFonts w:ascii="Times New Roman" w:cs="Times New Roman" w:eastAsia="Times New Roman" w:hAnsi="Times New Roman"/>
                <w:sz w:val="11"/>
                <w:szCs w:val="11"/>
                <w:color w:val="auto"/>
              </w:rPr>
              <w:t>—</w:t>
            </w:r>
          </w:p>
        </w:tc>
        <w:tc>
          <w:tcPr>
            <w:tcW w:w="1080" w:type="dxa"/>
            <w:vAlign w:val="bottom"/>
            <w:gridSpan w:val="2"/>
          </w:tcPr>
          <w:p>
            <w:pPr>
              <w:jc w:val="right"/>
              <w:spacing w:after="0" w:line="116" w:lineRule="exact"/>
              <w:rPr>
                <w:sz w:val="20"/>
                <w:szCs w:val="20"/>
                <w:color w:val="auto"/>
              </w:rPr>
            </w:pPr>
            <w:r>
              <w:rPr>
                <w:rFonts w:ascii="Times New Roman" w:cs="Times New Roman" w:eastAsia="Times New Roman" w:hAnsi="Times New Roman"/>
                <w:sz w:val="11"/>
                <w:szCs w:val="11"/>
                <w:color w:val="auto"/>
              </w:rPr>
              <w:t>9</w:t>
            </w: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Pr>
          <w:p>
            <w:pPr>
              <w:jc w:val="right"/>
              <w:spacing w:after="0" w:line="116" w:lineRule="exact"/>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gridSpan w:val="2"/>
          </w:tcPr>
          <w:p>
            <w:pPr>
              <w:jc w:val="right"/>
              <w:ind w:right="120"/>
              <w:spacing w:after="0" w:line="116"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40"/>
        </w:trPr>
        <w:tc>
          <w:tcPr>
            <w:tcW w:w="2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Components</w:t>
            </w: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9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Schlesinger Global, Inc.</w:t>
            </w:r>
          </w:p>
        </w:tc>
        <w:tc>
          <w:tcPr>
            <w:tcW w:w="880" w:type="dxa"/>
            <w:vAlign w:val="bottom"/>
            <w:gridSpan w:val="2"/>
          </w:tcPr>
          <w:p>
            <w:pPr>
              <w:jc w:val="center"/>
              <w:ind w:left="106"/>
              <w:spacing w:after="0"/>
              <w:rPr>
                <w:sz w:val="20"/>
                <w:szCs w:val="20"/>
                <w:color w:val="auto"/>
              </w:rPr>
            </w:pPr>
            <w:r>
              <w:rPr>
                <w:rFonts w:ascii="Times New Roman" w:cs="Times New Roman" w:eastAsia="Times New Roman" w:hAnsi="Times New Roman"/>
                <w:sz w:val="11"/>
                <w:szCs w:val="11"/>
                <w:color w:val="auto"/>
                <w:w w:val="95"/>
              </w:rPr>
              <w:t>07/14/2025</w:t>
            </w:r>
          </w:p>
        </w:tc>
        <w:tc>
          <w:tcPr>
            <w:tcW w:w="160" w:type="dxa"/>
            <w:vAlign w:val="bottom"/>
          </w:tcPr>
          <w:p>
            <w:pPr>
              <w:spacing w:after="0"/>
              <w:rPr>
                <w:sz w:val="12"/>
                <w:szCs w:val="12"/>
                <w:color w:val="auto"/>
              </w:rPr>
            </w:pPr>
          </w:p>
        </w:tc>
        <w:tc>
          <w:tcPr>
            <w:tcW w:w="20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Professional Services</w:t>
            </w:r>
          </w:p>
        </w:tc>
        <w:tc>
          <w:tcPr>
            <w:tcW w:w="1260" w:type="dxa"/>
            <w:vAlign w:val="bottom"/>
            <w:gridSpan w:val="3"/>
          </w:tcPr>
          <w:p>
            <w:pPr>
              <w:jc w:val="right"/>
              <w:ind w:right="106"/>
              <w:spacing w:after="0"/>
              <w:rPr>
                <w:sz w:val="20"/>
                <w:szCs w:val="20"/>
                <w:color w:val="auto"/>
              </w:rPr>
            </w:pPr>
            <w:r>
              <w:rPr>
                <w:rFonts w:ascii="Times New Roman" w:cs="Times New Roman" w:eastAsia="Times New Roman" w:hAnsi="Times New Roman"/>
                <w:sz w:val="11"/>
                <w:szCs w:val="11"/>
                <w:color w:val="auto"/>
              </w:rPr>
              <w:t>10.27 %</w:t>
            </w: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SOFR + 700</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14,560</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14,467</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14,196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2900" w:type="dxa"/>
            <w:vAlign w:val="bottom"/>
          </w:tcPr>
          <w:p>
            <w:pPr>
              <w:ind w:left="20"/>
              <w:spacing w:after="0" w:line="117" w:lineRule="exact"/>
              <w:rPr>
                <w:sz w:val="20"/>
                <w:szCs w:val="20"/>
                <w:color w:val="auto"/>
              </w:rPr>
            </w:pPr>
            <w:r>
              <w:rPr>
                <w:rFonts w:ascii="Times New Roman" w:cs="Times New Roman" w:eastAsia="Times New Roman" w:hAnsi="Times New Roman"/>
                <w:sz w:val="11"/>
                <w:szCs w:val="11"/>
                <w:color w:val="auto"/>
              </w:rPr>
              <w:t>Schlesinger Global, Inc. (Revolver)</w:t>
            </w:r>
          </w:p>
        </w:tc>
        <w:tc>
          <w:tcPr>
            <w:tcW w:w="880" w:type="dxa"/>
            <w:vAlign w:val="bottom"/>
            <w:gridSpan w:val="2"/>
          </w:tcPr>
          <w:p>
            <w:pPr>
              <w:jc w:val="center"/>
              <w:ind w:left="106"/>
              <w:spacing w:after="0" w:line="117" w:lineRule="exact"/>
              <w:rPr>
                <w:sz w:val="20"/>
                <w:szCs w:val="20"/>
                <w:color w:val="auto"/>
              </w:rPr>
            </w:pPr>
            <w:r>
              <w:rPr>
                <w:rFonts w:ascii="Times New Roman" w:cs="Times New Roman" w:eastAsia="Times New Roman" w:hAnsi="Times New Roman"/>
                <w:sz w:val="11"/>
                <w:szCs w:val="11"/>
                <w:color w:val="auto"/>
                <w:w w:val="95"/>
              </w:rPr>
              <w:t>07/14/2025</w:t>
            </w:r>
          </w:p>
        </w:tc>
        <w:tc>
          <w:tcPr>
            <w:tcW w:w="160" w:type="dxa"/>
            <w:vAlign w:val="bottom"/>
          </w:tcPr>
          <w:p>
            <w:pPr>
              <w:spacing w:after="0"/>
              <w:rPr>
                <w:sz w:val="10"/>
                <w:szCs w:val="10"/>
                <w:color w:val="auto"/>
              </w:rPr>
            </w:pPr>
          </w:p>
        </w:tc>
        <w:tc>
          <w:tcPr>
            <w:tcW w:w="200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color w:val="auto"/>
                <w:w w:val="97"/>
              </w:rPr>
              <w:t>Professional Services</w:t>
            </w:r>
          </w:p>
        </w:tc>
        <w:tc>
          <w:tcPr>
            <w:tcW w:w="1260" w:type="dxa"/>
            <w:vAlign w:val="bottom"/>
            <w:gridSpan w:val="3"/>
          </w:tcPr>
          <w:p>
            <w:pPr>
              <w:jc w:val="right"/>
              <w:ind w:right="106"/>
              <w:spacing w:after="0" w:line="117" w:lineRule="exact"/>
              <w:rPr>
                <w:sz w:val="20"/>
                <w:szCs w:val="20"/>
                <w:color w:val="auto"/>
              </w:rPr>
            </w:pPr>
            <w:r>
              <w:rPr>
                <w:rFonts w:ascii="Times New Roman" w:cs="Times New Roman" w:eastAsia="Times New Roman" w:hAnsi="Times New Roman"/>
                <w:sz w:val="11"/>
                <w:szCs w:val="11"/>
                <w:color w:val="auto"/>
              </w:rPr>
              <w:t>10.14 %</w:t>
            </w:r>
          </w:p>
        </w:tc>
        <w:tc>
          <w:tcPr>
            <w:tcW w:w="86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1M L+600</w:t>
            </w:r>
          </w:p>
        </w:tc>
        <w:tc>
          <w:tcPr>
            <w:tcW w:w="108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1"/>
                <w:szCs w:val="11"/>
                <w:color w:val="auto"/>
              </w:rPr>
              <w:t>1,487</w:t>
            </w: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1,487</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1,450</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9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 xml:space="preserve">Schlesinger Global, Inc. (Revolver) </w:t>
            </w:r>
            <w:r>
              <w:rPr>
                <w:rFonts w:ascii="Times New Roman" w:cs="Times New Roman" w:eastAsia="Times New Roman" w:hAnsi="Times New Roman"/>
                <w:sz w:val="14"/>
                <w:szCs w:val="14"/>
                <w:color w:val="auto"/>
                <w:vertAlign w:val="superscript"/>
              </w:rPr>
              <w:t>(7), (9)</w:t>
            </w:r>
          </w:p>
        </w:tc>
        <w:tc>
          <w:tcPr>
            <w:tcW w:w="880" w:type="dxa"/>
            <w:vAlign w:val="bottom"/>
            <w:gridSpan w:val="2"/>
          </w:tcPr>
          <w:p>
            <w:pPr>
              <w:jc w:val="center"/>
              <w:ind w:left="106"/>
              <w:spacing w:after="0"/>
              <w:rPr>
                <w:sz w:val="20"/>
                <w:szCs w:val="20"/>
                <w:color w:val="auto"/>
              </w:rPr>
            </w:pPr>
            <w:r>
              <w:rPr>
                <w:rFonts w:ascii="Times New Roman" w:cs="Times New Roman" w:eastAsia="Times New Roman" w:hAnsi="Times New Roman"/>
                <w:sz w:val="11"/>
                <w:szCs w:val="11"/>
                <w:color w:val="auto"/>
                <w:w w:val="95"/>
              </w:rPr>
              <w:t>07/14/2025</w:t>
            </w:r>
          </w:p>
        </w:tc>
        <w:tc>
          <w:tcPr>
            <w:tcW w:w="160" w:type="dxa"/>
            <w:vAlign w:val="bottom"/>
          </w:tcPr>
          <w:p>
            <w:pPr>
              <w:spacing w:after="0"/>
              <w:rPr>
                <w:sz w:val="14"/>
                <w:szCs w:val="14"/>
                <w:color w:val="auto"/>
              </w:rPr>
            </w:pPr>
          </w:p>
        </w:tc>
        <w:tc>
          <w:tcPr>
            <w:tcW w:w="20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Professional Services</w:t>
            </w:r>
          </w:p>
        </w:tc>
        <w:tc>
          <w:tcPr>
            <w:tcW w:w="120" w:type="dxa"/>
            <w:vAlign w:val="bottom"/>
          </w:tcPr>
          <w:p>
            <w:pPr>
              <w:spacing w:after="0"/>
              <w:rPr>
                <w:sz w:val="14"/>
                <w:szCs w:val="14"/>
                <w:color w:val="auto"/>
              </w:rPr>
            </w:pPr>
          </w:p>
        </w:tc>
        <w:tc>
          <w:tcPr>
            <w:tcW w:w="1140" w:type="dxa"/>
            <w:vAlign w:val="bottom"/>
            <w:gridSpan w:val="2"/>
          </w:tcPr>
          <w:p>
            <w:pPr>
              <w:jc w:val="right"/>
              <w:ind w:right="226"/>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385</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(10 )</w:t>
            </w:r>
          </w:p>
        </w:tc>
        <w:tc>
          <w:tcPr>
            <w:tcW w:w="0" w:type="dxa"/>
            <w:vAlign w:val="bottom"/>
          </w:tcPr>
          <w:p>
            <w:pPr>
              <w:spacing w:after="0"/>
              <w:rPr>
                <w:sz w:val="1"/>
                <w:szCs w:val="1"/>
                <w:color w:val="auto"/>
              </w:rPr>
            </w:pPr>
          </w:p>
        </w:tc>
      </w:tr>
      <w:tr>
        <w:trPr>
          <w:trHeight w:val="135"/>
        </w:trPr>
        <w:tc>
          <w:tcPr>
            <w:tcW w:w="29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Seaway Buyer, LLC</w:t>
            </w:r>
          </w:p>
        </w:tc>
        <w:tc>
          <w:tcPr>
            <w:tcW w:w="880" w:type="dxa"/>
            <w:vAlign w:val="bottom"/>
            <w:gridSpan w:val="2"/>
            <w:shd w:val="clear" w:color="auto" w:fill="CCECFF"/>
          </w:tcPr>
          <w:p>
            <w:pPr>
              <w:jc w:val="center"/>
              <w:ind w:left="106"/>
              <w:spacing w:after="0"/>
              <w:rPr>
                <w:sz w:val="20"/>
                <w:szCs w:val="20"/>
                <w:color w:val="auto"/>
              </w:rPr>
            </w:pPr>
            <w:r>
              <w:rPr>
                <w:rFonts w:ascii="Times New Roman" w:cs="Times New Roman" w:eastAsia="Times New Roman" w:hAnsi="Times New Roman"/>
                <w:sz w:val="11"/>
                <w:szCs w:val="11"/>
                <w:color w:val="auto"/>
                <w:w w:val="95"/>
              </w:rPr>
              <w:t>06/13/2029</w:t>
            </w:r>
          </w:p>
        </w:tc>
        <w:tc>
          <w:tcPr>
            <w:tcW w:w="160" w:type="dxa"/>
            <w:vAlign w:val="bottom"/>
            <w:shd w:val="clear" w:color="auto" w:fill="CCECFF"/>
          </w:tcPr>
          <w:p>
            <w:pPr>
              <w:spacing w:after="0"/>
              <w:rPr>
                <w:sz w:val="11"/>
                <w:szCs w:val="11"/>
                <w:color w:val="auto"/>
              </w:rPr>
            </w:pPr>
          </w:p>
        </w:tc>
        <w:tc>
          <w:tcPr>
            <w:tcW w:w="20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Chemicals, Plastics and Rubber</w:t>
            </w:r>
          </w:p>
        </w:tc>
        <w:tc>
          <w:tcPr>
            <w:tcW w:w="1260" w:type="dxa"/>
            <w:vAlign w:val="bottom"/>
            <w:gridSpan w:val="3"/>
            <w:shd w:val="clear" w:color="auto" w:fill="CCECFF"/>
          </w:tcPr>
          <w:p>
            <w:pPr>
              <w:jc w:val="right"/>
              <w:ind w:right="106"/>
              <w:spacing w:after="0"/>
              <w:rPr>
                <w:sz w:val="20"/>
                <w:szCs w:val="20"/>
                <w:color w:val="auto"/>
              </w:rPr>
            </w:pPr>
            <w:r>
              <w:rPr>
                <w:rFonts w:ascii="Times New Roman" w:cs="Times New Roman" w:eastAsia="Times New Roman" w:hAnsi="Times New Roman"/>
                <w:sz w:val="11"/>
                <w:szCs w:val="11"/>
                <w:color w:val="auto"/>
              </w:rPr>
              <w:t>9.41 %</w:t>
            </w:r>
          </w:p>
        </w:tc>
        <w:tc>
          <w:tcPr>
            <w:tcW w:w="8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L+575</w:t>
            </w:r>
          </w:p>
        </w:tc>
        <w:tc>
          <w:tcPr>
            <w:tcW w:w="108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6,940</w:t>
            </w:r>
          </w:p>
        </w:tc>
        <w:tc>
          <w:tcPr>
            <w:tcW w:w="22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6,836</w:t>
            </w:r>
          </w:p>
        </w:tc>
        <w:tc>
          <w:tcPr>
            <w:tcW w:w="20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7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6,836</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03"/>
        </w:trPr>
        <w:tc>
          <w:tcPr>
            <w:tcW w:w="2900" w:type="dxa"/>
            <w:vAlign w:val="bottom"/>
          </w:tcPr>
          <w:p>
            <w:pPr>
              <w:ind w:left="20"/>
              <w:spacing w:after="0" w:line="103" w:lineRule="exact"/>
              <w:rPr>
                <w:sz w:val="20"/>
                <w:szCs w:val="20"/>
                <w:color w:val="auto"/>
              </w:rPr>
            </w:pPr>
            <w:r>
              <w:rPr>
                <w:rFonts w:ascii="Times New Roman" w:cs="Times New Roman" w:eastAsia="Times New Roman" w:hAnsi="Times New Roman"/>
                <w:sz w:val="11"/>
                <w:szCs w:val="11"/>
                <w:color w:val="auto"/>
              </w:rPr>
              <w:t>Sigma Defense Systems, LLC</w:t>
            </w:r>
          </w:p>
        </w:tc>
        <w:tc>
          <w:tcPr>
            <w:tcW w:w="880" w:type="dxa"/>
            <w:vAlign w:val="bottom"/>
            <w:gridSpan w:val="2"/>
          </w:tcPr>
          <w:p>
            <w:pPr>
              <w:jc w:val="center"/>
              <w:ind w:left="106"/>
              <w:spacing w:after="0" w:line="103" w:lineRule="exact"/>
              <w:rPr>
                <w:sz w:val="20"/>
                <w:szCs w:val="20"/>
                <w:color w:val="auto"/>
              </w:rPr>
            </w:pPr>
            <w:r>
              <w:rPr>
                <w:rFonts w:ascii="Times New Roman" w:cs="Times New Roman" w:eastAsia="Times New Roman" w:hAnsi="Times New Roman"/>
                <w:sz w:val="11"/>
                <w:szCs w:val="11"/>
                <w:color w:val="auto"/>
                <w:w w:val="95"/>
              </w:rPr>
              <w:t>12/18/2025</w:t>
            </w:r>
          </w:p>
        </w:tc>
        <w:tc>
          <w:tcPr>
            <w:tcW w:w="160" w:type="dxa"/>
            <w:vAlign w:val="bottom"/>
          </w:tcPr>
          <w:p>
            <w:pPr>
              <w:spacing w:after="0"/>
              <w:rPr>
                <w:sz w:val="8"/>
                <w:szCs w:val="8"/>
                <w:color w:val="auto"/>
              </w:rPr>
            </w:pPr>
          </w:p>
        </w:tc>
        <w:tc>
          <w:tcPr>
            <w:tcW w:w="2000" w:type="dxa"/>
            <w:vAlign w:val="bottom"/>
          </w:tcPr>
          <w:p>
            <w:pPr>
              <w:jc w:val="center"/>
              <w:spacing w:after="0" w:line="103" w:lineRule="exact"/>
              <w:rPr>
                <w:sz w:val="20"/>
                <w:szCs w:val="20"/>
                <w:color w:val="auto"/>
              </w:rPr>
            </w:pPr>
            <w:r>
              <w:rPr>
                <w:rFonts w:ascii="Times New Roman" w:cs="Times New Roman" w:eastAsia="Times New Roman" w:hAnsi="Times New Roman"/>
                <w:sz w:val="11"/>
                <w:szCs w:val="11"/>
                <w:color w:val="auto"/>
                <w:w w:val="95"/>
              </w:rPr>
              <w:t>IT Services</w:t>
            </w:r>
          </w:p>
        </w:tc>
        <w:tc>
          <w:tcPr>
            <w:tcW w:w="1260" w:type="dxa"/>
            <w:vAlign w:val="bottom"/>
            <w:gridSpan w:val="3"/>
          </w:tcPr>
          <w:p>
            <w:pPr>
              <w:jc w:val="right"/>
              <w:ind w:right="106"/>
              <w:spacing w:after="0" w:line="103" w:lineRule="exact"/>
              <w:rPr>
                <w:sz w:val="20"/>
                <w:szCs w:val="20"/>
                <w:color w:val="auto"/>
              </w:rPr>
            </w:pPr>
            <w:r>
              <w:rPr>
                <w:rFonts w:ascii="Times New Roman" w:cs="Times New Roman" w:eastAsia="Times New Roman" w:hAnsi="Times New Roman"/>
                <w:sz w:val="11"/>
                <w:szCs w:val="11"/>
                <w:color w:val="auto"/>
              </w:rPr>
              <w:t>12.17 %</w:t>
            </w:r>
          </w:p>
        </w:tc>
        <w:tc>
          <w:tcPr>
            <w:tcW w:w="860" w:type="dxa"/>
            <w:vAlign w:val="bottom"/>
          </w:tcPr>
          <w:p>
            <w:pPr>
              <w:jc w:val="right"/>
              <w:spacing w:after="0" w:line="103" w:lineRule="exact"/>
              <w:rPr>
                <w:sz w:val="20"/>
                <w:szCs w:val="20"/>
                <w:color w:val="auto"/>
              </w:rPr>
            </w:pPr>
            <w:r>
              <w:rPr>
                <w:rFonts w:ascii="Times New Roman" w:cs="Times New Roman" w:eastAsia="Times New Roman" w:hAnsi="Times New Roman"/>
                <w:sz w:val="11"/>
                <w:szCs w:val="11"/>
                <w:color w:val="auto"/>
              </w:rPr>
              <w:t>3M L+850</w:t>
            </w:r>
          </w:p>
        </w:tc>
        <w:tc>
          <w:tcPr>
            <w:tcW w:w="1080" w:type="dxa"/>
            <w:vAlign w:val="bottom"/>
            <w:gridSpan w:val="2"/>
          </w:tcPr>
          <w:p>
            <w:pPr>
              <w:jc w:val="right"/>
              <w:spacing w:after="0" w:line="103" w:lineRule="exact"/>
              <w:rPr>
                <w:sz w:val="20"/>
                <w:szCs w:val="20"/>
                <w:color w:val="auto"/>
              </w:rPr>
            </w:pPr>
            <w:r>
              <w:rPr>
                <w:rFonts w:ascii="Times New Roman" w:cs="Times New Roman" w:eastAsia="Times New Roman" w:hAnsi="Times New Roman"/>
                <w:sz w:val="11"/>
                <w:szCs w:val="11"/>
                <w:color w:val="auto"/>
              </w:rPr>
              <w:t>10,969</w:t>
            </w: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tcPr>
          <w:p>
            <w:pPr>
              <w:jc w:val="right"/>
              <w:spacing w:after="0" w:line="103" w:lineRule="exact"/>
              <w:rPr>
                <w:sz w:val="20"/>
                <w:szCs w:val="20"/>
                <w:color w:val="auto"/>
              </w:rPr>
            </w:pPr>
            <w:r>
              <w:rPr>
                <w:rFonts w:ascii="Times New Roman" w:cs="Times New Roman" w:eastAsia="Times New Roman" w:hAnsi="Times New Roman"/>
                <w:sz w:val="11"/>
                <w:szCs w:val="11"/>
                <w:color w:val="auto"/>
              </w:rPr>
              <w:t>10,742</w:t>
            </w: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jc w:val="right"/>
              <w:spacing w:after="0" w:line="103" w:lineRule="exact"/>
              <w:rPr>
                <w:sz w:val="20"/>
                <w:szCs w:val="20"/>
                <w:color w:val="auto"/>
              </w:rPr>
            </w:pPr>
            <w:r>
              <w:rPr>
                <w:rFonts w:ascii="Times New Roman" w:cs="Times New Roman" w:eastAsia="Times New Roman" w:hAnsi="Times New Roman"/>
                <w:sz w:val="11"/>
                <w:szCs w:val="11"/>
                <w:color w:val="auto"/>
              </w:rPr>
              <w:t>10,750</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290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Sigma Defense Systems, LLC (Revolver) </w:t>
            </w:r>
            <w:r>
              <w:rPr>
                <w:rFonts w:ascii="Times New Roman" w:cs="Times New Roman" w:eastAsia="Times New Roman" w:hAnsi="Times New Roman"/>
                <w:sz w:val="14"/>
                <w:szCs w:val="14"/>
                <w:color w:val="auto"/>
                <w:vertAlign w:val="superscript"/>
              </w:rPr>
              <w:t>(7)</w:t>
            </w:r>
          </w:p>
        </w:tc>
        <w:tc>
          <w:tcPr>
            <w:tcW w:w="880" w:type="dxa"/>
            <w:vAlign w:val="bottom"/>
            <w:gridSpan w:val="2"/>
          </w:tcPr>
          <w:p>
            <w:pPr>
              <w:jc w:val="center"/>
              <w:ind w:left="106"/>
              <w:spacing w:after="0"/>
              <w:rPr>
                <w:sz w:val="20"/>
                <w:szCs w:val="20"/>
                <w:color w:val="auto"/>
              </w:rPr>
            </w:pPr>
            <w:r>
              <w:rPr>
                <w:rFonts w:ascii="Times New Roman" w:cs="Times New Roman" w:eastAsia="Times New Roman" w:hAnsi="Times New Roman"/>
                <w:sz w:val="11"/>
                <w:szCs w:val="11"/>
                <w:color w:val="auto"/>
                <w:w w:val="95"/>
              </w:rPr>
              <w:t>12/18/2025</w:t>
            </w:r>
          </w:p>
        </w:tc>
        <w:tc>
          <w:tcPr>
            <w:tcW w:w="160" w:type="dxa"/>
            <w:vAlign w:val="bottom"/>
          </w:tcPr>
          <w:p>
            <w:pPr>
              <w:spacing w:after="0"/>
              <w:rPr>
                <w:sz w:val="11"/>
                <w:szCs w:val="11"/>
                <w:color w:val="auto"/>
              </w:rPr>
            </w:pPr>
          </w:p>
        </w:tc>
        <w:tc>
          <w:tcPr>
            <w:tcW w:w="20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5"/>
              </w:rPr>
              <w:t>IT Services</w:t>
            </w:r>
          </w:p>
        </w:tc>
        <w:tc>
          <w:tcPr>
            <w:tcW w:w="1260" w:type="dxa"/>
            <w:vAlign w:val="bottom"/>
            <w:gridSpan w:val="3"/>
          </w:tcPr>
          <w:p>
            <w:pPr>
              <w:jc w:val="right"/>
              <w:ind w:right="106"/>
              <w:spacing w:after="0"/>
              <w:rPr>
                <w:sz w:val="20"/>
                <w:szCs w:val="20"/>
                <w:color w:val="auto"/>
              </w:rPr>
            </w:pPr>
            <w:r>
              <w:rPr>
                <w:rFonts w:ascii="Times New Roman" w:cs="Times New Roman" w:eastAsia="Times New Roman" w:hAnsi="Times New Roman"/>
                <w:sz w:val="11"/>
                <w:szCs w:val="11"/>
                <w:color w:val="auto"/>
              </w:rPr>
              <w:t>12.17 %</w:t>
            </w: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L+850</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996</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996</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976</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900" w:type="dxa"/>
            <w:vAlign w:val="bottom"/>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Sigma Defense Systems, LLC (Revolver) </w:t>
            </w:r>
            <w:r>
              <w:rPr>
                <w:rFonts w:ascii="Times New Roman" w:cs="Times New Roman" w:eastAsia="Times New Roman" w:hAnsi="Times New Roman"/>
                <w:sz w:val="14"/>
                <w:szCs w:val="14"/>
                <w:color w:val="auto"/>
                <w:vertAlign w:val="superscript"/>
              </w:rPr>
              <w:t>(7), (9)</w:t>
            </w:r>
          </w:p>
        </w:tc>
        <w:tc>
          <w:tcPr>
            <w:tcW w:w="880" w:type="dxa"/>
            <w:vAlign w:val="bottom"/>
            <w:gridSpan w:val="2"/>
          </w:tcPr>
          <w:p>
            <w:pPr>
              <w:jc w:val="center"/>
              <w:ind w:left="106"/>
              <w:spacing w:after="0"/>
              <w:rPr>
                <w:sz w:val="20"/>
                <w:szCs w:val="20"/>
                <w:color w:val="auto"/>
              </w:rPr>
            </w:pPr>
            <w:r>
              <w:rPr>
                <w:rFonts w:ascii="Times New Roman" w:cs="Times New Roman" w:eastAsia="Times New Roman" w:hAnsi="Times New Roman"/>
                <w:sz w:val="11"/>
                <w:szCs w:val="11"/>
                <w:color w:val="auto"/>
                <w:w w:val="95"/>
              </w:rPr>
              <w:t>12/18/2025</w:t>
            </w:r>
          </w:p>
        </w:tc>
        <w:tc>
          <w:tcPr>
            <w:tcW w:w="160" w:type="dxa"/>
            <w:vAlign w:val="bottom"/>
          </w:tcPr>
          <w:p>
            <w:pPr>
              <w:spacing w:after="0"/>
              <w:rPr>
                <w:sz w:val="13"/>
                <w:szCs w:val="13"/>
                <w:color w:val="auto"/>
              </w:rPr>
            </w:pPr>
          </w:p>
        </w:tc>
        <w:tc>
          <w:tcPr>
            <w:tcW w:w="20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5"/>
              </w:rPr>
              <w:t>IT Services</w:t>
            </w:r>
          </w:p>
        </w:tc>
        <w:tc>
          <w:tcPr>
            <w:tcW w:w="120" w:type="dxa"/>
            <w:vAlign w:val="bottom"/>
          </w:tcPr>
          <w:p>
            <w:pPr>
              <w:spacing w:after="0"/>
              <w:rPr>
                <w:sz w:val="13"/>
                <w:szCs w:val="13"/>
                <w:color w:val="auto"/>
              </w:rPr>
            </w:pPr>
          </w:p>
        </w:tc>
        <w:tc>
          <w:tcPr>
            <w:tcW w:w="1140" w:type="dxa"/>
            <w:vAlign w:val="bottom"/>
            <w:gridSpan w:val="2"/>
          </w:tcPr>
          <w:p>
            <w:pPr>
              <w:jc w:val="right"/>
              <w:ind w:right="226"/>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Pr>
          <w:p>
            <w:pPr>
              <w:spacing w:after="0"/>
              <w:rPr>
                <w:sz w:val="13"/>
                <w:szCs w:val="13"/>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1,625</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(32 )</w:t>
            </w:r>
          </w:p>
        </w:tc>
        <w:tc>
          <w:tcPr>
            <w:tcW w:w="0" w:type="dxa"/>
            <w:vAlign w:val="bottom"/>
          </w:tcPr>
          <w:p>
            <w:pPr>
              <w:spacing w:after="0"/>
              <w:rPr>
                <w:sz w:val="1"/>
                <w:szCs w:val="1"/>
                <w:color w:val="auto"/>
              </w:rPr>
            </w:pPr>
          </w:p>
        </w:tc>
      </w:tr>
      <w:tr>
        <w:trPr>
          <w:trHeight w:val="117"/>
        </w:trPr>
        <w:tc>
          <w:tcPr>
            <w:tcW w:w="2900" w:type="dxa"/>
            <w:vAlign w:val="bottom"/>
          </w:tcPr>
          <w:p>
            <w:pPr>
              <w:ind w:left="20"/>
              <w:spacing w:after="0" w:line="117" w:lineRule="exact"/>
              <w:rPr>
                <w:sz w:val="20"/>
                <w:szCs w:val="20"/>
                <w:color w:val="auto"/>
              </w:rPr>
            </w:pPr>
            <w:r>
              <w:rPr>
                <w:rFonts w:ascii="Times New Roman" w:cs="Times New Roman" w:eastAsia="Times New Roman" w:hAnsi="Times New Roman"/>
                <w:sz w:val="11"/>
                <w:szCs w:val="11"/>
                <w:color w:val="auto"/>
              </w:rPr>
              <w:t>Signature Systems Holding Company</w:t>
            </w:r>
          </w:p>
        </w:tc>
        <w:tc>
          <w:tcPr>
            <w:tcW w:w="880" w:type="dxa"/>
            <w:vAlign w:val="bottom"/>
            <w:gridSpan w:val="2"/>
          </w:tcPr>
          <w:p>
            <w:pPr>
              <w:jc w:val="center"/>
              <w:ind w:left="106"/>
              <w:spacing w:after="0" w:line="117" w:lineRule="exact"/>
              <w:rPr>
                <w:sz w:val="20"/>
                <w:szCs w:val="20"/>
                <w:color w:val="auto"/>
              </w:rPr>
            </w:pPr>
            <w:r>
              <w:rPr>
                <w:rFonts w:ascii="Times New Roman" w:cs="Times New Roman" w:eastAsia="Times New Roman" w:hAnsi="Times New Roman"/>
                <w:sz w:val="11"/>
                <w:szCs w:val="11"/>
                <w:color w:val="auto"/>
                <w:w w:val="95"/>
              </w:rPr>
              <w:t>05/03/2024</w:t>
            </w:r>
          </w:p>
        </w:tc>
        <w:tc>
          <w:tcPr>
            <w:tcW w:w="160" w:type="dxa"/>
            <w:vAlign w:val="bottom"/>
          </w:tcPr>
          <w:p>
            <w:pPr>
              <w:spacing w:after="0"/>
              <w:rPr>
                <w:sz w:val="10"/>
                <w:szCs w:val="10"/>
                <w:color w:val="auto"/>
              </w:rPr>
            </w:pPr>
          </w:p>
        </w:tc>
        <w:tc>
          <w:tcPr>
            <w:tcW w:w="200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color w:val="auto"/>
                <w:w w:val="98"/>
              </w:rPr>
              <w:t>Commercial Services &amp; Supplies</w:t>
            </w:r>
          </w:p>
        </w:tc>
        <w:tc>
          <w:tcPr>
            <w:tcW w:w="1260" w:type="dxa"/>
            <w:vAlign w:val="bottom"/>
            <w:gridSpan w:val="3"/>
          </w:tcPr>
          <w:p>
            <w:pPr>
              <w:jc w:val="right"/>
              <w:ind w:right="106"/>
              <w:spacing w:after="0" w:line="117" w:lineRule="exact"/>
              <w:rPr>
                <w:sz w:val="20"/>
                <w:szCs w:val="20"/>
                <w:color w:val="auto"/>
              </w:rPr>
            </w:pPr>
            <w:r>
              <w:rPr>
                <w:rFonts w:ascii="Times New Roman" w:cs="Times New Roman" w:eastAsia="Times New Roman" w:hAnsi="Times New Roman"/>
                <w:sz w:val="11"/>
                <w:szCs w:val="11"/>
                <w:color w:val="auto"/>
              </w:rPr>
              <w:t>10.17 %</w:t>
            </w:r>
          </w:p>
        </w:tc>
        <w:tc>
          <w:tcPr>
            <w:tcW w:w="86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1M L+650</w:t>
            </w:r>
          </w:p>
        </w:tc>
        <w:tc>
          <w:tcPr>
            <w:tcW w:w="108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1"/>
                <w:szCs w:val="11"/>
                <w:color w:val="auto"/>
              </w:rPr>
              <w:t>10,358</w:t>
            </w: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10,301</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10,280</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900" w:type="dxa"/>
            <w:vAlign w:val="bottom"/>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Signature Systems Holding Company (Revolver) </w:t>
            </w:r>
            <w:r>
              <w:rPr>
                <w:rFonts w:ascii="Times New Roman" w:cs="Times New Roman" w:eastAsia="Times New Roman" w:hAnsi="Times New Roman"/>
                <w:sz w:val="14"/>
                <w:szCs w:val="14"/>
                <w:color w:val="auto"/>
                <w:vertAlign w:val="superscript"/>
              </w:rPr>
              <w:t>(9)</w:t>
            </w:r>
          </w:p>
        </w:tc>
        <w:tc>
          <w:tcPr>
            <w:tcW w:w="880" w:type="dxa"/>
            <w:vAlign w:val="bottom"/>
            <w:gridSpan w:val="2"/>
          </w:tcPr>
          <w:p>
            <w:pPr>
              <w:jc w:val="center"/>
              <w:ind w:left="106"/>
              <w:spacing w:after="0"/>
              <w:rPr>
                <w:sz w:val="20"/>
                <w:szCs w:val="20"/>
                <w:color w:val="auto"/>
              </w:rPr>
            </w:pPr>
            <w:r>
              <w:rPr>
                <w:rFonts w:ascii="Times New Roman" w:cs="Times New Roman" w:eastAsia="Times New Roman" w:hAnsi="Times New Roman"/>
                <w:sz w:val="11"/>
                <w:szCs w:val="11"/>
                <w:color w:val="auto"/>
                <w:w w:val="95"/>
              </w:rPr>
              <w:t>05/03/2024</w:t>
            </w:r>
          </w:p>
        </w:tc>
        <w:tc>
          <w:tcPr>
            <w:tcW w:w="160" w:type="dxa"/>
            <w:vAlign w:val="bottom"/>
          </w:tcPr>
          <w:p>
            <w:pPr>
              <w:spacing w:after="0"/>
              <w:rPr>
                <w:sz w:val="13"/>
                <w:szCs w:val="13"/>
                <w:color w:val="auto"/>
              </w:rPr>
            </w:pPr>
          </w:p>
        </w:tc>
        <w:tc>
          <w:tcPr>
            <w:tcW w:w="20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Commercial Services &amp; Supplies</w:t>
            </w:r>
          </w:p>
        </w:tc>
        <w:tc>
          <w:tcPr>
            <w:tcW w:w="120" w:type="dxa"/>
            <w:vAlign w:val="bottom"/>
          </w:tcPr>
          <w:p>
            <w:pPr>
              <w:spacing w:after="0"/>
              <w:rPr>
                <w:sz w:val="13"/>
                <w:szCs w:val="13"/>
                <w:color w:val="auto"/>
              </w:rPr>
            </w:pPr>
          </w:p>
        </w:tc>
        <w:tc>
          <w:tcPr>
            <w:tcW w:w="1140" w:type="dxa"/>
            <w:vAlign w:val="bottom"/>
            <w:gridSpan w:val="2"/>
          </w:tcPr>
          <w:p>
            <w:pPr>
              <w:jc w:val="right"/>
              <w:ind w:right="226"/>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1,747</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(13 )</w:t>
            </w:r>
          </w:p>
        </w:tc>
        <w:tc>
          <w:tcPr>
            <w:tcW w:w="0" w:type="dxa"/>
            <w:vAlign w:val="bottom"/>
          </w:tcPr>
          <w:p>
            <w:pPr>
              <w:spacing w:after="0"/>
              <w:rPr>
                <w:sz w:val="1"/>
                <w:szCs w:val="1"/>
                <w:color w:val="auto"/>
              </w:rPr>
            </w:pPr>
          </w:p>
        </w:tc>
      </w:tr>
      <w:tr>
        <w:trPr>
          <w:trHeight w:val="117"/>
        </w:trPr>
        <w:tc>
          <w:tcPr>
            <w:tcW w:w="2900" w:type="dxa"/>
            <w:vAlign w:val="bottom"/>
          </w:tcPr>
          <w:p>
            <w:pPr>
              <w:ind w:left="20"/>
              <w:spacing w:after="0" w:line="117" w:lineRule="exact"/>
              <w:rPr>
                <w:sz w:val="20"/>
                <w:szCs w:val="20"/>
                <w:color w:val="auto"/>
              </w:rPr>
            </w:pPr>
            <w:r>
              <w:rPr>
                <w:rFonts w:ascii="Times New Roman" w:cs="Times New Roman" w:eastAsia="Times New Roman" w:hAnsi="Times New Roman"/>
                <w:sz w:val="11"/>
                <w:szCs w:val="11"/>
                <w:color w:val="auto"/>
              </w:rPr>
              <w:t>Smile Brands Inc.</w:t>
            </w:r>
          </w:p>
        </w:tc>
        <w:tc>
          <w:tcPr>
            <w:tcW w:w="880" w:type="dxa"/>
            <w:vAlign w:val="bottom"/>
            <w:gridSpan w:val="2"/>
          </w:tcPr>
          <w:p>
            <w:pPr>
              <w:jc w:val="center"/>
              <w:ind w:left="106"/>
              <w:spacing w:after="0" w:line="117" w:lineRule="exact"/>
              <w:rPr>
                <w:sz w:val="20"/>
                <w:szCs w:val="20"/>
                <w:color w:val="auto"/>
              </w:rPr>
            </w:pPr>
            <w:r>
              <w:rPr>
                <w:rFonts w:ascii="Times New Roman" w:cs="Times New Roman" w:eastAsia="Times New Roman" w:hAnsi="Times New Roman"/>
                <w:sz w:val="11"/>
                <w:szCs w:val="11"/>
                <w:color w:val="auto"/>
                <w:w w:val="95"/>
              </w:rPr>
              <w:t>10/14/2025</w:t>
            </w:r>
          </w:p>
        </w:tc>
        <w:tc>
          <w:tcPr>
            <w:tcW w:w="160" w:type="dxa"/>
            <w:vAlign w:val="bottom"/>
          </w:tcPr>
          <w:p>
            <w:pPr>
              <w:spacing w:after="0"/>
              <w:rPr>
                <w:sz w:val="10"/>
                <w:szCs w:val="10"/>
                <w:color w:val="auto"/>
              </w:rPr>
            </w:pPr>
          </w:p>
        </w:tc>
        <w:tc>
          <w:tcPr>
            <w:tcW w:w="200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color w:val="auto"/>
                <w:w w:val="99"/>
              </w:rPr>
              <w:t>Healthcare and Pharmaceuticals</w:t>
            </w:r>
          </w:p>
        </w:tc>
        <w:tc>
          <w:tcPr>
            <w:tcW w:w="1260" w:type="dxa"/>
            <w:vAlign w:val="bottom"/>
            <w:gridSpan w:val="3"/>
          </w:tcPr>
          <w:p>
            <w:pPr>
              <w:jc w:val="right"/>
              <w:ind w:right="106"/>
              <w:spacing w:after="0" w:line="117" w:lineRule="exact"/>
              <w:rPr>
                <w:sz w:val="20"/>
                <w:szCs w:val="20"/>
                <w:color w:val="auto"/>
              </w:rPr>
            </w:pPr>
            <w:r>
              <w:rPr>
                <w:rFonts w:ascii="Times New Roman" w:cs="Times New Roman" w:eastAsia="Times New Roman" w:hAnsi="Times New Roman"/>
                <w:sz w:val="11"/>
                <w:szCs w:val="11"/>
                <w:color w:val="auto"/>
              </w:rPr>
              <w:t>7.42 %</w:t>
            </w:r>
          </w:p>
        </w:tc>
        <w:tc>
          <w:tcPr>
            <w:tcW w:w="86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1M L+450</w:t>
            </w:r>
          </w:p>
        </w:tc>
        <w:tc>
          <w:tcPr>
            <w:tcW w:w="108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1"/>
                <w:szCs w:val="11"/>
                <w:color w:val="auto"/>
              </w:rPr>
              <w:t>2,462</w:t>
            </w: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2,462</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2,370</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90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Smile Brands Inc. (Revolver) </w:t>
            </w:r>
            <w:r>
              <w:rPr>
                <w:rFonts w:ascii="Times New Roman" w:cs="Times New Roman" w:eastAsia="Times New Roman" w:hAnsi="Times New Roman"/>
                <w:sz w:val="14"/>
                <w:szCs w:val="14"/>
                <w:color w:val="auto"/>
                <w:vertAlign w:val="superscript"/>
              </w:rPr>
              <w:t>(7), (9)</w:t>
            </w:r>
          </w:p>
        </w:tc>
        <w:tc>
          <w:tcPr>
            <w:tcW w:w="880" w:type="dxa"/>
            <w:vAlign w:val="bottom"/>
            <w:gridSpan w:val="2"/>
          </w:tcPr>
          <w:p>
            <w:pPr>
              <w:jc w:val="center"/>
              <w:ind w:left="106"/>
              <w:spacing w:after="0"/>
              <w:rPr>
                <w:sz w:val="20"/>
                <w:szCs w:val="20"/>
                <w:color w:val="auto"/>
              </w:rPr>
            </w:pPr>
            <w:r>
              <w:rPr>
                <w:rFonts w:ascii="Times New Roman" w:cs="Times New Roman" w:eastAsia="Times New Roman" w:hAnsi="Times New Roman"/>
                <w:sz w:val="11"/>
                <w:szCs w:val="11"/>
                <w:color w:val="auto"/>
                <w:w w:val="95"/>
              </w:rPr>
              <w:t>10/14/2025</w:t>
            </w:r>
          </w:p>
        </w:tc>
        <w:tc>
          <w:tcPr>
            <w:tcW w:w="160" w:type="dxa"/>
            <w:vAlign w:val="bottom"/>
          </w:tcPr>
          <w:p>
            <w:pPr>
              <w:spacing w:after="0"/>
              <w:rPr>
                <w:sz w:val="11"/>
                <w:szCs w:val="11"/>
                <w:color w:val="auto"/>
              </w:rPr>
            </w:pPr>
          </w:p>
        </w:tc>
        <w:tc>
          <w:tcPr>
            <w:tcW w:w="20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Healthcare and Pharmaceuticals</w:t>
            </w:r>
          </w:p>
        </w:tc>
        <w:tc>
          <w:tcPr>
            <w:tcW w:w="120" w:type="dxa"/>
            <w:vAlign w:val="bottom"/>
          </w:tcPr>
          <w:p>
            <w:pPr>
              <w:spacing w:after="0"/>
              <w:rPr>
                <w:sz w:val="11"/>
                <w:szCs w:val="11"/>
                <w:color w:val="auto"/>
              </w:rPr>
            </w:pPr>
          </w:p>
        </w:tc>
        <w:tc>
          <w:tcPr>
            <w:tcW w:w="1140" w:type="dxa"/>
            <w:vAlign w:val="bottom"/>
            <w:gridSpan w:val="2"/>
          </w:tcPr>
          <w:p>
            <w:pPr>
              <w:jc w:val="right"/>
              <w:ind w:right="226"/>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1,508</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(57 )</w:t>
            </w:r>
          </w:p>
        </w:tc>
        <w:tc>
          <w:tcPr>
            <w:tcW w:w="0" w:type="dxa"/>
            <w:vAlign w:val="bottom"/>
          </w:tcPr>
          <w:p>
            <w:pPr>
              <w:spacing w:after="0"/>
              <w:rPr>
                <w:sz w:val="1"/>
                <w:szCs w:val="1"/>
                <w:color w:val="auto"/>
              </w:rPr>
            </w:pPr>
          </w:p>
        </w:tc>
      </w:tr>
      <w:tr>
        <w:trPr>
          <w:trHeight w:val="153"/>
        </w:trPr>
        <w:tc>
          <w:tcPr>
            <w:tcW w:w="2900" w:type="dxa"/>
            <w:vAlign w:val="bottom"/>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Smile Brands Inc. LC (Revolver) </w:t>
            </w:r>
            <w:r>
              <w:rPr>
                <w:rFonts w:ascii="Times New Roman" w:cs="Times New Roman" w:eastAsia="Times New Roman" w:hAnsi="Times New Roman"/>
                <w:sz w:val="14"/>
                <w:szCs w:val="14"/>
                <w:color w:val="auto"/>
                <w:vertAlign w:val="superscript"/>
              </w:rPr>
              <w:t>(7), (9)</w:t>
            </w:r>
          </w:p>
        </w:tc>
        <w:tc>
          <w:tcPr>
            <w:tcW w:w="880" w:type="dxa"/>
            <w:vAlign w:val="bottom"/>
            <w:gridSpan w:val="2"/>
          </w:tcPr>
          <w:p>
            <w:pPr>
              <w:jc w:val="center"/>
              <w:ind w:left="106"/>
              <w:spacing w:after="0"/>
              <w:rPr>
                <w:sz w:val="20"/>
                <w:szCs w:val="20"/>
                <w:color w:val="auto"/>
              </w:rPr>
            </w:pPr>
            <w:r>
              <w:rPr>
                <w:rFonts w:ascii="Times New Roman" w:cs="Times New Roman" w:eastAsia="Times New Roman" w:hAnsi="Times New Roman"/>
                <w:sz w:val="11"/>
                <w:szCs w:val="11"/>
                <w:color w:val="auto"/>
                <w:w w:val="95"/>
              </w:rPr>
              <w:t>10/14/2025</w:t>
            </w:r>
          </w:p>
        </w:tc>
        <w:tc>
          <w:tcPr>
            <w:tcW w:w="160" w:type="dxa"/>
            <w:vAlign w:val="bottom"/>
          </w:tcPr>
          <w:p>
            <w:pPr>
              <w:spacing w:after="0"/>
              <w:rPr>
                <w:sz w:val="13"/>
                <w:szCs w:val="13"/>
                <w:color w:val="auto"/>
              </w:rPr>
            </w:pPr>
          </w:p>
        </w:tc>
        <w:tc>
          <w:tcPr>
            <w:tcW w:w="20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Healthcare and Pharmaceuticals</w:t>
            </w:r>
          </w:p>
        </w:tc>
        <w:tc>
          <w:tcPr>
            <w:tcW w:w="120" w:type="dxa"/>
            <w:vAlign w:val="bottom"/>
          </w:tcPr>
          <w:p>
            <w:pPr>
              <w:spacing w:after="0"/>
              <w:rPr>
                <w:sz w:val="13"/>
                <w:szCs w:val="13"/>
                <w:color w:val="auto"/>
              </w:rPr>
            </w:pPr>
          </w:p>
        </w:tc>
        <w:tc>
          <w:tcPr>
            <w:tcW w:w="1140" w:type="dxa"/>
            <w:vAlign w:val="bottom"/>
            <w:gridSpan w:val="2"/>
          </w:tcPr>
          <w:p>
            <w:pPr>
              <w:jc w:val="right"/>
              <w:ind w:right="226"/>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108</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(4 )</w:t>
            </w:r>
          </w:p>
        </w:tc>
        <w:tc>
          <w:tcPr>
            <w:tcW w:w="0" w:type="dxa"/>
            <w:vAlign w:val="bottom"/>
          </w:tcPr>
          <w:p>
            <w:pPr>
              <w:spacing w:after="0"/>
              <w:rPr>
                <w:sz w:val="1"/>
                <w:szCs w:val="1"/>
                <w:color w:val="auto"/>
              </w:rPr>
            </w:pPr>
          </w:p>
        </w:tc>
      </w:tr>
      <w:tr>
        <w:trPr>
          <w:trHeight w:val="117"/>
        </w:trPr>
        <w:tc>
          <w:tcPr>
            <w:tcW w:w="2900" w:type="dxa"/>
            <w:vAlign w:val="bottom"/>
          </w:tcPr>
          <w:p>
            <w:pPr>
              <w:ind w:left="20"/>
              <w:spacing w:after="0" w:line="117" w:lineRule="exact"/>
              <w:rPr>
                <w:sz w:val="20"/>
                <w:szCs w:val="20"/>
                <w:color w:val="auto"/>
              </w:rPr>
            </w:pPr>
            <w:r>
              <w:rPr>
                <w:rFonts w:ascii="Times New Roman" w:cs="Times New Roman" w:eastAsia="Times New Roman" w:hAnsi="Times New Roman"/>
                <w:sz w:val="11"/>
                <w:szCs w:val="11"/>
                <w:color w:val="auto"/>
              </w:rPr>
              <w:t>Solutionreach, Inc.</w:t>
            </w:r>
          </w:p>
        </w:tc>
        <w:tc>
          <w:tcPr>
            <w:tcW w:w="880" w:type="dxa"/>
            <w:vAlign w:val="bottom"/>
            <w:gridSpan w:val="2"/>
          </w:tcPr>
          <w:p>
            <w:pPr>
              <w:jc w:val="center"/>
              <w:ind w:left="106"/>
              <w:spacing w:after="0" w:line="117" w:lineRule="exact"/>
              <w:rPr>
                <w:sz w:val="20"/>
                <w:szCs w:val="20"/>
                <w:color w:val="auto"/>
              </w:rPr>
            </w:pPr>
            <w:r>
              <w:rPr>
                <w:rFonts w:ascii="Times New Roman" w:cs="Times New Roman" w:eastAsia="Times New Roman" w:hAnsi="Times New Roman"/>
                <w:sz w:val="11"/>
                <w:szCs w:val="11"/>
                <w:color w:val="auto"/>
                <w:w w:val="95"/>
              </w:rPr>
              <w:t>01/17/2024</w:t>
            </w:r>
          </w:p>
        </w:tc>
        <w:tc>
          <w:tcPr>
            <w:tcW w:w="160" w:type="dxa"/>
            <w:vAlign w:val="bottom"/>
          </w:tcPr>
          <w:p>
            <w:pPr>
              <w:spacing w:after="0"/>
              <w:rPr>
                <w:sz w:val="10"/>
                <w:szCs w:val="10"/>
                <w:color w:val="auto"/>
              </w:rPr>
            </w:pPr>
          </w:p>
        </w:tc>
        <w:tc>
          <w:tcPr>
            <w:tcW w:w="200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color w:val="auto"/>
                <w:w w:val="97"/>
              </w:rPr>
              <w:t>Healthcare Technology</w:t>
            </w:r>
          </w:p>
        </w:tc>
        <w:tc>
          <w:tcPr>
            <w:tcW w:w="1260" w:type="dxa"/>
            <w:vAlign w:val="bottom"/>
            <w:gridSpan w:val="3"/>
          </w:tcPr>
          <w:p>
            <w:pPr>
              <w:jc w:val="right"/>
              <w:ind w:right="106"/>
              <w:spacing w:after="0" w:line="117" w:lineRule="exact"/>
              <w:rPr>
                <w:sz w:val="20"/>
                <w:szCs w:val="20"/>
                <w:color w:val="auto"/>
              </w:rPr>
            </w:pPr>
            <w:r>
              <w:rPr>
                <w:rFonts w:ascii="Times New Roman" w:cs="Times New Roman" w:eastAsia="Times New Roman" w:hAnsi="Times New Roman"/>
                <w:sz w:val="11"/>
                <w:szCs w:val="11"/>
                <w:color w:val="auto"/>
              </w:rPr>
              <w:t>8.87 %</w:t>
            </w:r>
          </w:p>
        </w:tc>
        <w:tc>
          <w:tcPr>
            <w:tcW w:w="86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3M L+575</w:t>
            </w:r>
          </w:p>
        </w:tc>
        <w:tc>
          <w:tcPr>
            <w:tcW w:w="108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1"/>
                <w:szCs w:val="11"/>
                <w:color w:val="auto"/>
              </w:rPr>
              <w:t>5,740</w:t>
            </w: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5,705</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5,602</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900" w:type="dxa"/>
            <w:vAlign w:val="bottom"/>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Solutionreach, Inc. (Revolver) </w:t>
            </w:r>
            <w:r>
              <w:rPr>
                <w:rFonts w:ascii="Times New Roman" w:cs="Times New Roman" w:eastAsia="Times New Roman" w:hAnsi="Times New Roman"/>
                <w:sz w:val="14"/>
                <w:szCs w:val="14"/>
                <w:color w:val="auto"/>
                <w:vertAlign w:val="superscript"/>
              </w:rPr>
              <w:t>(7), (9)</w:t>
            </w:r>
          </w:p>
        </w:tc>
        <w:tc>
          <w:tcPr>
            <w:tcW w:w="880" w:type="dxa"/>
            <w:vAlign w:val="bottom"/>
            <w:gridSpan w:val="2"/>
          </w:tcPr>
          <w:p>
            <w:pPr>
              <w:jc w:val="center"/>
              <w:ind w:left="106"/>
              <w:spacing w:after="0"/>
              <w:rPr>
                <w:sz w:val="20"/>
                <w:szCs w:val="20"/>
                <w:color w:val="auto"/>
              </w:rPr>
            </w:pPr>
            <w:r>
              <w:rPr>
                <w:rFonts w:ascii="Times New Roman" w:cs="Times New Roman" w:eastAsia="Times New Roman" w:hAnsi="Times New Roman"/>
                <w:sz w:val="11"/>
                <w:szCs w:val="11"/>
                <w:color w:val="auto"/>
                <w:w w:val="95"/>
              </w:rPr>
              <w:t>01/17/2024</w:t>
            </w:r>
          </w:p>
        </w:tc>
        <w:tc>
          <w:tcPr>
            <w:tcW w:w="160" w:type="dxa"/>
            <w:vAlign w:val="bottom"/>
          </w:tcPr>
          <w:p>
            <w:pPr>
              <w:spacing w:after="0"/>
              <w:rPr>
                <w:sz w:val="13"/>
                <w:szCs w:val="13"/>
                <w:color w:val="auto"/>
              </w:rPr>
            </w:pPr>
          </w:p>
        </w:tc>
        <w:tc>
          <w:tcPr>
            <w:tcW w:w="20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Healthcare Technology</w:t>
            </w:r>
          </w:p>
        </w:tc>
        <w:tc>
          <w:tcPr>
            <w:tcW w:w="120" w:type="dxa"/>
            <w:vAlign w:val="bottom"/>
          </w:tcPr>
          <w:p>
            <w:pPr>
              <w:spacing w:after="0"/>
              <w:rPr>
                <w:sz w:val="13"/>
                <w:szCs w:val="13"/>
                <w:color w:val="auto"/>
              </w:rPr>
            </w:pPr>
          </w:p>
        </w:tc>
        <w:tc>
          <w:tcPr>
            <w:tcW w:w="1140" w:type="dxa"/>
            <w:vAlign w:val="bottom"/>
            <w:gridSpan w:val="2"/>
          </w:tcPr>
          <w:p>
            <w:pPr>
              <w:jc w:val="right"/>
              <w:ind w:right="226"/>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1,665</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(40 )</w:t>
            </w:r>
          </w:p>
        </w:tc>
        <w:tc>
          <w:tcPr>
            <w:tcW w:w="0" w:type="dxa"/>
            <w:vAlign w:val="bottom"/>
          </w:tcPr>
          <w:p>
            <w:pPr>
              <w:spacing w:after="0"/>
              <w:rPr>
                <w:sz w:val="1"/>
                <w:szCs w:val="1"/>
                <w:color w:val="auto"/>
              </w:rPr>
            </w:pPr>
          </w:p>
        </w:tc>
      </w:tr>
      <w:tr>
        <w:trPr>
          <w:trHeight w:val="135"/>
        </w:trPr>
        <w:tc>
          <w:tcPr>
            <w:tcW w:w="29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Spear Education, LLC</w:t>
            </w:r>
          </w:p>
        </w:tc>
        <w:tc>
          <w:tcPr>
            <w:tcW w:w="880" w:type="dxa"/>
            <w:vAlign w:val="bottom"/>
            <w:gridSpan w:val="2"/>
          </w:tcPr>
          <w:p>
            <w:pPr>
              <w:jc w:val="center"/>
              <w:ind w:left="106"/>
              <w:spacing w:after="0"/>
              <w:rPr>
                <w:sz w:val="20"/>
                <w:szCs w:val="20"/>
                <w:color w:val="auto"/>
              </w:rPr>
            </w:pPr>
            <w:r>
              <w:rPr>
                <w:rFonts w:ascii="Times New Roman" w:cs="Times New Roman" w:eastAsia="Times New Roman" w:hAnsi="Times New Roman"/>
                <w:sz w:val="11"/>
                <w:szCs w:val="11"/>
                <w:color w:val="auto"/>
                <w:w w:val="95"/>
              </w:rPr>
              <w:t>02/26/2025</w:t>
            </w:r>
          </w:p>
        </w:tc>
        <w:tc>
          <w:tcPr>
            <w:tcW w:w="160" w:type="dxa"/>
            <w:vAlign w:val="bottom"/>
          </w:tcPr>
          <w:p>
            <w:pPr>
              <w:spacing w:after="0"/>
              <w:rPr>
                <w:sz w:val="11"/>
                <w:szCs w:val="11"/>
                <w:color w:val="auto"/>
              </w:rPr>
            </w:pPr>
          </w:p>
        </w:tc>
        <w:tc>
          <w:tcPr>
            <w:tcW w:w="20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Professional Services</w:t>
            </w:r>
          </w:p>
        </w:tc>
        <w:tc>
          <w:tcPr>
            <w:tcW w:w="1260" w:type="dxa"/>
            <w:vAlign w:val="bottom"/>
            <w:gridSpan w:val="3"/>
          </w:tcPr>
          <w:p>
            <w:pPr>
              <w:jc w:val="right"/>
              <w:ind w:right="106"/>
              <w:spacing w:after="0"/>
              <w:rPr>
                <w:sz w:val="20"/>
                <w:szCs w:val="20"/>
                <w:color w:val="auto"/>
              </w:rPr>
            </w:pPr>
            <w:r>
              <w:rPr>
                <w:rFonts w:ascii="Times New Roman" w:cs="Times New Roman" w:eastAsia="Times New Roman" w:hAnsi="Times New Roman"/>
                <w:sz w:val="11"/>
                <w:szCs w:val="11"/>
                <w:color w:val="auto"/>
              </w:rPr>
              <w:t>9.42 %</w:t>
            </w: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L+575</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14,747</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14,642</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14,747</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2900" w:type="dxa"/>
            <w:vAlign w:val="bottom"/>
          </w:tcPr>
          <w:p>
            <w:pPr>
              <w:ind w:left="20"/>
              <w:spacing w:after="0" w:line="117" w:lineRule="exact"/>
              <w:rPr>
                <w:sz w:val="20"/>
                <w:szCs w:val="20"/>
                <w:color w:val="auto"/>
              </w:rPr>
            </w:pPr>
            <w:r>
              <w:rPr>
                <w:rFonts w:ascii="Times New Roman" w:cs="Times New Roman" w:eastAsia="Times New Roman" w:hAnsi="Times New Roman"/>
                <w:sz w:val="11"/>
                <w:szCs w:val="11"/>
                <w:color w:val="auto"/>
              </w:rPr>
              <w:t>Spendmend Holdings LLC</w:t>
            </w:r>
          </w:p>
        </w:tc>
        <w:tc>
          <w:tcPr>
            <w:tcW w:w="880" w:type="dxa"/>
            <w:vAlign w:val="bottom"/>
            <w:gridSpan w:val="2"/>
          </w:tcPr>
          <w:p>
            <w:pPr>
              <w:jc w:val="center"/>
              <w:ind w:left="106"/>
              <w:spacing w:after="0" w:line="117" w:lineRule="exact"/>
              <w:rPr>
                <w:sz w:val="20"/>
                <w:szCs w:val="20"/>
                <w:color w:val="auto"/>
              </w:rPr>
            </w:pPr>
            <w:r>
              <w:rPr>
                <w:rFonts w:ascii="Times New Roman" w:cs="Times New Roman" w:eastAsia="Times New Roman" w:hAnsi="Times New Roman"/>
                <w:sz w:val="11"/>
                <w:szCs w:val="11"/>
                <w:color w:val="auto"/>
                <w:w w:val="95"/>
              </w:rPr>
              <w:t>03/01/2028</w:t>
            </w:r>
          </w:p>
        </w:tc>
        <w:tc>
          <w:tcPr>
            <w:tcW w:w="160" w:type="dxa"/>
            <w:vAlign w:val="bottom"/>
          </w:tcPr>
          <w:p>
            <w:pPr>
              <w:spacing w:after="0"/>
              <w:rPr>
                <w:sz w:val="10"/>
                <w:szCs w:val="10"/>
                <w:color w:val="auto"/>
              </w:rPr>
            </w:pPr>
          </w:p>
        </w:tc>
        <w:tc>
          <w:tcPr>
            <w:tcW w:w="200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color w:val="auto"/>
                <w:w w:val="97"/>
              </w:rPr>
              <w:t>Healthcare Technology</w:t>
            </w:r>
          </w:p>
        </w:tc>
        <w:tc>
          <w:tcPr>
            <w:tcW w:w="1260" w:type="dxa"/>
            <w:vAlign w:val="bottom"/>
            <w:gridSpan w:val="3"/>
          </w:tcPr>
          <w:p>
            <w:pPr>
              <w:jc w:val="right"/>
              <w:ind w:right="106"/>
              <w:spacing w:after="0" w:line="117" w:lineRule="exact"/>
              <w:rPr>
                <w:sz w:val="20"/>
                <w:szCs w:val="20"/>
                <w:color w:val="auto"/>
              </w:rPr>
            </w:pPr>
            <w:r>
              <w:rPr>
                <w:rFonts w:ascii="Times New Roman" w:cs="Times New Roman" w:eastAsia="Times New Roman" w:hAnsi="Times New Roman"/>
                <w:sz w:val="11"/>
                <w:szCs w:val="11"/>
                <w:color w:val="auto"/>
              </w:rPr>
              <w:t>8.63 %</w:t>
            </w:r>
          </w:p>
        </w:tc>
        <w:tc>
          <w:tcPr>
            <w:tcW w:w="86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SOFR + 575</w:t>
            </w:r>
          </w:p>
        </w:tc>
        <w:tc>
          <w:tcPr>
            <w:tcW w:w="108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1"/>
                <w:szCs w:val="11"/>
                <w:color w:val="auto"/>
              </w:rPr>
              <w:t>3,216</w:t>
            </w: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3,179</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3,126</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900" w:type="dxa"/>
            <w:vAlign w:val="bottom"/>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Spendmend Holdings LLC </w:t>
            </w:r>
            <w:r>
              <w:rPr>
                <w:rFonts w:ascii="Times New Roman" w:cs="Times New Roman" w:eastAsia="Times New Roman" w:hAnsi="Times New Roman"/>
                <w:sz w:val="14"/>
                <w:szCs w:val="14"/>
                <w:color w:val="auto"/>
                <w:vertAlign w:val="superscript"/>
              </w:rPr>
              <w:t>(9)</w:t>
            </w:r>
          </w:p>
        </w:tc>
        <w:tc>
          <w:tcPr>
            <w:tcW w:w="880" w:type="dxa"/>
            <w:vAlign w:val="bottom"/>
            <w:gridSpan w:val="2"/>
          </w:tcPr>
          <w:p>
            <w:pPr>
              <w:jc w:val="center"/>
              <w:ind w:left="106"/>
              <w:spacing w:after="0"/>
              <w:rPr>
                <w:sz w:val="20"/>
                <w:szCs w:val="20"/>
                <w:color w:val="auto"/>
              </w:rPr>
            </w:pPr>
            <w:r>
              <w:rPr>
                <w:rFonts w:ascii="Times New Roman" w:cs="Times New Roman" w:eastAsia="Times New Roman" w:hAnsi="Times New Roman"/>
                <w:sz w:val="11"/>
                <w:szCs w:val="11"/>
                <w:color w:val="auto"/>
                <w:w w:val="95"/>
              </w:rPr>
              <w:t>03/01/2023</w:t>
            </w:r>
          </w:p>
        </w:tc>
        <w:tc>
          <w:tcPr>
            <w:tcW w:w="160" w:type="dxa"/>
            <w:vAlign w:val="bottom"/>
          </w:tcPr>
          <w:p>
            <w:pPr>
              <w:spacing w:after="0"/>
              <w:rPr>
                <w:sz w:val="13"/>
                <w:szCs w:val="13"/>
                <w:color w:val="auto"/>
              </w:rPr>
            </w:pPr>
          </w:p>
        </w:tc>
        <w:tc>
          <w:tcPr>
            <w:tcW w:w="20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Healthcare Technology</w:t>
            </w:r>
          </w:p>
        </w:tc>
        <w:tc>
          <w:tcPr>
            <w:tcW w:w="120" w:type="dxa"/>
            <w:vAlign w:val="bottom"/>
          </w:tcPr>
          <w:p>
            <w:pPr>
              <w:spacing w:after="0"/>
              <w:rPr>
                <w:sz w:val="13"/>
                <w:szCs w:val="13"/>
                <w:color w:val="auto"/>
              </w:rPr>
            </w:pPr>
          </w:p>
        </w:tc>
        <w:tc>
          <w:tcPr>
            <w:tcW w:w="1140" w:type="dxa"/>
            <w:vAlign w:val="bottom"/>
            <w:gridSpan w:val="2"/>
          </w:tcPr>
          <w:p>
            <w:pPr>
              <w:jc w:val="right"/>
              <w:ind w:right="226"/>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1,771</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(36 )</w:t>
            </w:r>
          </w:p>
        </w:tc>
        <w:tc>
          <w:tcPr>
            <w:tcW w:w="0" w:type="dxa"/>
            <w:vAlign w:val="bottom"/>
          </w:tcPr>
          <w:p>
            <w:pPr>
              <w:spacing w:after="0"/>
              <w:rPr>
                <w:sz w:val="1"/>
                <w:szCs w:val="1"/>
                <w:color w:val="auto"/>
              </w:rPr>
            </w:pPr>
          </w:p>
        </w:tc>
      </w:tr>
      <w:tr>
        <w:trPr>
          <w:trHeight w:val="117"/>
        </w:trPr>
        <w:tc>
          <w:tcPr>
            <w:tcW w:w="2900" w:type="dxa"/>
            <w:vAlign w:val="bottom"/>
          </w:tcPr>
          <w:p>
            <w:pPr>
              <w:ind w:left="20"/>
              <w:spacing w:after="0" w:line="117" w:lineRule="exact"/>
              <w:rPr>
                <w:sz w:val="20"/>
                <w:szCs w:val="20"/>
                <w:color w:val="auto"/>
              </w:rPr>
            </w:pPr>
            <w:r>
              <w:rPr>
                <w:rFonts w:ascii="Times New Roman" w:cs="Times New Roman" w:eastAsia="Times New Roman" w:hAnsi="Times New Roman"/>
                <w:sz w:val="11"/>
                <w:szCs w:val="11"/>
                <w:color w:val="auto"/>
              </w:rPr>
              <w:t>Spendmend Holdings LLC (Revolver)</w:t>
            </w:r>
          </w:p>
        </w:tc>
        <w:tc>
          <w:tcPr>
            <w:tcW w:w="880" w:type="dxa"/>
            <w:vAlign w:val="bottom"/>
            <w:gridSpan w:val="2"/>
          </w:tcPr>
          <w:p>
            <w:pPr>
              <w:jc w:val="center"/>
              <w:ind w:left="106"/>
              <w:spacing w:after="0" w:line="117" w:lineRule="exact"/>
              <w:rPr>
                <w:sz w:val="20"/>
                <w:szCs w:val="20"/>
                <w:color w:val="auto"/>
              </w:rPr>
            </w:pPr>
            <w:r>
              <w:rPr>
                <w:rFonts w:ascii="Times New Roman" w:cs="Times New Roman" w:eastAsia="Times New Roman" w:hAnsi="Times New Roman"/>
                <w:sz w:val="11"/>
                <w:szCs w:val="11"/>
                <w:color w:val="auto"/>
                <w:w w:val="95"/>
              </w:rPr>
              <w:t>03/01/2028</w:t>
            </w:r>
          </w:p>
        </w:tc>
        <w:tc>
          <w:tcPr>
            <w:tcW w:w="160" w:type="dxa"/>
            <w:vAlign w:val="bottom"/>
          </w:tcPr>
          <w:p>
            <w:pPr>
              <w:spacing w:after="0"/>
              <w:rPr>
                <w:sz w:val="10"/>
                <w:szCs w:val="10"/>
                <w:color w:val="auto"/>
              </w:rPr>
            </w:pPr>
          </w:p>
        </w:tc>
        <w:tc>
          <w:tcPr>
            <w:tcW w:w="200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color w:val="auto"/>
                <w:w w:val="97"/>
              </w:rPr>
              <w:t>Healthcare Technology</w:t>
            </w:r>
          </w:p>
        </w:tc>
        <w:tc>
          <w:tcPr>
            <w:tcW w:w="1260" w:type="dxa"/>
            <w:vAlign w:val="bottom"/>
            <w:gridSpan w:val="3"/>
          </w:tcPr>
          <w:p>
            <w:pPr>
              <w:jc w:val="right"/>
              <w:ind w:right="106"/>
              <w:spacing w:after="0" w:line="117" w:lineRule="exact"/>
              <w:rPr>
                <w:sz w:val="20"/>
                <w:szCs w:val="20"/>
                <w:color w:val="auto"/>
              </w:rPr>
            </w:pPr>
            <w:r>
              <w:rPr>
                <w:rFonts w:ascii="Times New Roman" w:cs="Times New Roman" w:eastAsia="Times New Roman" w:hAnsi="Times New Roman"/>
                <w:sz w:val="11"/>
                <w:szCs w:val="11"/>
                <w:color w:val="auto"/>
              </w:rPr>
              <w:t>8.63 %</w:t>
            </w:r>
          </w:p>
        </w:tc>
        <w:tc>
          <w:tcPr>
            <w:tcW w:w="86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3M L+575</w:t>
            </w:r>
          </w:p>
        </w:tc>
        <w:tc>
          <w:tcPr>
            <w:tcW w:w="108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1"/>
                <w:szCs w:val="11"/>
                <w:color w:val="auto"/>
              </w:rPr>
              <w:t>119</w:t>
            </w: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119</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116</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9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 xml:space="preserve">Spendmend Holdings LLC (Revolver) </w:t>
            </w:r>
            <w:r>
              <w:rPr>
                <w:rFonts w:ascii="Times New Roman" w:cs="Times New Roman" w:eastAsia="Times New Roman" w:hAnsi="Times New Roman"/>
                <w:sz w:val="14"/>
                <w:szCs w:val="14"/>
                <w:color w:val="auto"/>
                <w:vertAlign w:val="superscript"/>
              </w:rPr>
              <w:t>(9)</w:t>
            </w:r>
          </w:p>
        </w:tc>
        <w:tc>
          <w:tcPr>
            <w:tcW w:w="880" w:type="dxa"/>
            <w:vAlign w:val="bottom"/>
            <w:gridSpan w:val="2"/>
          </w:tcPr>
          <w:p>
            <w:pPr>
              <w:jc w:val="center"/>
              <w:ind w:left="106"/>
              <w:spacing w:after="0"/>
              <w:rPr>
                <w:sz w:val="20"/>
                <w:szCs w:val="20"/>
                <w:color w:val="auto"/>
              </w:rPr>
            </w:pPr>
            <w:r>
              <w:rPr>
                <w:rFonts w:ascii="Times New Roman" w:cs="Times New Roman" w:eastAsia="Times New Roman" w:hAnsi="Times New Roman"/>
                <w:sz w:val="11"/>
                <w:szCs w:val="11"/>
                <w:color w:val="auto"/>
                <w:w w:val="95"/>
              </w:rPr>
              <w:t>03/01/2028</w:t>
            </w:r>
          </w:p>
        </w:tc>
        <w:tc>
          <w:tcPr>
            <w:tcW w:w="160" w:type="dxa"/>
            <w:vAlign w:val="bottom"/>
          </w:tcPr>
          <w:p>
            <w:pPr>
              <w:spacing w:after="0"/>
              <w:rPr>
                <w:sz w:val="14"/>
                <w:szCs w:val="14"/>
                <w:color w:val="auto"/>
              </w:rPr>
            </w:pPr>
          </w:p>
        </w:tc>
        <w:tc>
          <w:tcPr>
            <w:tcW w:w="20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Healthcare Technology</w:t>
            </w:r>
          </w:p>
        </w:tc>
        <w:tc>
          <w:tcPr>
            <w:tcW w:w="120" w:type="dxa"/>
            <w:vAlign w:val="bottom"/>
          </w:tcPr>
          <w:p>
            <w:pPr>
              <w:spacing w:after="0"/>
              <w:rPr>
                <w:sz w:val="14"/>
                <w:szCs w:val="14"/>
                <w:color w:val="auto"/>
              </w:rPr>
            </w:pPr>
          </w:p>
        </w:tc>
        <w:tc>
          <w:tcPr>
            <w:tcW w:w="1140" w:type="dxa"/>
            <w:vAlign w:val="bottom"/>
            <w:gridSpan w:val="2"/>
          </w:tcPr>
          <w:p>
            <w:pPr>
              <w:jc w:val="right"/>
              <w:ind w:right="226"/>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772</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(22 )</w:t>
            </w:r>
          </w:p>
        </w:tc>
        <w:tc>
          <w:tcPr>
            <w:tcW w:w="0" w:type="dxa"/>
            <w:vAlign w:val="bottom"/>
          </w:tcPr>
          <w:p>
            <w:pPr>
              <w:spacing w:after="0"/>
              <w:rPr>
                <w:sz w:val="1"/>
                <w:szCs w:val="1"/>
                <w:color w:val="auto"/>
              </w:rPr>
            </w:pPr>
          </w:p>
        </w:tc>
      </w:tr>
      <w:tr>
        <w:trPr>
          <w:trHeight w:val="135"/>
        </w:trPr>
        <w:tc>
          <w:tcPr>
            <w:tcW w:w="29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STV Group Incorporated</w:t>
            </w:r>
          </w:p>
        </w:tc>
        <w:tc>
          <w:tcPr>
            <w:tcW w:w="880" w:type="dxa"/>
            <w:vAlign w:val="bottom"/>
            <w:gridSpan w:val="2"/>
            <w:shd w:val="clear" w:color="auto" w:fill="CCECFF"/>
          </w:tcPr>
          <w:p>
            <w:pPr>
              <w:jc w:val="center"/>
              <w:ind w:left="106"/>
              <w:spacing w:after="0"/>
              <w:rPr>
                <w:sz w:val="20"/>
                <w:szCs w:val="20"/>
                <w:color w:val="auto"/>
              </w:rPr>
            </w:pPr>
            <w:r>
              <w:rPr>
                <w:rFonts w:ascii="Times New Roman" w:cs="Times New Roman" w:eastAsia="Times New Roman" w:hAnsi="Times New Roman"/>
                <w:sz w:val="11"/>
                <w:szCs w:val="11"/>
                <w:color w:val="auto"/>
                <w:w w:val="95"/>
              </w:rPr>
              <w:t>12/11/2026</w:t>
            </w:r>
          </w:p>
        </w:tc>
        <w:tc>
          <w:tcPr>
            <w:tcW w:w="160" w:type="dxa"/>
            <w:vAlign w:val="bottom"/>
            <w:shd w:val="clear" w:color="auto" w:fill="CCECFF"/>
          </w:tcPr>
          <w:p>
            <w:pPr>
              <w:spacing w:after="0"/>
              <w:rPr>
                <w:sz w:val="11"/>
                <w:szCs w:val="11"/>
                <w:color w:val="auto"/>
              </w:rPr>
            </w:pPr>
          </w:p>
        </w:tc>
        <w:tc>
          <w:tcPr>
            <w:tcW w:w="20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Construction &amp; Engineering</w:t>
            </w:r>
          </w:p>
        </w:tc>
        <w:tc>
          <w:tcPr>
            <w:tcW w:w="1260" w:type="dxa"/>
            <w:vAlign w:val="bottom"/>
            <w:gridSpan w:val="3"/>
            <w:shd w:val="clear" w:color="auto" w:fill="CCECFF"/>
          </w:tcPr>
          <w:p>
            <w:pPr>
              <w:jc w:val="right"/>
              <w:ind w:right="106"/>
              <w:spacing w:after="0"/>
              <w:rPr>
                <w:sz w:val="20"/>
                <w:szCs w:val="20"/>
                <w:color w:val="auto"/>
              </w:rPr>
            </w:pPr>
            <w:r>
              <w:rPr>
                <w:rFonts w:ascii="Times New Roman" w:cs="Times New Roman" w:eastAsia="Times New Roman" w:hAnsi="Times New Roman"/>
                <w:sz w:val="11"/>
                <w:szCs w:val="11"/>
                <w:color w:val="auto"/>
              </w:rPr>
              <w:t>8.37 %</w:t>
            </w:r>
          </w:p>
        </w:tc>
        <w:tc>
          <w:tcPr>
            <w:tcW w:w="8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1M L+525</w:t>
            </w:r>
          </w:p>
        </w:tc>
        <w:tc>
          <w:tcPr>
            <w:tcW w:w="108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4,752</w:t>
            </w:r>
          </w:p>
        </w:tc>
        <w:tc>
          <w:tcPr>
            <w:tcW w:w="22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4,718</w:t>
            </w:r>
          </w:p>
        </w:tc>
        <w:tc>
          <w:tcPr>
            <w:tcW w:w="20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7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4,704</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900" w:type="dxa"/>
            <w:vAlign w:val="bottom"/>
          </w:tcPr>
          <w:p>
            <w:pPr>
              <w:ind w:left="20"/>
              <w:spacing w:after="0" w:line="95" w:lineRule="exact"/>
              <w:rPr>
                <w:sz w:val="20"/>
                <w:szCs w:val="20"/>
                <w:color w:val="auto"/>
              </w:rPr>
            </w:pPr>
            <w:r>
              <w:rPr>
                <w:rFonts w:ascii="Times New Roman" w:cs="Times New Roman" w:eastAsia="Times New Roman" w:hAnsi="Times New Roman"/>
                <w:sz w:val="10"/>
                <w:szCs w:val="10"/>
                <w:color w:val="auto"/>
              </w:rPr>
              <w:t>System Planning and Analysis, Inc.</w:t>
            </w:r>
          </w:p>
        </w:tc>
        <w:tc>
          <w:tcPr>
            <w:tcW w:w="880" w:type="dxa"/>
            <w:vAlign w:val="bottom"/>
            <w:gridSpan w:val="2"/>
          </w:tcPr>
          <w:p>
            <w:pPr>
              <w:jc w:val="center"/>
              <w:ind w:left="106"/>
              <w:spacing w:after="0" w:line="95" w:lineRule="exact"/>
              <w:rPr>
                <w:sz w:val="20"/>
                <w:szCs w:val="20"/>
                <w:color w:val="auto"/>
              </w:rPr>
            </w:pPr>
            <w:r>
              <w:rPr>
                <w:rFonts w:ascii="Times New Roman" w:cs="Times New Roman" w:eastAsia="Times New Roman" w:hAnsi="Times New Roman"/>
                <w:sz w:val="10"/>
                <w:szCs w:val="10"/>
                <w:color w:val="auto"/>
              </w:rPr>
              <w:t>08/16/2027</w:t>
            </w:r>
          </w:p>
        </w:tc>
        <w:tc>
          <w:tcPr>
            <w:tcW w:w="160" w:type="dxa"/>
            <w:vAlign w:val="bottom"/>
          </w:tcPr>
          <w:p>
            <w:pPr>
              <w:spacing w:after="0"/>
              <w:rPr>
                <w:sz w:val="8"/>
                <w:szCs w:val="8"/>
                <w:color w:val="auto"/>
              </w:rPr>
            </w:pPr>
          </w:p>
        </w:tc>
        <w:tc>
          <w:tcPr>
            <w:tcW w:w="2000" w:type="dxa"/>
            <w:vAlign w:val="bottom"/>
          </w:tcPr>
          <w:p>
            <w:pPr>
              <w:jc w:val="center"/>
              <w:spacing w:after="0" w:line="95" w:lineRule="exact"/>
              <w:rPr>
                <w:sz w:val="20"/>
                <w:szCs w:val="20"/>
                <w:color w:val="auto"/>
              </w:rPr>
            </w:pPr>
            <w:r>
              <w:rPr>
                <w:rFonts w:ascii="Times New Roman" w:cs="Times New Roman" w:eastAsia="Times New Roman" w:hAnsi="Times New Roman"/>
                <w:sz w:val="10"/>
                <w:szCs w:val="10"/>
                <w:color w:val="auto"/>
              </w:rPr>
              <w:t>Aerospace and Defense</w:t>
            </w:r>
          </w:p>
        </w:tc>
        <w:tc>
          <w:tcPr>
            <w:tcW w:w="1260" w:type="dxa"/>
            <w:vAlign w:val="bottom"/>
            <w:gridSpan w:val="3"/>
          </w:tcPr>
          <w:p>
            <w:pPr>
              <w:jc w:val="right"/>
              <w:ind w:right="106"/>
              <w:spacing w:after="0" w:line="95" w:lineRule="exact"/>
              <w:rPr>
                <w:sz w:val="20"/>
                <w:szCs w:val="20"/>
                <w:color w:val="auto"/>
              </w:rPr>
            </w:pPr>
            <w:r>
              <w:rPr>
                <w:rFonts w:ascii="Times New Roman" w:cs="Times New Roman" w:eastAsia="Times New Roman" w:hAnsi="Times New Roman"/>
                <w:sz w:val="10"/>
                <w:szCs w:val="10"/>
                <w:color w:val="auto"/>
              </w:rPr>
              <w:t>8.73 %</w:t>
            </w:r>
          </w:p>
        </w:tc>
        <w:tc>
          <w:tcPr>
            <w:tcW w:w="860" w:type="dxa"/>
            <w:vAlign w:val="bottom"/>
          </w:tcPr>
          <w:p>
            <w:pPr>
              <w:jc w:val="right"/>
              <w:spacing w:after="0" w:line="95" w:lineRule="exact"/>
              <w:rPr>
                <w:sz w:val="20"/>
                <w:szCs w:val="20"/>
                <w:color w:val="auto"/>
              </w:rPr>
            </w:pPr>
            <w:r>
              <w:rPr>
                <w:rFonts w:ascii="Times New Roman" w:cs="Times New Roman" w:eastAsia="Times New Roman" w:hAnsi="Times New Roman"/>
                <w:sz w:val="10"/>
                <w:szCs w:val="10"/>
                <w:color w:val="auto"/>
              </w:rPr>
              <w:t>SOFR+600</w:t>
            </w:r>
          </w:p>
        </w:tc>
        <w:tc>
          <w:tcPr>
            <w:tcW w:w="1080" w:type="dxa"/>
            <w:vAlign w:val="bottom"/>
            <w:gridSpan w:val="2"/>
          </w:tcPr>
          <w:p>
            <w:pPr>
              <w:jc w:val="right"/>
              <w:spacing w:after="0" w:line="95" w:lineRule="exact"/>
              <w:rPr>
                <w:sz w:val="20"/>
                <w:szCs w:val="20"/>
                <w:color w:val="auto"/>
              </w:rPr>
            </w:pPr>
            <w:r>
              <w:rPr>
                <w:rFonts w:ascii="Times New Roman" w:cs="Times New Roman" w:eastAsia="Times New Roman" w:hAnsi="Times New Roman"/>
                <w:sz w:val="10"/>
                <w:szCs w:val="10"/>
                <w:color w:val="auto"/>
              </w:rPr>
              <w:t>18,560</w:t>
            </w: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tcPr>
          <w:p>
            <w:pPr>
              <w:jc w:val="right"/>
              <w:spacing w:after="0" w:line="95" w:lineRule="exact"/>
              <w:rPr>
                <w:sz w:val="20"/>
                <w:szCs w:val="20"/>
                <w:color w:val="auto"/>
              </w:rPr>
            </w:pPr>
            <w:r>
              <w:rPr>
                <w:rFonts w:ascii="Times New Roman" w:cs="Times New Roman" w:eastAsia="Times New Roman" w:hAnsi="Times New Roman"/>
                <w:sz w:val="10"/>
                <w:szCs w:val="10"/>
                <w:color w:val="auto"/>
              </w:rPr>
              <w:t>18,237</w:t>
            </w: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jc w:val="right"/>
              <w:spacing w:after="0" w:line="95" w:lineRule="exact"/>
              <w:rPr>
                <w:sz w:val="20"/>
                <w:szCs w:val="20"/>
                <w:color w:val="auto"/>
              </w:rPr>
            </w:pPr>
            <w:r>
              <w:rPr>
                <w:rFonts w:ascii="Times New Roman" w:cs="Times New Roman" w:eastAsia="Times New Roman" w:hAnsi="Times New Roman"/>
                <w:sz w:val="10"/>
                <w:szCs w:val="10"/>
                <w:color w:val="auto"/>
              </w:rPr>
              <w:t>18,263</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0"/>
        </w:trPr>
        <w:tc>
          <w:tcPr>
            <w:tcW w:w="290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(f/k/a Management Consulting &amp; Research, LLC)</w:t>
            </w: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290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2900" w:type="dxa"/>
            <w:vAlign w:val="bottom"/>
            <w:shd w:val="clear" w:color="auto" w:fill="CCECFF"/>
          </w:tcPr>
          <w:p>
            <w:pPr>
              <w:ind w:left="20"/>
              <w:spacing w:after="0" w:line="95" w:lineRule="exact"/>
              <w:rPr>
                <w:sz w:val="20"/>
                <w:szCs w:val="20"/>
                <w:color w:val="auto"/>
              </w:rPr>
            </w:pPr>
            <w:r>
              <w:rPr>
                <w:rFonts w:ascii="Times New Roman" w:cs="Times New Roman" w:eastAsia="Times New Roman" w:hAnsi="Times New Roman"/>
                <w:sz w:val="10"/>
                <w:szCs w:val="10"/>
                <w:color w:val="auto"/>
              </w:rPr>
              <w:t>System Planning and Analysis, Inc. (Revolver)</w:t>
            </w:r>
          </w:p>
        </w:tc>
        <w:tc>
          <w:tcPr>
            <w:tcW w:w="880" w:type="dxa"/>
            <w:vAlign w:val="bottom"/>
            <w:gridSpan w:val="2"/>
            <w:shd w:val="clear" w:color="auto" w:fill="CCECFF"/>
          </w:tcPr>
          <w:p>
            <w:pPr>
              <w:jc w:val="center"/>
              <w:ind w:left="106"/>
              <w:spacing w:after="0" w:line="95" w:lineRule="exact"/>
              <w:rPr>
                <w:sz w:val="20"/>
                <w:szCs w:val="20"/>
                <w:color w:val="auto"/>
              </w:rPr>
            </w:pPr>
            <w:r>
              <w:rPr>
                <w:rFonts w:ascii="Times New Roman" w:cs="Times New Roman" w:eastAsia="Times New Roman" w:hAnsi="Times New Roman"/>
                <w:sz w:val="10"/>
                <w:szCs w:val="10"/>
                <w:color w:val="auto"/>
              </w:rPr>
              <w:t>08/16/2027</w:t>
            </w:r>
          </w:p>
        </w:tc>
        <w:tc>
          <w:tcPr>
            <w:tcW w:w="160" w:type="dxa"/>
            <w:vAlign w:val="bottom"/>
            <w:shd w:val="clear" w:color="auto" w:fill="CCECFF"/>
          </w:tcPr>
          <w:p>
            <w:pPr>
              <w:spacing w:after="0"/>
              <w:rPr>
                <w:sz w:val="8"/>
                <w:szCs w:val="8"/>
                <w:color w:val="auto"/>
              </w:rPr>
            </w:pPr>
          </w:p>
        </w:tc>
        <w:tc>
          <w:tcPr>
            <w:tcW w:w="2000" w:type="dxa"/>
            <w:vAlign w:val="bottom"/>
            <w:shd w:val="clear" w:color="auto" w:fill="CCECFF"/>
          </w:tcPr>
          <w:p>
            <w:pPr>
              <w:jc w:val="center"/>
              <w:spacing w:after="0" w:line="95" w:lineRule="exact"/>
              <w:rPr>
                <w:sz w:val="20"/>
                <w:szCs w:val="20"/>
                <w:color w:val="auto"/>
              </w:rPr>
            </w:pPr>
            <w:r>
              <w:rPr>
                <w:rFonts w:ascii="Times New Roman" w:cs="Times New Roman" w:eastAsia="Times New Roman" w:hAnsi="Times New Roman"/>
                <w:sz w:val="10"/>
                <w:szCs w:val="10"/>
                <w:color w:val="auto"/>
              </w:rPr>
              <w:t>Aerospace and Defense</w:t>
            </w:r>
          </w:p>
        </w:tc>
        <w:tc>
          <w:tcPr>
            <w:tcW w:w="120" w:type="dxa"/>
            <w:vAlign w:val="bottom"/>
            <w:shd w:val="clear" w:color="auto" w:fill="CCECFF"/>
          </w:tcPr>
          <w:p>
            <w:pPr>
              <w:spacing w:after="0"/>
              <w:rPr>
                <w:sz w:val="8"/>
                <w:szCs w:val="8"/>
                <w:color w:val="auto"/>
              </w:rPr>
            </w:pPr>
          </w:p>
        </w:tc>
        <w:tc>
          <w:tcPr>
            <w:tcW w:w="1140" w:type="dxa"/>
            <w:vAlign w:val="bottom"/>
            <w:gridSpan w:val="2"/>
            <w:shd w:val="clear" w:color="auto" w:fill="CCECFF"/>
          </w:tcPr>
          <w:p>
            <w:pPr>
              <w:jc w:val="right"/>
              <w:ind w:right="226"/>
              <w:spacing w:after="0" w:line="95" w:lineRule="exact"/>
              <w:rPr>
                <w:sz w:val="20"/>
                <w:szCs w:val="20"/>
                <w:color w:val="auto"/>
              </w:rPr>
            </w:pPr>
            <w:r>
              <w:rPr>
                <w:rFonts w:ascii="Times New Roman" w:cs="Times New Roman" w:eastAsia="Times New Roman" w:hAnsi="Times New Roman"/>
                <w:sz w:val="10"/>
                <w:szCs w:val="10"/>
                <w:color w:val="auto"/>
              </w:rPr>
              <w:t>—</w:t>
            </w:r>
          </w:p>
        </w:tc>
        <w:tc>
          <w:tcPr>
            <w:tcW w:w="860" w:type="dxa"/>
            <w:vAlign w:val="bottom"/>
            <w:shd w:val="clear" w:color="auto" w:fill="CCECFF"/>
          </w:tcPr>
          <w:p>
            <w:pPr>
              <w:jc w:val="right"/>
              <w:spacing w:after="0" w:line="95" w:lineRule="exact"/>
              <w:rPr>
                <w:sz w:val="20"/>
                <w:szCs w:val="20"/>
                <w:color w:val="auto"/>
              </w:rPr>
            </w:pPr>
            <w:r>
              <w:rPr>
                <w:rFonts w:ascii="Times New Roman" w:cs="Times New Roman" w:eastAsia="Times New Roman" w:hAnsi="Times New Roman"/>
                <w:sz w:val="10"/>
                <w:szCs w:val="10"/>
                <w:color w:val="auto"/>
              </w:rPr>
              <w:t>—</w:t>
            </w:r>
          </w:p>
        </w:tc>
        <w:tc>
          <w:tcPr>
            <w:tcW w:w="1080" w:type="dxa"/>
            <w:vAlign w:val="bottom"/>
            <w:gridSpan w:val="2"/>
            <w:shd w:val="clear" w:color="auto" w:fill="CCECFF"/>
          </w:tcPr>
          <w:p>
            <w:pPr>
              <w:jc w:val="right"/>
              <w:spacing w:after="0" w:line="95" w:lineRule="exact"/>
              <w:rPr>
                <w:sz w:val="20"/>
                <w:szCs w:val="20"/>
                <w:color w:val="auto"/>
              </w:rPr>
            </w:pPr>
            <w:r>
              <w:rPr>
                <w:rFonts w:ascii="Times New Roman" w:cs="Times New Roman" w:eastAsia="Times New Roman" w:hAnsi="Times New Roman"/>
                <w:sz w:val="10"/>
                <w:szCs w:val="10"/>
                <w:color w:val="auto"/>
              </w:rPr>
              <w:t>5,188</w:t>
            </w:r>
          </w:p>
        </w:tc>
        <w:tc>
          <w:tcPr>
            <w:tcW w:w="220" w:type="dxa"/>
            <w:vAlign w:val="bottom"/>
            <w:shd w:val="clear" w:color="auto" w:fill="CCECFF"/>
          </w:tcPr>
          <w:p>
            <w:pPr>
              <w:spacing w:after="0"/>
              <w:rPr>
                <w:sz w:val="8"/>
                <w:szCs w:val="8"/>
                <w:color w:val="auto"/>
              </w:rPr>
            </w:pPr>
          </w:p>
        </w:tc>
        <w:tc>
          <w:tcPr>
            <w:tcW w:w="180" w:type="dxa"/>
            <w:vAlign w:val="bottom"/>
            <w:shd w:val="clear" w:color="auto" w:fill="CCECFF"/>
          </w:tcPr>
          <w:p>
            <w:pPr>
              <w:spacing w:after="0"/>
              <w:rPr>
                <w:sz w:val="8"/>
                <w:szCs w:val="8"/>
                <w:color w:val="auto"/>
              </w:rPr>
            </w:pPr>
          </w:p>
        </w:tc>
        <w:tc>
          <w:tcPr>
            <w:tcW w:w="600" w:type="dxa"/>
            <w:vAlign w:val="bottom"/>
            <w:shd w:val="clear" w:color="auto" w:fill="CCECFF"/>
          </w:tcPr>
          <w:p>
            <w:pPr>
              <w:jc w:val="right"/>
              <w:spacing w:after="0" w:line="95" w:lineRule="exact"/>
              <w:rPr>
                <w:sz w:val="20"/>
                <w:szCs w:val="20"/>
                <w:color w:val="auto"/>
              </w:rPr>
            </w:pPr>
            <w:r>
              <w:rPr>
                <w:rFonts w:ascii="Times New Roman" w:cs="Times New Roman" w:eastAsia="Times New Roman" w:hAnsi="Times New Roman"/>
                <w:sz w:val="10"/>
                <w:szCs w:val="10"/>
                <w:color w:val="auto"/>
              </w:rPr>
              <w:t>—</w:t>
            </w:r>
          </w:p>
        </w:tc>
        <w:tc>
          <w:tcPr>
            <w:tcW w:w="200" w:type="dxa"/>
            <w:vAlign w:val="bottom"/>
            <w:shd w:val="clear" w:color="auto" w:fill="CCECFF"/>
          </w:tcPr>
          <w:p>
            <w:pPr>
              <w:spacing w:after="0"/>
              <w:rPr>
                <w:sz w:val="8"/>
                <w:szCs w:val="8"/>
                <w:color w:val="auto"/>
              </w:rPr>
            </w:pPr>
          </w:p>
        </w:tc>
        <w:tc>
          <w:tcPr>
            <w:tcW w:w="80" w:type="dxa"/>
            <w:vAlign w:val="bottom"/>
            <w:shd w:val="clear" w:color="auto" w:fill="CCECFF"/>
          </w:tcPr>
          <w:p>
            <w:pPr>
              <w:spacing w:after="0"/>
              <w:rPr>
                <w:sz w:val="8"/>
                <w:szCs w:val="8"/>
                <w:color w:val="auto"/>
              </w:rPr>
            </w:pPr>
          </w:p>
        </w:tc>
        <w:tc>
          <w:tcPr>
            <w:tcW w:w="820" w:type="dxa"/>
            <w:vAlign w:val="bottom"/>
            <w:gridSpan w:val="2"/>
            <w:shd w:val="clear" w:color="auto" w:fill="CCECFF"/>
          </w:tcPr>
          <w:p>
            <w:pPr>
              <w:jc w:val="right"/>
              <w:ind w:right="60"/>
              <w:spacing w:after="0" w:line="95" w:lineRule="exact"/>
              <w:rPr>
                <w:sz w:val="20"/>
                <w:szCs w:val="20"/>
                <w:color w:val="auto"/>
              </w:rPr>
            </w:pPr>
            <w:r>
              <w:rPr>
                <w:rFonts w:ascii="Times New Roman" w:cs="Times New Roman" w:eastAsia="Times New Roman" w:hAnsi="Times New Roman"/>
                <w:sz w:val="10"/>
                <w:szCs w:val="10"/>
                <w:color w:val="auto"/>
              </w:rPr>
              <w:t>(83 )</w:t>
            </w:r>
          </w:p>
        </w:tc>
        <w:tc>
          <w:tcPr>
            <w:tcW w:w="0" w:type="dxa"/>
            <w:vAlign w:val="bottom"/>
          </w:tcPr>
          <w:p>
            <w:pPr>
              <w:spacing w:after="0"/>
              <w:rPr>
                <w:sz w:val="1"/>
                <w:szCs w:val="1"/>
                <w:color w:val="auto"/>
              </w:rPr>
            </w:pPr>
          </w:p>
        </w:tc>
      </w:tr>
      <w:tr>
        <w:trPr>
          <w:trHeight w:val="142"/>
        </w:trPr>
        <w:tc>
          <w:tcPr>
            <w:tcW w:w="2900" w:type="dxa"/>
            <w:vAlign w:val="bottom"/>
            <w:tcBorders>
              <w:bottom w:val="single" w:sz="8" w:color="CCECFF"/>
            </w:tcBorders>
            <w:shd w:val="clear" w:color="auto" w:fill="CCECFF"/>
          </w:tcPr>
          <w:p>
            <w:pPr>
              <w:ind w:left="120"/>
              <w:spacing w:after="0"/>
              <w:rPr>
                <w:sz w:val="20"/>
                <w:szCs w:val="20"/>
                <w:color w:val="auto"/>
              </w:rPr>
            </w:pPr>
            <w:r>
              <w:rPr>
                <w:rFonts w:ascii="Times New Roman" w:cs="Times New Roman" w:eastAsia="Times New Roman" w:hAnsi="Times New Roman"/>
                <w:sz w:val="11"/>
                <w:szCs w:val="11"/>
                <w:color w:val="auto"/>
              </w:rPr>
              <w:t>(f/k/a Management Consulting &amp; Research, LLC)</w:t>
            </w:r>
          </w:p>
        </w:tc>
        <w:tc>
          <w:tcPr>
            <w:tcW w:w="140" w:type="dxa"/>
            <w:vAlign w:val="bottom"/>
            <w:tcBorders>
              <w:bottom w:val="single" w:sz="8" w:color="CCECFF"/>
            </w:tcBorders>
            <w:shd w:val="clear" w:color="auto" w:fill="CCECFF"/>
          </w:tcPr>
          <w:p>
            <w:pPr>
              <w:spacing w:after="0"/>
              <w:rPr>
                <w:sz w:val="12"/>
                <w:szCs w:val="12"/>
                <w:color w:val="auto"/>
              </w:rPr>
            </w:pPr>
          </w:p>
        </w:tc>
        <w:tc>
          <w:tcPr>
            <w:tcW w:w="740" w:type="dxa"/>
            <w:vAlign w:val="bottom"/>
            <w:tcBorders>
              <w:bottom w:val="single" w:sz="8" w:color="CCECFF"/>
            </w:tcBorders>
            <w:shd w:val="clear" w:color="auto" w:fill="CCECFF"/>
          </w:tcPr>
          <w:p>
            <w:pPr>
              <w:spacing w:after="0"/>
              <w:rPr>
                <w:sz w:val="12"/>
                <w:szCs w:val="12"/>
                <w:color w:val="auto"/>
              </w:rPr>
            </w:pPr>
          </w:p>
        </w:tc>
        <w:tc>
          <w:tcPr>
            <w:tcW w:w="160" w:type="dxa"/>
            <w:vAlign w:val="bottom"/>
            <w:tcBorders>
              <w:bottom w:val="single" w:sz="8" w:color="CCECFF"/>
            </w:tcBorders>
            <w:shd w:val="clear" w:color="auto" w:fill="CCECFF"/>
          </w:tcPr>
          <w:p>
            <w:pPr>
              <w:spacing w:after="0"/>
              <w:rPr>
                <w:sz w:val="12"/>
                <w:szCs w:val="12"/>
                <w:color w:val="auto"/>
              </w:rPr>
            </w:pPr>
          </w:p>
        </w:tc>
        <w:tc>
          <w:tcPr>
            <w:tcW w:w="2000" w:type="dxa"/>
            <w:vAlign w:val="bottom"/>
            <w:tcBorders>
              <w:bottom w:val="single" w:sz="8" w:color="CCECFF"/>
            </w:tcBorders>
            <w:shd w:val="clear" w:color="auto" w:fill="CCECFF"/>
          </w:tcPr>
          <w:p>
            <w:pPr>
              <w:spacing w:after="0"/>
              <w:rPr>
                <w:sz w:val="12"/>
                <w:szCs w:val="12"/>
                <w:color w:val="auto"/>
              </w:rPr>
            </w:pPr>
          </w:p>
        </w:tc>
        <w:tc>
          <w:tcPr>
            <w:tcW w:w="120" w:type="dxa"/>
            <w:vAlign w:val="bottom"/>
            <w:tcBorders>
              <w:bottom w:val="single" w:sz="8" w:color="CCECFF"/>
            </w:tcBorders>
            <w:shd w:val="clear" w:color="auto" w:fill="CCECFF"/>
          </w:tcPr>
          <w:p>
            <w:pPr>
              <w:spacing w:after="0"/>
              <w:rPr>
                <w:sz w:val="12"/>
                <w:szCs w:val="12"/>
                <w:color w:val="auto"/>
              </w:rPr>
            </w:pPr>
          </w:p>
        </w:tc>
        <w:tc>
          <w:tcPr>
            <w:tcW w:w="880" w:type="dxa"/>
            <w:vAlign w:val="bottom"/>
            <w:tcBorders>
              <w:bottom w:val="single" w:sz="8" w:color="CCECFF"/>
            </w:tcBorders>
            <w:shd w:val="clear" w:color="auto" w:fill="CCECFF"/>
          </w:tcPr>
          <w:p>
            <w:pPr>
              <w:spacing w:after="0"/>
              <w:rPr>
                <w:sz w:val="12"/>
                <w:szCs w:val="12"/>
                <w:color w:val="auto"/>
              </w:rPr>
            </w:pPr>
          </w:p>
        </w:tc>
        <w:tc>
          <w:tcPr>
            <w:tcW w:w="260" w:type="dxa"/>
            <w:vAlign w:val="bottom"/>
            <w:tcBorders>
              <w:bottom w:val="single" w:sz="8" w:color="CCECFF"/>
            </w:tcBorders>
            <w:shd w:val="clear" w:color="auto" w:fill="CCECFF"/>
          </w:tcPr>
          <w:p>
            <w:pPr>
              <w:spacing w:after="0"/>
              <w:rPr>
                <w:sz w:val="12"/>
                <w:szCs w:val="12"/>
                <w:color w:val="auto"/>
              </w:rPr>
            </w:pPr>
          </w:p>
        </w:tc>
        <w:tc>
          <w:tcPr>
            <w:tcW w:w="860" w:type="dxa"/>
            <w:vAlign w:val="bottom"/>
            <w:tcBorders>
              <w:bottom w:val="single" w:sz="8" w:color="CCECFF"/>
            </w:tcBorders>
            <w:shd w:val="clear" w:color="auto" w:fill="CCECFF"/>
          </w:tcPr>
          <w:p>
            <w:pPr>
              <w:spacing w:after="0"/>
              <w:rPr>
                <w:sz w:val="12"/>
                <w:szCs w:val="12"/>
                <w:color w:val="auto"/>
              </w:rPr>
            </w:pPr>
          </w:p>
        </w:tc>
        <w:tc>
          <w:tcPr>
            <w:tcW w:w="240" w:type="dxa"/>
            <w:vAlign w:val="bottom"/>
            <w:tcBorders>
              <w:bottom w:val="single" w:sz="8" w:color="CCECFF"/>
            </w:tcBorders>
            <w:shd w:val="clear" w:color="auto" w:fill="CCECFF"/>
          </w:tcPr>
          <w:p>
            <w:pPr>
              <w:spacing w:after="0"/>
              <w:rPr>
                <w:sz w:val="12"/>
                <w:szCs w:val="12"/>
                <w:color w:val="auto"/>
              </w:rPr>
            </w:pPr>
          </w:p>
        </w:tc>
        <w:tc>
          <w:tcPr>
            <w:tcW w:w="840" w:type="dxa"/>
            <w:vAlign w:val="bottom"/>
            <w:tcBorders>
              <w:bottom w:val="single" w:sz="8" w:color="CCECFF"/>
            </w:tcBorders>
            <w:shd w:val="clear" w:color="auto" w:fill="CCECFF"/>
          </w:tcPr>
          <w:p>
            <w:pPr>
              <w:spacing w:after="0"/>
              <w:rPr>
                <w:sz w:val="12"/>
                <w:szCs w:val="12"/>
                <w:color w:val="auto"/>
              </w:rPr>
            </w:pPr>
          </w:p>
        </w:tc>
        <w:tc>
          <w:tcPr>
            <w:tcW w:w="220" w:type="dxa"/>
            <w:vAlign w:val="bottom"/>
            <w:tcBorders>
              <w:bottom w:val="single" w:sz="8" w:color="CCECFF"/>
            </w:tcBorders>
            <w:shd w:val="clear" w:color="auto" w:fill="CCECFF"/>
          </w:tcPr>
          <w:p>
            <w:pPr>
              <w:spacing w:after="0"/>
              <w:rPr>
                <w:sz w:val="12"/>
                <w:szCs w:val="12"/>
                <w:color w:val="auto"/>
              </w:rPr>
            </w:pPr>
          </w:p>
        </w:tc>
        <w:tc>
          <w:tcPr>
            <w:tcW w:w="180" w:type="dxa"/>
            <w:vAlign w:val="bottom"/>
            <w:tcBorders>
              <w:bottom w:val="single" w:sz="8" w:color="CCECFF"/>
            </w:tcBorders>
            <w:shd w:val="clear" w:color="auto" w:fill="CCECFF"/>
          </w:tcPr>
          <w:p>
            <w:pPr>
              <w:spacing w:after="0"/>
              <w:rPr>
                <w:sz w:val="12"/>
                <w:szCs w:val="12"/>
                <w:color w:val="auto"/>
              </w:rPr>
            </w:pPr>
          </w:p>
        </w:tc>
        <w:tc>
          <w:tcPr>
            <w:tcW w:w="600" w:type="dxa"/>
            <w:vAlign w:val="bottom"/>
            <w:tcBorders>
              <w:bottom w:val="single" w:sz="8" w:color="CCECFF"/>
            </w:tcBorders>
            <w:shd w:val="clear" w:color="auto" w:fill="CCECFF"/>
          </w:tcPr>
          <w:p>
            <w:pPr>
              <w:spacing w:after="0"/>
              <w:rPr>
                <w:sz w:val="12"/>
                <w:szCs w:val="12"/>
                <w:color w:val="auto"/>
              </w:rPr>
            </w:pPr>
          </w:p>
        </w:tc>
        <w:tc>
          <w:tcPr>
            <w:tcW w:w="200" w:type="dxa"/>
            <w:vAlign w:val="bottom"/>
            <w:tcBorders>
              <w:bottom w:val="single" w:sz="8" w:color="CCECFF"/>
            </w:tcBorders>
            <w:shd w:val="clear" w:color="auto" w:fill="CCECFF"/>
          </w:tcPr>
          <w:p>
            <w:pPr>
              <w:spacing w:after="0"/>
              <w:rPr>
                <w:sz w:val="12"/>
                <w:szCs w:val="12"/>
                <w:color w:val="auto"/>
              </w:rPr>
            </w:pPr>
          </w:p>
        </w:tc>
        <w:tc>
          <w:tcPr>
            <w:tcW w:w="80" w:type="dxa"/>
            <w:vAlign w:val="bottom"/>
            <w:tcBorders>
              <w:bottom w:val="single" w:sz="8" w:color="CCECFF"/>
            </w:tcBorders>
            <w:shd w:val="clear" w:color="auto" w:fill="CCECFF"/>
          </w:tcPr>
          <w:p>
            <w:pPr>
              <w:spacing w:after="0"/>
              <w:rPr>
                <w:sz w:val="12"/>
                <w:szCs w:val="12"/>
                <w:color w:val="auto"/>
              </w:rPr>
            </w:pPr>
          </w:p>
        </w:tc>
        <w:tc>
          <w:tcPr>
            <w:tcW w:w="720" w:type="dxa"/>
            <w:vAlign w:val="bottom"/>
            <w:tcBorders>
              <w:bottom w:val="single" w:sz="8" w:color="CCECFF"/>
            </w:tcBorders>
            <w:shd w:val="clear" w:color="auto" w:fill="CCECFF"/>
          </w:tcPr>
          <w:p>
            <w:pPr>
              <w:spacing w:after="0"/>
              <w:rPr>
                <w:sz w:val="12"/>
                <w:szCs w:val="12"/>
                <w:color w:val="auto"/>
              </w:rPr>
            </w:pPr>
          </w:p>
        </w:tc>
        <w:tc>
          <w:tcPr>
            <w:tcW w:w="100" w:type="dxa"/>
            <w:vAlign w:val="bottom"/>
            <w:tcBorders>
              <w:bottom w:val="single" w:sz="8" w:color="CCECFF"/>
            </w:tcBorders>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9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Teneo Holdings LLC</w:t>
            </w:r>
          </w:p>
        </w:tc>
        <w:tc>
          <w:tcPr>
            <w:tcW w:w="880" w:type="dxa"/>
            <w:vAlign w:val="bottom"/>
            <w:gridSpan w:val="2"/>
          </w:tcPr>
          <w:p>
            <w:pPr>
              <w:jc w:val="center"/>
              <w:ind w:left="106"/>
              <w:spacing w:after="0"/>
              <w:rPr>
                <w:sz w:val="20"/>
                <w:szCs w:val="20"/>
                <w:color w:val="auto"/>
              </w:rPr>
            </w:pPr>
            <w:r>
              <w:rPr>
                <w:rFonts w:ascii="Times New Roman" w:cs="Times New Roman" w:eastAsia="Times New Roman" w:hAnsi="Times New Roman"/>
                <w:sz w:val="11"/>
                <w:szCs w:val="11"/>
                <w:color w:val="auto"/>
                <w:w w:val="95"/>
              </w:rPr>
              <w:t>07/18/2025</w:t>
            </w:r>
          </w:p>
        </w:tc>
        <w:tc>
          <w:tcPr>
            <w:tcW w:w="160" w:type="dxa"/>
            <w:vAlign w:val="bottom"/>
          </w:tcPr>
          <w:p>
            <w:pPr>
              <w:spacing w:after="0"/>
              <w:rPr>
                <w:sz w:val="11"/>
                <w:szCs w:val="11"/>
                <w:color w:val="auto"/>
              </w:rPr>
            </w:pPr>
          </w:p>
        </w:tc>
        <w:tc>
          <w:tcPr>
            <w:tcW w:w="20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Diversified Financial Services</w:t>
            </w:r>
          </w:p>
        </w:tc>
        <w:tc>
          <w:tcPr>
            <w:tcW w:w="1260" w:type="dxa"/>
            <w:vAlign w:val="bottom"/>
            <w:gridSpan w:val="3"/>
          </w:tcPr>
          <w:p>
            <w:pPr>
              <w:jc w:val="right"/>
              <w:ind w:right="106"/>
              <w:spacing w:after="0"/>
              <w:rPr>
                <w:sz w:val="20"/>
                <w:szCs w:val="20"/>
                <w:color w:val="auto"/>
              </w:rPr>
            </w:pPr>
            <w:r>
              <w:rPr>
                <w:rFonts w:ascii="Times New Roman" w:cs="Times New Roman" w:eastAsia="Times New Roman" w:hAnsi="Times New Roman"/>
                <w:sz w:val="11"/>
                <w:szCs w:val="11"/>
                <w:color w:val="auto"/>
              </w:rPr>
              <w:t>8.38 %</w:t>
            </w: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1M L+525</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5,793</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5,718</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5,455</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The Aegis Technologies Group, LLC</w:t>
            </w:r>
          </w:p>
        </w:tc>
        <w:tc>
          <w:tcPr>
            <w:tcW w:w="880" w:type="dxa"/>
            <w:vAlign w:val="bottom"/>
            <w:gridSpan w:val="2"/>
            <w:shd w:val="clear" w:color="auto" w:fill="CCECFF"/>
          </w:tcPr>
          <w:p>
            <w:pPr>
              <w:jc w:val="center"/>
              <w:ind w:left="106"/>
              <w:spacing w:after="0"/>
              <w:rPr>
                <w:sz w:val="20"/>
                <w:szCs w:val="20"/>
                <w:color w:val="auto"/>
              </w:rPr>
            </w:pPr>
            <w:r>
              <w:rPr>
                <w:rFonts w:ascii="Times New Roman" w:cs="Times New Roman" w:eastAsia="Times New Roman" w:hAnsi="Times New Roman"/>
                <w:sz w:val="11"/>
                <w:szCs w:val="11"/>
                <w:color w:val="auto"/>
                <w:w w:val="95"/>
              </w:rPr>
              <w:t>10/31/2025</w:t>
            </w:r>
          </w:p>
        </w:tc>
        <w:tc>
          <w:tcPr>
            <w:tcW w:w="160" w:type="dxa"/>
            <w:vAlign w:val="bottom"/>
            <w:shd w:val="clear" w:color="auto" w:fill="CCECFF"/>
          </w:tcPr>
          <w:p>
            <w:pPr>
              <w:spacing w:after="0"/>
              <w:rPr>
                <w:sz w:val="11"/>
                <w:szCs w:val="11"/>
                <w:color w:val="auto"/>
              </w:rPr>
            </w:pPr>
          </w:p>
        </w:tc>
        <w:tc>
          <w:tcPr>
            <w:tcW w:w="20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1260" w:type="dxa"/>
            <w:vAlign w:val="bottom"/>
            <w:gridSpan w:val="3"/>
            <w:shd w:val="clear" w:color="auto" w:fill="CCECFF"/>
          </w:tcPr>
          <w:p>
            <w:pPr>
              <w:jc w:val="right"/>
              <w:ind w:right="106"/>
              <w:spacing w:after="0"/>
              <w:rPr>
                <w:sz w:val="20"/>
                <w:szCs w:val="20"/>
                <w:color w:val="auto"/>
              </w:rPr>
            </w:pPr>
            <w:r>
              <w:rPr>
                <w:rFonts w:ascii="Times New Roman" w:cs="Times New Roman" w:eastAsia="Times New Roman" w:hAnsi="Times New Roman"/>
                <w:sz w:val="11"/>
                <w:szCs w:val="11"/>
                <w:color w:val="auto"/>
              </w:rPr>
              <w:t>9.55 %</w:t>
            </w:r>
          </w:p>
        </w:tc>
        <w:tc>
          <w:tcPr>
            <w:tcW w:w="8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L+600</w:t>
            </w:r>
          </w:p>
        </w:tc>
        <w:tc>
          <w:tcPr>
            <w:tcW w:w="108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4,921</w:t>
            </w:r>
          </w:p>
        </w:tc>
        <w:tc>
          <w:tcPr>
            <w:tcW w:w="22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4,868</w:t>
            </w:r>
          </w:p>
        </w:tc>
        <w:tc>
          <w:tcPr>
            <w:tcW w:w="20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7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4,872</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03"/>
        </w:trPr>
        <w:tc>
          <w:tcPr>
            <w:tcW w:w="2900" w:type="dxa"/>
            <w:vAlign w:val="bottom"/>
          </w:tcPr>
          <w:p>
            <w:pPr>
              <w:ind w:left="20"/>
              <w:spacing w:after="0" w:line="103" w:lineRule="exact"/>
              <w:rPr>
                <w:sz w:val="20"/>
                <w:szCs w:val="20"/>
                <w:color w:val="auto"/>
              </w:rPr>
            </w:pPr>
            <w:r>
              <w:rPr>
                <w:rFonts w:ascii="Times New Roman" w:cs="Times New Roman" w:eastAsia="Times New Roman" w:hAnsi="Times New Roman"/>
                <w:sz w:val="11"/>
                <w:szCs w:val="11"/>
                <w:color w:val="auto"/>
              </w:rPr>
              <w:t>The Bluebird Group LLC</w:t>
            </w:r>
          </w:p>
        </w:tc>
        <w:tc>
          <w:tcPr>
            <w:tcW w:w="880" w:type="dxa"/>
            <w:vAlign w:val="bottom"/>
            <w:gridSpan w:val="2"/>
          </w:tcPr>
          <w:p>
            <w:pPr>
              <w:jc w:val="center"/>
              <w:ind w:left="106"/>
              <w:spacing w:after="0" w:line="103" w:lineRule="exact"/>
              <w:rPr>
                <w:sz w:val="20"/>
                <w:szCs w:val="20"/>
                <w:color w:val="auto"/>
              </w:rPr>
            </w:pPr>
            <w:r>
              <w:rPr>
                <w:rFonts w:ascii="Times New Roman" w:cs="Times New Roman" w:eastAsia="Times New Roman" w:hAnsi="Times New Roman"/>
                <w:sz w:val="11"/>
                <w:szCs w:val="11"/>
                <w:color w:val="auto"/>
                <w:w w:val="95"/>
              </w:rPr>
              <w:t>07/27/2026</w:t>
            </w:r>
          </w:p>
        </w:tc>
        <w:tc>
          <w:tcPr>
            <w:tcW w:w="160" w:type="dxa"/>
            <w:vAlign w:val="bottom"/>
          </w:tcPr>
          <w:p>
            <w:pPr>
              <w:spacing w:after="0"/>
              <w:rPr>
                <w:sz w:val="8"/>
                <w:szCs w:val="8"/>
                <w:color w:val="auto"/>
              </w:rPr>
            </w:pPr>
          </w:p>
        </w:tc>
        <w:tc>
          <w:tcPr>
            <w:tcW w:w="2000" w:type="dxa"/>
            <w:vAlign w:val="bottom"/>
          </w:tcPr>
          <w:p>
            <w:pPr>
              <w:jc w:val="center"/>
              <w:spacing w:after="0" w:line="103" w:lineRule="exact"/>
              <w:rPr>
                <w:sz w:val="20"/>
                <w:szCs w:val="20"/>
                <w:color w:val="auto"/>
              </w:rPr>
            </w:pPr>
            <w:r>
              <w:rPr>
                <w:rFonts w:ascii="Times New Roman" w:cs="Times New Roman" w:eastAsia="Times New Roman" w:hAnsi="Times New Roman"/>
                <w:sz w:val="11"/>
                <w:szCs w:val="11"/>
                <w:color w:val="auto"/>
                <w:w w:val="97"/>
              </w:rPr>
              <w:t>Professional Services</w:t>
            </w:r>
          </w:p>
        </w:tc>
        <w:tc>
          <w:tcPr>
            <w:tcW w:w="1260" w:type="dxa"/>
            <w:vAlign w:val="bottom"/>
            <w:gridSpan w:val="3"/>
          </w:tcPr>
          <w:p>
            <w:pPr>
              <w:jc w:val="right"/>
              <w:ind w:right="106"/>
              <w:spacing w:after="0" w:line="103" w:lineRule="exact"/>
              <w:rPr>
                <w:sz w:val="20"/>
                <w:szCs w:val="20"/>
                <w:color w:val="auto"/>
              </w:rPr>
            </w:pPr>
            <w:r>
              <w:rPr>
                <w:rFonts w:ascii="Times New Roman" w:cs="Times New Roman" w:eastAsia="Times New Roman" w:hAnsi="Times New Roman"/>
                <w:sz w:val="11"/>
                <w:szCs w:val="11"/>
                <w:color w:val="auto"/>
              </w:rPr>
              <w:t>10.67 %</w:t>
            </w:r>
          </w:p>
        </w:tc>
        <w:tc>
          <w:tcPr>
            <w:tcW w:w="860" w:type="dxa"/>
            <w:vAlign w:val="bottom"/>
          </w:tcPr>
          <w:p>
            <w:pPr>
              <w:jc w:val="right"/>
              <w:spacing w:after="0" w:line="103" w:lineRule="exact"/>
              <w:rPr>
                <w:sz w:val="20"/>
                <w:szCs w:val="20"/>
                <w:color w:val="auto"/>
              </w:rPr>
            </w:pPr>
            <w:r>
              <w:rPr>
                <w:rFonts w:ascii="Times New Roman" w:cs="Times New Roman" w:eastAsia="Times New Roman" w:hAnsi="Times New Roman"/>
                <w:sz w:val="11"/>
                <w:szCs w:val="11"/>
                <w:color w:val="auto"/>
              </w:rPr>
              <w:t>3M L+700</w:t>
            </w:r>
          </w:p>
        </w:tc>
        <w:tc>
          <w:tcPr>
            <w:tcW w:w="1080" w:type="dxa"/>
            <w:vAlign w:val="bottom"/>
            <w:gridSpan w:val="2"/>
          </w:tcPr>
          <w:p>
            <w:pPr>
              <w:jc w:val="right"/>
              <w:spacing w:after="0" w:line="103" w:lineRule="exact"/>
              <w:rPr>
                <w:sz w:val="20"/>
                <w:szCs w:val="20"/>
                <w:color w:val="auto"/>
              </w:rPr>
            </w:pPr>
            <w:r>
              <w:rPr>
                <w:rFonts w:ascii="Times New Roman" w:cs="Times New Roman" w:eastAsia="Times New Roman" w:hAnsi="Times New Roman"/>
                <w:sz w:val="11"/>
                <w:szCs w:val="11"/>
                <w:color w:val="auto"/>
              </w:rPr>
              <w:t>6,265</w:t>
            </w: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tcPr>
          <w:p>
            <w:pPr>
              <w:jc w:val="right"/>
              <w:spacing w:after="0" w:line="103" w:lineRule="exact"/>
              <w:rPr>
                <w:sz w:val="20"/>
                <w:szCs w:val="20"/>
                <w:color w:val="auto"/>
              </w:rPr>
            </w:pPr>
            <w:r>
              <w:rPr>
                <w:rFonts w:ascii="Times New Roman" w:cs="Times New Roman" w:eastAsia="Times New Roman" w:hAnsi="Times New Roman"/>
                <w:sz w:val="11"/>
                <w:szCs w:val="11"/>
                <w:color w:val="auto"/>
              </w:rPr>
              <w:t>6,162</w:t>
            </w: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jc w:val="right"/>
              <w:spacing w:after="0" w:line="103" w:lineRule="exact"/>
              <w:rPr>
                <w:sz w:val="20"/>
                <w:szCs w:val="20"/>
                <w:color w:val="auto"/>
              </w:rPr>
            </w:pPr>
            <w:r>
              <w:rPr>
                <w:rFonts w:ascii="Times New Roman" w:cs="Times New Roman" w:eastAsia="Times New Roman" w:hAnsi="Times New Roman"/>
                <w:sz w:val="11"/>
                <w:szCs w:val="11"/>
                <w:color w:val="auto"/>
              </w:rPr>
              <w:t>6,328</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3"/>
        </w:trPr>
        <w:tc>
          <w:tcPr>
            <w:tcW w:w="2900" w:type="dxa"/>
            <w:vAlign w:val="bottom"/>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The Bluebird Group LLC (Revolver) </w:t>
            </w:r>
            <w:r>
              <w:rPr>
                <w:rFonts w:ascii="Times New Roman" w:cs="Times New Roman" w:eastAsia="Times New Roman" w:hAnsi="Times New Roman"/>
                <w:sz w:val="14"/>
                <w:szCs w:val="14"/>
                <w:color w:val="auto"/>
                <w:vertAlign w:val="superscript"/>
              </w:rPr>
              <w:t>(7), (9)</w:t>
            </w:r>
          </w:p>
        </w:tc>
        <w:tc>
          <w:tcPr>
            <w:tcW w:w="880" w:type="dxa"/>
            <w:vAlign w:val="bottom"/>
            <w:gridSpan w:val="2"/>
          </w:tcPr>
          <w:p>
            <w:pPr>
              <w:jc w:val="center"/>
              <w:ind w:left="106"/>
              <w:spacing w:after="0"/>
              <w:rPr>
                <w:sz w:val="20"/>
                <w:szCs w:val="20"/>
                <w:color w:val="auto"/>
              </w:rPr>
            </w:pPr>
            <w:r>
              <w:rPr>
                <w:rFonts w:ascii="Times New Roman" w:cs="Times New Roman" w:eastAsia="Times New Roman" w:hAnsi="Times New Roman"/>
                <w:sz w:val="11"/>
                <w:szCs w:val="11"/>
                <w:color w:val="auto"/>
                <w:w w:val="95"/>
              </w:rPr>
              <w:t>07/27/2026</w:t>
            </w:r>
          </w:p>
        </w:tc>
        <w:tc>
          <w:tcPr>
            <w:tcW w:w="160" w:type="dxa"/>
            <w:vAlign w:val="bottom"/>
          </w:tcPr>
          <w:p>
            <w:pPr>
              <w:spacing w:after="0"/>
              <w:rPr>
                <w:sz w:val="13"/>
                <w:szCs w:val="13"/>
                <w:color w:val="auto"/>
              </w:rPr>
            </w:pPr>
          </w:p>
        </w:tc>
        <w:tc>
          <w:tcPr>
            <w:tcW w:w="20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Professional Services</w:t>
            </w:r>
          </w:p>
        </w:tc>
        <w:tc>
          <w:tcPr>
            <w:tcW w:w="120" w:type="dxa"/>
            <w:vAlign w:val="bottom"/>
          </w:tcPr>
          <w:p>
            <w:pPr>
              <w:spacing w:after="0"/>
              <w:rPr>
                <w:sz w:val="13"/>
                <w:szCs w:val="13"/>
                <w:color w:val="auto"/>
              </w:rPr>
            </w:pPr>
          </w:p>
        </w:tc>
        <w:tc>
          <w:tcPr>
            <w:tcW w:w="1140" w:type="dxa"/>
            <w:vAlign w:val="bottom"/>
            <w:gridSpan w:val="2"/>
          </w:tcPr>
          <w:p>
            <w:pPr>
              <w:jc w:val="right"/>
              <w:ind w:right="226"/>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862</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2900" w:type="dxa"/>
            <w:vAlign w:val="bottom"/>
          </w:tcPr>
          <w:p>
            <w:pPr>
              <w:ind w:left="20"/>
              <w:spacing w:after="0" w:line="117" w:lineRule="exact"/>
              <w:rPr>
                <w:sz w:val="20"/>
                <w:szCs w:val="20"/>
                <w:color w:val="auto"/>
              </w:rPr>
            </w:pPr>
            <w:r>
              <w:rPr>
                <w:rFonts w:ascii="Times New Roman" w:cs="Times New Roman" w:eastAsia="Times New Roman" w:hAnsi="Times New Roman"/>
                <w:sz w:val="11"/>
                <w:szCs w:val="11"/>
                <w:color w:val="auto"/>
              </w:rPr>
              <w:t>The Infosoft Group, LLC</w:t>
            </w:r>
          </w:p>
        </w:tc>
        <w:tc>
          <w:tcPr>
            <w:tcW w:w="880" w:type="dxa"/>
            <w:vAlign w:val="bottom"/>
            <w:gridSpan w:val="2"/>
          </w:tcPr>
          <w:p>
            <w:pPr>
              <w:jc w:val="center"/>
              <w:ind w:left="106"/>
              <w:spacing w:after="0" w:line="117" w:lineRule="exact"/>
              <w:rPr>
                <w:sz w:val="20"/>
                <w:szCs w:val="20"/>
                <w:color w:val="auto"/>
              </w:rPr>
            </w:pPr>
            <w:r>
              <w:rPr>
                <w:rFonts w:ascii="Times New Roman" w:cs="Times New Roman" w:eastAsia="Times New Roman" w:hAnsi="Times New Roman"/>
                <w:sz w:val="11"/>
                <w:szCs w:val="11"/>
                <w:color w:val="auto"/>
                <w:w w:val="95"/>
              </w:rPr>
              <w:t>09/16/2024</w:t>
            </w:r>
          </w:p>
        </w:tc>
        <w:tc>
          <w:tcPr>
            <w:tcW w:w="160" w:type="dxa"/>
            <w:vAlign w:val="bottom"/>
          </w:tcPr>
          <w:p>
            <w:pPr>
              <w:spacing w:after="0"/>
              <w:rPr>
                <w:sz w:val="10"/>
                <w:szCs w:val="10"/>
                <w:color w:val="auto"/>
              </w:rPr>
            </w:pPr>
          </w:p>
        </w:tc>
        <w:tc>
          <w:tcPr>
            <w:tcW w:w="200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color w:val="auto"/>
                <w:w w:val="98"/>
              </w:rPr>
              <w:t>Media: Broadcasting and Subscription</w:t>
            </w:r>
          </w:p>
        </w:tc>
        <w:tc>
          <w:tcPr>
            <w:tcW w:w="1260" w:type="dxa"/>
            <w:vAlign w:val="bottom"/>
            <w:gridSpan w:val="3"/>
          </w:tcPr>
          <w:p>
            <w:pPr>
              <w:jc w:val="right"/>
              <w:ind w:right="106"/>
              <w:spacing w:after="0" w:line="117" w:lineRule="exact"/>
              <w:rPr>
                <w:sz w:val="20"/>
                <w:szCs w:val="20"/>
                <w:color w:val="auto"/>
              </w:rPr>
            </w:pPr>
            <w:r>
              <w:rPr>
                <w:rFonts w:ascii="Times New Roman" w:cs="Times New Roman" w:eastAsia="Times New Roman" w:hAnsi="Times New Roman"/>
                <w:sz w:val="11"/>
                <w:szCs w:val="11"/>
                <w:color w:val="auto"/>
              </w:rPr>
              <w:t>8.51 %</w:t>
            </w:r>
          </w:p>
        </w:tc>
        <w:tc>
          <w:tcPr>
            <w:tcW w:w="86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3M L+575</w:t>
            </w:r>
          </w:p>
        </w:tc>
        <w:tc>
          <w:tcPr>
            <w:tcW w:w="108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1"/>
                <w:szCs w:val="11"/>
                <w:color w:val="auto"/>
              </w:rPr>
              <w:t>15,229</w:t>
            </w: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15,120</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15,115</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90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The Vertex Companies, LLC </w:t>
            </w:r>
            <w:r>
              <w:rPr>
                <w:rFonts w:ascii="Times New Roman" w:cs="Times New Roman" w:eastAsia="Times New Roman" w:hAnsi="Times New Roman"/>
                <w:sz w:val="14"/>
                <w:szCs w:val="14"/>
                <w:color w:val="auto"/>
                <w:vertAlign w:val="superscript"/>
              </w:rPr>
              <w:t>(7)</w:t>
            </w:r>
          </w:p>
        </w:tc>
        <w:tc>
          <w:tcPr>
            <w:tcW w:w="880" w:type="dxa"/>
            <w:vAlign w:val="bottom"/>
            <w:gridSpan w:val="2"/>
          </w:tcPr>
          <w:p>
            <w:pPr>
              <w:jc w:val="center"/>
              <w:ind w:left="106"/>
              <w:spacing w:after="0"/>
              <w:rPr>
                <w:sz w:val="20"/>
                <w:szCs w:val="20"/>
                <w:color w:val="auto"/>
              </w:rPr>
            </w:pPr>
            <w:r>
              <w:rPr>
                <w:rFonts w:ascii="Times New Roman" w:cs="Times New Roman" w:eastAsia="Times New Roman" w:hAnsi="Times New Roman"/>
                <w:sz w:val="11"/>
                <w:szCs w:val="11"/>
                <w:color w:val="auto"/>
                <w:w w:val="95"/>
              </w:rPr>
              <w:t>08/30/2027</w:t>
            </w:r>
          </w:p>
        </w:tc>
        <w:tc>
          <w:tcPr>
            <w:tcW w:w="160" w:type="dxa"/>
            <w:vAlign w:val="bottom"/>
          </w:tcPr>
          <w:p>
            <w:pPr>
              <w:spacing w:after="0"/>
              <w:rPr>
                <w:sz w:val="11"/>
                <w:szCs w:val="11"/>
                <w:color w:val="auto"/>
              </w:rPr>
            </w:pPr>
          </w:p>
        </w:tc>
        <w:tc>
          <w:tcPr>
            <w:tcW w:w="20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Construction &amp; Engineering</w:t>
            </w:r>
          </w:p>
        </w:tc>
        <w:tc>
          <w:tcPr>
            <w:tcW w:w="1260" w:type="dxa"/>
            <w:vAlign w:val="bottom"/>
            <w:gridSpan w:val="3"/>
          </w:tcPr>
          <w:p>
            <w:pPr>
              <w:jc w:val="right"/>
              <w:ind w:right="106"/>
              <w:spacing w:after="0"/>
              <w:rPr>
                <w:sz w:val="20"/>
                <w:szCs w:val="20"/>
                <w:color w:val="auto"/>
              </w:rPr>
            </w:pPr>
            <w:r>
              <w:rPr>
                <w:rFonts w:ascii="Times New Roman" w:cs="Times New Roman" w:eastAsia="Times New Roman" w:hAnsi="Times New Roman"/>
                <w:sz w:val="11"/>
                <w:szCs w:val="11"/>
                <w:color w:val="auto"/>
              </w:rPr>
              <w:t>8.18 %</w:t>
            </w: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1M L+550</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2,159</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2,122</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2,148</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900" w:type="dxa"/>
            <w:vAlign w:val="bottom"/>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The Vertex Companies, LLC </w:t>
            </w:r>
            <w:r>
              <w:rPr>
                <w:rFonts w:ascii="Times New Roman" w:cs="Times New Roman" w:eastAsia="Times New Roman" w:hAnsi="Times New Roman"/>
                <w:sz w:val="14"/>
                <w:szCs w:val="14"/>
                <w:color w:val="auto"/>
                <w:vertAlign w:val="superscript"/>
              </w:rPr>
              <w:t>(7), (9)</w:t>
            </w:r>
          </w:p>
        </w:tc>
        <w:tc>
          <w:tcPr>
            <w:tcW w:w="880" w:type="dxa"/>
            <w:vAlign w:val="bottom"/>
            <w:gridSpan w:val="2"/>
          </w:tcPr>
          <w:p>
            <w:pPr>
              <w:jc w:val="center"/>
              <w:ind w:left="106"/>
              <w:spacing w:after="0"/>
              <w:rPr>
                <w:sz w:val="20"/>
                <w:szCs w:val="20"/>
                <w:color w:val="auto"/>
              </w:rPr>
            </w:pPr>
            <w:r>
              <w:rPr>
                <w:rFonts w:ascii="Times New Roman" w:cs="Times New Roman" w:eastAsia="Times New Roman" w:hAnsi="Times New Roman"/>
                <w:sz w:val="11"/>
                <w:szCs w:val="11"/>
                <w:color w:val="auto"/>
                <w:w w:val="95"/>
              </w:rPr>
              <w:t>08/30/2027</w:t>
            </w:r>
          </w:p>
        </w:tc>
        <w:tc>
          <w:tcPr>
            <w:tcW w:w="160" w:type="dxa"/>
            <w:vAlign w:val="bottom"/>
          </w:tcPr>
          <w:p>
            <w:pPr>
              <w:spacing w:after="0"/>
              <w:rPr>
                <w:sz w:val="13"/>
                <w:szCs w:val="13"/>
                <w:color w:val="auto"/>
              </w:rPr>
            </w:pPr>
          </w:p>
        </w:tc>
        <w:tc>
          <w:tcPr>
            <w:tcW w:w="20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Construction &amp; Engineering</w:t>
            </w:r>
          </w:p>
        </w:tc>
        <w:tc>
          <w:tcPr>
            <w:tcW w:w="120" w:type="dxa"/>
            <w:vAlign w:val="bottom"/>
          </w:tcPr>
          <w:p>
            <w:pPr>
              <w:spacing w:after="0"/>
              <w:rPr>
                <w:sz w:val="13"/>
                <w:szCs w:val="13"/>
                <w:color w:val="auto"/>
              </w:rPr>
            </w:pPr>
          </w:p>
        </w:tc>
        <w:tc>
          <w:tcPr>
            <w:tcW w:w="1140" w:type="dxa"/>
            <w:vAlign w:val="bottom"/>
            <w:gridSpan w:val="2"/>
          </w:tcPr>
          <w:p>
            <w:pPr>
              <w:jc w:val="right"/>
              <w:ind w:right="226"/>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573</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2900" w:type="dxa"/>
            <w:vAlign w:val="bottom"/>
          </w:tcPr>
          <w:p>
            <w:pPr>
              <w:ind w:left="20"/>
              <w:spacing w:after="0" w:line="117" w:lineRule="exact"/>
              <w:rPr>
                <w:sz w:val="20"/>
                <w:szCs w:val="20"/>
                <w:color w:val="auto"/>
              </w:rPr>
            </w:pPr>
            <w:r>
              <w:rPr>
                <w:rFonts w:ascii="Times New Roman" w:cs="Times New Roman" w:eastAsia="Times New Roman" w:hAnsi="Times New Roman"/>
                <w:sz w:val="11"/>
                <w:szCs w:val="11"/>
                <w:color w:val="auto"/>
              </w:rPr>
              <w:t>The Vertex Companies, LLC (Revolver)</w:t>
            </w:r>
          </w:p>
        </w:tc>
        <w:tc>
          <w:tcPr>
            <w:tcW w:w="880" w:type="dxa"/>
            <w:vAlign w:val="bottom"/>
            <w:gridSpan w:val="2"/>
          </w:tcPr>
          <w:p>
            <w:pPr>
              <w:jc w:val="center"/>
              <w:ind w:left="106"/>
              <w:spacing w:after="0" w:line="117" w:lineRule="exact"/>
              <w:rPr>
                <w:sz w:val="20"/>
                <w:szCs w:val="20"/>
                <w:color w:val="auto"/>
              </w:rPr>
            </w:pPr>
            <w:r>
              <w:rPr>
                <w:rFonts w:ascii="Times New Roman" w:cs="Times New Roman" w:eastAsia="Times New Roman" w:hAnsi="Times New Roman"/>
                <w:sz w:val="11"/>
                <w:szCs w:val="11"/>
                <w:color w:val="auto"/>
                <w:w w:val="95"/>
              </w:rPr>
              <w:t>08/30/2027</w:t>
            </w:r>
          </w:p>
        </w:tc>
        <w:tc>
          <w:tcPr>
            <w:tcW w:w="160" w:type="dxa"/>
            <w:vAlign w:val="bottom"/>
          </w:tcPr>
          <w:p>
            <w:pPr>
              <w:spacing w:after="0"/>
              <w:rPr>
                <w:sz w:val="10"/>
                <w:szCs w:val="10"/>
                <w:color w:val="auto"/>
              </w:rPr>
            </w:pPr>
          </w:p>
        </w:tc>
        <w:tc>
          <w:tcPr>
            <w:tcW w:w="200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color w:val="auto"/>
                <w:w w:val="97"/>
              </w:rPr>
              <w:t>Construction &amp; Engineering</w:t>
            </w:r>
          </w:p>
        </w:tc>
        <w:tc>
          <w:tcPr>
            <w:tcW w:w="1260" w:type="dxa"/>
            <w:vAlign w:val="bottom"/>
            <w:gridSpan w:val="3"/>
          </w:tcPr>
          <w:p>
            <w:pPr>
              <w:jc w:val="right"/>
              <w:ind w:right="106"/>
              <w:spacing w:after="0" w:line="117" w:lineRule="exact"/>
              <w:rPr>
                <w:sz w:val="20"/>
                <w:szCs w:val="20"/>
                <w:color w:val="auto"/>
              </w:rPr>
            </w:pPr>
            <w:r>
              <w:rPr>
                <w:rFonts w:ascii="Times New Roman" w:cs="Times New Roman" w:eastAsia="Times New Roman" w:hAnsi="Times New Roman"/>
                <w:sz w:val="11"/>
                <w:szCs w:val="11"/>
                <w:color w:val="auto"/>
              </w:rPr>
              <w:t>8.26 %</w:t>
            </w:r>
          </w:p>
        </w:tc>
        <w:tc>
          <w:tcPr>
            <w:tcW w:w="86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1M L+550</w:t>
            </w:r>
          </w:p>
        </w:tc>
        <w:tc>
          <w:tcPr>
            <w:tcW w:w="108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1"/>
                <w:szCs w:val="11"/>
                <w:color w:val="auto"/>
              </w:rPr>
              <w:t>182</w:t>
            </w: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182</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181</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90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The Vertex Companies, LLC (Revolver) </w:t>
            </w:r>
            <w:r>
              <w:rPr>
                <w:rFonts w:ascii="Times New Roman" w:cs="Times New Roman" w:eastAsia="Times New Roman" w:hAnsi="Times New Roman"/>
                <w:sz w:val="14"/>
                <w:szCs w:val="14"/>
                <w:color w:val="auto"/>
                <w:vertAlign w:val="superscript"/>
              </w:rPr>
              <w:t>(7), (9)</w:t>
            </w:r>
          </w:p>
        </w:tc>
        <w:tc>
          <w:tcPr>
            <w:tcW w:w="880" w:type="dxa"/>
            <w:vAlign w:val="bottom"/>
            <w:gridSpan w:val="2"/>
          </w:tcPr>
          <w:p>
            <w:pPr>
              <w:jc w:val="center"/>
              <w:ind w:left="106"/>
              <w:spacing w:after="0"/>
              <w:rPr>
                <w:sz w:val="20"/>
                <w:szCs w:val="20"/>
                <w:color w:val="auto"/>
              </w:rPr>
            </w:pPr>
            <w:r>
              <w:rPr>
                <w:rFonts w:ascii="Times New Roman" w:cs="Times New Roman" w:eastAsia="Times New Roman" w:hAnsi="Times New Roman"/>
                <w:sz w:val="11"/>
                <w:szCs w:val="11"/>
                <w:color w:val="auto"/>
                <w:w w:val="95"/>
              </w:rPr>
              <w:t>08/30/2027</w:t>
            </w:r>
          </w:p>
        </w:tc>
        <w:tc>
          <w:tcPr>
            <w:tcW w:w="160" w:type="dxa"/>
            <w:vAlign w:val="bottom"/>
          </w:tcPr>
          <w:p>
            <w:pPr>
              <w:spacing w:after="0"/>
              <w:rPr>
                <w:sz w:val="11"/>
                <w:szCs w:val="11"/>
                <w:color w:val="auto"/>
              </w:rPr>
            </w:pPr>
          </w:p>
        </w:tc>
        <w:tc>
          <w:tcPr>
            <w:tcW w:w="20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Construction &amp; Engineering</w:t>
            </w:r>
          </w:p>
        </w:tc>
        <w:tc>
          <w:tcPr>
            <w:tcW w:w="120" w:type="dxa"/>
            <w:vAlign w:val="bottom"/>
          </w:tcPr>
          <w:p>
            <w:pPr>
              <w:spacing w:after="0"/>
              <w:rPr>
                <w:sz w:val="11"/>
                <w:szCs w:val="11"/>
                <w:color w:val="auto"/>
              </w:rPr>
            </w:pPr>
          </w:p>
        </w:tc>
        <w:tc>
          <w:tcPr>
            <w:tcW w:w="1140" w:type="dxa"/>
            <w:vAlign w:val="bottom"/>
            <w:gridSpan w:val="2"/>
          </w:tcPr>
          <w:p>
            <w:pPr>
              <w:jc w:val="right"/>
              <w:ind w:right="226"/>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729</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(4 )</w:t>
            </w:r>
          </w:p>
        </w:tc>
        <w:tc>
          <w:tcPr>
            <w:tcW w:w="0" w:type="dxa"/>
            <w:vAlign w:val="bottom"/>
          </w:tcPr>
          <w:p>
            <w:pPr>
              <w:spacing w:after="0"/>
              <w:rPr>
                <w:sz w:val="1"/>
                <w:szCs w:val="1"/>
                <w:color w:val="auto"/>
              </w:rPr>
            </w:pPr>
          </w:p>
        </w:tc>
      </w:tr>
      <w:tr>
        <w:trPr>
          <w:trHeight w:val="153"/>
        </w:trPr>
        <w:tc>
          <w:tcPr>
            <w:tcW w:w="2900" w:type="dxa"/>
            <w:vAlign w:val="bottom"/>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TPC Canada Parent, Inc. and TPC US Parent, LLC </w:t>
            </w:r>
            <w:r>
              <w:rPr>
                <w:rFonts w:ascii="Times New Roman" w:cs="Times New Roman" w:eastAsia="Times New Roman" w:hAnsi="Times New Roman"/>
                <w:sz w:val="14"/>
                <w:szCs w:val="14"/>
                <w:color w:val="auto"/>
                <w:vertAlign w:val="superscript"/>
              </w:rPr>
              <w:t>(5), (10)</w:t>
            </w:r>
          </w:p>
        </w:tc>
        <w:tc>
          <w:tcPr>
            <w:tcW w:w="880" w:type="dxa"/>
            <w:vAlign w:val="bottom"/>
            <w:gridSpan w:val="2"/>
          </w:tcPr>
          <w:p>
            <w:pPr>
              <w:jc w:val="center"/>
              <w:ind w:left="106"/>
              <w:spacing w:after="0"/>
              <w:rPr>
                <w:sz w:val="20"/>
                <w:szCs w:val="20"/>
                <w:color w:val="auto"/>
              </w:rPr>
            </w:pPr>
            <w:r>
              <w:rPr>
                <w:rFonts w:ascii="Times New Roman" w:cs="Times New Roman" w:eastAsia="Times New Roman" w:hAnsi="Times New Roman"/>
                <w:sz w:val="11"/>
                <w:szCs w:val="11"/>
                <w:color w:val="auto"/>
                <w:w w:val="95"/>
              </w:rPr>
              <w:t>11/24/2025</w:t>
            </w:r>
          </w:p>
        </w:tc>
        <w:tc>
          <w:tcPr>
            <w:tcW w:w="160" w:type="dxa"/>
            <w:vAlign w:val="bottom"/>
          </w:tcPr>
          <w:p>
            <w:pPr>
              <w:spacing w:after="0"/>
              <w:rPr>
                <w:sz w:val="13"/>
                <w:szCs w:val="13"/>
                <w:color w:val="auto"/>
              </w:rPr>
            </w:pPr>
          </w:p>
        </w:tc>
        <w:tc>
          <w:tcPr>
            <w:tcW w:w="200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Food Products</w:t>
            </w:r>
          </w:p>
        </w:tc>
        <w:tc>
          <w:tcPr>
            <w:tcW w:w="1260" w:type="dxa"/>
            <w:vAlign w:val="bottom"/>
            <w:gridSpan w:val="3"/>
          </w:tcPr>
          <w:p>
            <w:pPr>
              <w:jc w:val="right"/>
              <w:ind w:right="106"/>
              <w:spacing w:after="0"/>
              <w:rPr>
                <w:sz w:val="20"/>
                <w:szCs w:val="20"/>
                <w:color w:val="auto"/>
              </w:rPr>
            </w:pPr>
            <w:r>
              <w:rPr>
                <w:rFonts w:ascii="Times New Roman" w:cs="Times New Roman" w:eastAsia="Times New Roman" w:hAnsi="Times New Roman"/>
                <w:sz w:val="11"/>
                <w:szCs w:val="11"/>
                <w:color w:val="auto"/>
              </w:rPr>
              <w:t>7.78 %</w:t>
            </w: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L+550</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4,863</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4,834</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4,717</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2900" w:type="dxa"/>
            <w:vAlign w:val="bottom"/>
          </w:tcPr>
          <w:p>
            <w:pPr>
              <w:ind w:left="20"/>
              <w:spacing w:after="0" w:line="117" w:lineRule="exact"/>
              <w:rPr>
                <w:sz w:val="20"/>
                <w:szCs w:val="20"/>
                <w:color w:val="auto"/>
              </w:rPr>
            </w:pPr>
            <w:r>
              <w:rPr>
                <w:rFonts w:ascii="Times New Roman" w:cs="Times New Roman" w:eastAsia="Times New Roman" w:hAnsi="Times New Roman"/>
                <w:sz w:val="11"/>
                <w:szCs w:val="11"/>
                <w:color w:val="auto"/>
              </w:rPr>
              <w:t>TVC Enterprises, LLC</w:t>
            </w:r>
          </w:p>
        </w:tc>
        <w:tc>
          <w:tcPr>
            <w:tcW w:w="880" w:type="dxa"/>
            <w:vAlign w:val="bottom"/>
            <w:gridSpan w:val="2"/>
          </w:tcPr>
          <w:p>
            <w:pPr>
              <w:jc w:val="center"/>
              <w:ind w:left="106"/>
              <w:spacing w:after="0" w:line="117" w:lineRule="exact"/>
              <w:rPr>
                <w:sz w:val="20"/>
                <w:szCs w:val="20"/>
                <w:color w:val="auto"/>
              </w:rPr>
            </w:pPr>
            <w:r>
              <w:rPr>
                <w:rFonts w:ascii="Times New Roman" w:cs="Times New Roman" w:eastAsia="Times New Roman" w:hAnsi="Times New Roman"/>
                <w:sz w:val="11"/>
                <w:szCs w:val="11"/>
                <w:color w:val="auto"/>
                <w:w w:val="95"/>
              </w:rPr>
              <w:t>03/26/2026</w:t>
            </w:r>
          </w:p>
        </w:tc>
        <w:tc>
          <w:tcPr>
            <w:tcW w:w="160" w:type="dxa"/>
            <w:vAlign w:val="bottom"/>
          </w:tcPr>
          <w:p>
            <w:pPr>
              <w:spacing w:after="0"/>
              <w:rPr>
                <w:sz w:val="10"/>
                <w:szCs w:val="10"/>
                <w:color w:val="auto"/>
              </w:rPr>
            </w:pPr>
          </w:p>
        </w:tc>
        <w:tc>
          <w:tcPr>
            <w:tcW w:w="200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color w:val="auto"/>
                <w:w w:val="98"/>
              </w:rPr>
              <w:t>Commercial Services &amp; Supplies</w:t>
            </w:r>
          </w:p>
        </w:tc>
        <w:tc>
          <w:tcPr>
            <w:tcW w:w="1260" w:type="dxa"/>
            <w:vAlign w:val="bottom"/>
            <w:gridSpan w:val="3"/>
          </w:tcPr>
          <w:p>
            <w:pPr>
              <w:jc w:val="right"/>
              <w:ind w:right="106"/>
              <w:spacing w:after="0" w:line="117" w:lineRule="exact"/>
              <w:rPr>
                <w:sz w:val="20"/>
                <w:szCs w:val="20"/>
                <w:color w:val="auto"/>
              </w:rPr>
            </w:pPr>
            <w:r>
              <w:rPr>
                <w:rFonts w:ascii="Times New Roman" w:cs="Times New Roman" w:eastAsia="Times New Roman" w:hAnsi="Times New Roman"/>
                <w:sz w:val="11"/>
                <w:szCs w:val="11"/>
                <w:color w:val="auto"/>
              </w:rPr>
              <w:t>8.87 %</w:t>
            </w:r>
          </w:p>
        </w:tc>
        <w:tc>
          <w:tcPr>
            <w:tcW w:w="86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1M L+600</w:t>
            </w:r>
          </w:p>
        </w:tc>
        <w:tc>
          <w:tcPr>
            <w:tcW w:w="108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1"/>
                <w:szCs w:val="11"/>
                <w:color w:val="auto"/>
              </w:rPr>
              <w:t>24,721</w:t>
            </w: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24,378</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24,103</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900" w:type="dxa"/>
            <w:vAlign w:val="bottom"/>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TVC Enterprises, LLC (Revolver) </w:t>
            </w:r>
            <w:r>
              <w:rPr>
                <w:rFonts w:ascii="Times New Roman" w:cs="Times New Roman" w:eastAsia="Times New Roman" w:hAnsi="Times New Roman"/>
                <w:sz w:val="14"/>
                <w:szCs w:val="14"/>
                <w:color w:val="auto"/>
                <w:vertAlign w:val="superscript"/>
              </w:rPr>
              <w:t>(7), (9)</w:t>
            </w:r>
          </w:p>
        </w:tc>
        <w:tc>
          <w:tcPr>
            <w:tcW w:w="880" w:type="dxa"/>
            <w:vAlign w:val="bottom"/>
            <w:gridSpan w:val="2"/>
          </w:tcPr>
          <w:p>
            <w:pPr>
              <w:jc w:val="center"/>
              <w:ind w:left="106"/>
              <w:spacing w:after="0"/>
              <w:rPr>
                <w:sz w:val="20"/>
                <w:szCs w:val="20"/>
                <w:color w:val="auto"/>
              </w:rPr>
            </w:pPr>
            <w:r>
              <w:rPr>
                <w:rFonts w:ascii="Times New Roman" w:cs="Times New Roman" w:eastAsia="Times New Roman" w:hAnsi="Times New Roman"/>
                <w:sz w:val="11"/>
                <w:szCs w:val="11"/>
                <w:color w:val="auto"/>
                <w:w w:val="95"/>
              </w:rPr>
              <w:t>03/26/2026</w:t>
            </w:r>
          </w:p>
        </w:tc>
        <w:tc>
          <w:tcPr>
            <w:tcW w:w="160" w:type="dxa"/>
            <w:vAlign w:val="bottom"/>
          </w:tcPr>
          <w:p>
            <w:pPr>
              <w:spacing w:after="0"/>
              <w:rPr>
                <w:sz w:val="13"/>
                <w:szCs w:val="13"/>
                <w:color w:val="auto"/>
              </w:rPr>
            </w:pPr>
          </w:p>
        </w:tc>
        <w:tc>
          <w:tcPr>
            <w:tcW w:w="20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Commercial Services &amp; Supplies</w:t>
            </w:r>
          </w:p>
        </w:tc>
        <w:tc>
          <w:tcPr>
            <w:tcW w:w="120" w:type="dxa"/>
            <w:vAlign w:val="bottom"/>
          </w:tcPr>
          <w:p>
            <w:pPr>
              <w:spacing w:after="0"/>
              <w:rPr>
                <w:sz w:val="13"/>
                <w:szCs w:val="13"/>
                <w:color w:val="auto"/>
              </w:rPr>
            </w:pPr>
          </w:p>
        </w:tc>
        <w:tc>
          <w:tcPr>
            <w:tcW w:w="1140" w:type="dxa"/>
            <w:vAlign w:val="bottom"/>
            <w:gridSpan w:val="2"/>
          </w:tcPr>
          <w:p>
            <w:pPr>
              <w:jc w:val="right"/>
              <w:ind w:right="226"/>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661</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(17 )</w:t>
            </w:r>
          </w:p>
        </w:tc>
        <w:tc>
          <w:tcPr>
            <w:tcW w:w="0" w:type="dxa"/>
            <w:vAlign w:val="bottom"/>
          </w:tcPr>
          <w:p>
            <w:pPr>
              <w:spacing w:after="0"/>
              <w:rPr>
                <w:sz w:val="1"/>
                <w:szCs w:val="1"/>
                <w:color w:val="auto"/>
              </w:rPr>
            </w:pPr>
          </w:p>
        </w:tc>
      </w:tr>
      <w:tr>
        <w:trPr>
          <w:trHeight w:val="117"/>
        </w:trPr>
        <w:tc>
          <w:tcPr>
            <w:tcW w:w="2900" w:type="dxa"/>
            <w:vAlign w:val="bottom"/>
          </w:tcPr>
          <w:p>
            <w:pPr>
              <w:ind w:left="20"/>
              <w:spacing w:after="0" w:line="117" w:lineRule="exact"/>
              <w:rPr>
                <w:sz w:val="20"/>
                <w:szCs w:val="20"/>
                <w:color w:val="auto"/>
              </w:rPr>
            </w:pPr>
            <w:r>
              <w:rPr>
                <w:rFonts w:ascii="Times New Roman" w:cs="Times New Roman" w:eastAsia="Times New Roman" w:hAnsi="Times New Roman"/>
                <w:sz w:val="11"/>
                <w:szCs w:val="11"/>
                <w:color w:val="auto"/>
              </w:rPr>
              <w:t>TWS Acquisition Corporation</w:t>
            </w:r>
          </w:p>
        </w:tc>
        <w:tc>
          <w:tcPr>
            <w:tcW w:w="880" w:type="dxa"/>
            <w:vAlign w:val="bottom"/>
            <w:gridSpan w:val="2"/>
          </w:tcPr>
          <w:p>
            <w:pPr>
              <w:jc w:val="center"/>
              <w:ind w:left="106"/>
              <w:spacing w:after="0" w:line="117" w:lineRule="exact"/>
              <w:rPr>
                <w:sz w:val="20"/>
                <w:szCs w:val="20"/>
                <w:color w:val="auto"/>
              </w:rPr>
            </w:pPr>
            <w:r>
              <w:rPr>
                <w:rFonts w:ascii="Times New Roman" w:cs="Times New Roman" w:eastAsia="Times New Roman" w:hAnsi="Times New Roman"/>
                <w:sz w:val="11"/>
                <w:szCs w:val="11"/>
                <w:color w:val="auto"/>
                <w:w w:val="95"/>
              </w:rPr>
              <w:t>06/16/2025</w:t>
            </w:r>
          </w:p>
        </w:tc>
        <w:tc>
          <w:tcPr>
            <w:tcW w:w="160" w:type="dxa"/>
            <w:vAlign w:val="bottom"/>
          </w:tcPr>
          <w:p>
            <w:pPr>
              <w:spacing w:after="0"/>
              <w:rPr>
                <w:sz w:val="10"/>
                <w:szCs w:val="10"/>
                <w:color w:val="auto"/>
              </w:rPr>
            </w:pPr>
          </w:p>
        </w:tc>
        <w:tc>
          <w:tcPr>
            <w:tcW w:w="200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color w:val="auto"/>
                <w:w w:val="98"/>
              </w:rPr>
              <w:t>Diversified Consumer Services</w:t>
            </w:r>
          </w:p>
        </w:tc>
        <w:tc>
          <w:tcPr>
            <w:tcW w:w="1260" w:type="dxa"/>
            <w:vAlign w:val="bottom"/>
            <w:gridSpan w:val="3"/>
          </w:tcPr>
          <w:p>
            <w:pPr>
              <w:jc w:val="right"/>
              <w:ind w:right="106"/>
              <w:spacing w:after="0" w:line="117" w:lineRule="exact"/>
              <w:rPr>
                <w:sz w:val="20"/>
                <w:szCs w:val="20"/>
                <w:color w:val="auto"/>
              </w:rPr>
            </w:pPr>
            <w:r>
              <w:rPr>
                <w:rFonts w:ascii="Times New Roman" w:cs="Times New Roman" w:eastAsia="Times New Roman" w:hAnsi="Times New Roman"/>
                <w:sz w:val="11"/>
                <w:szCs w:val="11"/>
                <w:color w:val="auto"/>
              </w:rPr>
              <w:t>8.76 %</w:t>
            </w:r>
          </w:p>
        </w:tc>
        <w:tc>
          <w:tcPr>
            <w:tcW w:w="86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1M L+625</w:t>
            </w:r>
          </w:p>
        </w:tc>
        <w:tc>
          <w:tcPr>
            <w:tcW w:w="108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1"/>
                <w:szCs w:val="11"/>
                <w:color w:val="auto"/>
              </w:rPr>
              <w:t>5,468</w:t>
            </w: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5,398</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5,441</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900" w:type="dxa"/>
            <w:vAlign w:val="bottom"/>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TWS Acquisition Corporation (Revolver) </w:t>
            </w:r>
            <w:r>
              <w:rPr>
                <w:rFonts w:ascii="Times New Roman" w:cs="Times New Roman" w:eastAsia="Times New Roman" w:hAnsi="Times New Roman"/>
                <w:sz w:val="14"/>
                <w:szCs w:val="14"/>
                <w:color w:val="auto"/>
                <w:vertAlign w:val="superscript"/>
              </w:rPr>
              <w:t>(7), (9)</w:t>
            </w:r>
          </w:p>
        </w:tc>
        <w:tc>
          <w:tcPr>
            <w:tcW w:w="880" w:type="dxa"/>
            <w:vAlign w:val="bottom"/>
            <w:gridSpan w:val="2"/>
          </w:tcPr>
          <w:p>
            <w:pPr>
              <w:jc w:val="center"/>
              <w:ind w:left="106"/>
              <w:spacing w:after="0"/>
              <w:rPr>
                <w:sz w:val="20"/>
                <w:szCs w:val="20"/>
                <w:color w:val="auto"/>
              </w:rPr>
            </w:pPr>
            <w:r>
              <w:rPr>
                <w:rFonts w:ascii="Times New Roman" w:cs="Times New Roman" w:eastAsia="Times New Roman" w:hAnsi="Times New Roman"/>
                <w:sz w:val="11"/>
                <w:szCs w:val="11"/>
                <w:color w:val="auto"/>
                <w:w w:val="95"/>
              </w:rPr>
              <w:t>06/16/2025</w:t>
            </w:r>
          </w:p>
        </w:tc>
        <w:tc>
          <w:tcPr>
            <w:tcW w:w="160" w:type="dxa"/>
            <w:vAlign w:val="bottom"/>
          </w:tcPr>
          <w:p>
            <w:pPr>
              <w:spacing w:after="0"/>
              <w:rPr>
                <w:sz w:val="13"/>
                <w:szCs w:val="13"/>
                <w:color w:val="auto"/>
              </w:rPr>
            </w:pPr>
          </w:p>
        </w:tc>
        <w:tc>
          <w:tcPr>
            <w:tcW w:w="20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Diversified Consumer Services</w:t>
            </w:r>
          </w:p>
        </w:tc>
        <w:tc>
          <w:tcPr>
            <w:tcW w:w="120" w:type="dxa"/>
            <w:vAlign w:val="bottom"/>
          </w:tcPr>
          <w:p>
            <w:pPr>
              <w:spacing w:after="0"/>
              <w:rPr>
                <w:sz w:val="13"/>
                <w:szCs w:val="13"/>
                <w:color w:val="auto"/>
              </w:rPr>
            </w:pPr>
          </w:p>
        </w:tc>
        <w:tc>
          <w:tcPr>
            <w:tcW w:w="1140" w:type="dxa"/>
            <w:vAlign w:val="bottom"/>
            <w:gridSpan w:val="2"/>
          </w:tcPr>
          <w:p>
            <w:pPr>
              <w:jc w:val="right"/>
              <w:ind w:right="226"/>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2,628</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(13 )</w:t>
            </w:r>
          </w:p>
        </w:tc>
        <w:tc>
          <w:tcPr>
            <w:tcW w:w="0" w:type="dxa"/>
            <w:vAlign w:val="bottom"/>
          </w:tcPr>
          <w:p>
            <w:pPr>
              <w:spacing w:after="0"/>
              <w:rPr>
                <w:sz w:val="1"/>
                <w:szCs w:val="1"/>
                <w:color w:val="auto"/>
              </w:rPr>
            </w:pPr>
          </w:p>
        </w:tc>
      </w:tr>
      <w:tr>
        <w:trPr>
          <w:trHeight w:val="117"/>
        </w:trPr>
        <w:tc>
          <w:tcPr>
            <w:tcW w:w="2900" w:type="dxa"/>
            <w:vAlign w:val="bottom"/>
          </w:tcPr>
          <w:p>
            <w:pPr>
              <w:ind w:left="20"/>
              <w:spacing w:after="0" w:line="117" w:lineRule="exact"/>
              <w:rPr>
                <w:sz w:val="20"/>
                <w:szCs w:val="20"/>
                <w:color w:val="auto"/>
              </w:rPr>
            </w:pPr>
            <w:r>
              <w:rPr>
                <w:rFonts w:ascii="Times New Roman" w:cs="Times New Roman" w:eastAsia="Times New Roman" w:hAnsi="Times New Roman"/>
                <w:sz w:val="11"/>
                <w:szCs w:val="11"/>
                <w:color w:val="auto"/>
              </w:rPr>
              <w:t>Tyto Athene, LLC</w:t>
            </w:r>
          </w:p>
        </w:tc>
        <w:tc>
          <w:tcPr>
            <w:tcW w:w="880" w:type="dxa"/>
            <w:vAlign w:val="bottom"/>
            <w:gridSpan w:val="2"/>
          </w:tcPr>
          <w:p>
            <w:pPr>
              <w:jc w:val="center"/>
              <w:ind w:left="106"/>
              <w:spacing w:after="0" w:line="117" w:lineRule="exact"/>
              <w:rPr>
                <w:sz w:val="20"/>
                <w:szCs w:val="20"/>
                <w:color w:val="auto"/>
              </w:rPr>
            </w:pPr>
            <w:r>
              <w:rPr>
                <w:rFonts w:ascii="Times New Roman" w:cs="Times New Roman" w:eastAsia="Times New Roman" w:hAnsi="Times New Roman"/>
                <w:sz w:val="11"/>
                <w:szCs w:val="11"/>
                <w:color w:val="auto"/>
                <w:w w:val="95"/>
              </w:rPr>
              <w:t>04/01/2028</w:t>
            </w:r>
          </w:p>
        </w:tc>
        <w:tc>
          <w:tcPr>
            <w:tcW w:w="160" w:type="dxa"/>
            <w:vAlign w:val="bottom"/>
          </w:tcPr>
          <w:p>
            <w:pPr>
              <w:spacing w:after="0"/>
              <w:rPr>
                <w:sz w:val="10"/>
                <w:szCs w:val="10"/>
                <w:color w:val="auto"/>
              </w:rPr>
            </w:pPr>
          </w:p>
        </w:tc>
        <w:tc>
          <w:tcPr>
            <w:tcW w:w="200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color w:val="auto"/>
                <w:w w:val="95"/>
              </w:rPr>
              <w:t>IT Services</w:t>
            </w:r>
          </w:p>
        </w:tc>
        <w:tc>
          <w:tcPr>
            <w:tcW w:w="1260" w:type="dxa"/>
            <w:vAlign w:val="bottom"/>
            <w:gridSpan w:val="3"/>
          </w:tcPr>
          <w:p>
            <w:pPr>
              <w:jc w:val="right"/>
              <w:ind w:right="106"/>
              <w:spacing w:after="0" w:line="117" w:lineRule="exact"/>
              <w:rPr>
                <w:sz w:val="20"/>
                <w:szCs w:val="20"/>
                <w:color w:val="auto"/>
              </w:rPr>
            </w:pPr>
            <w:r>
              <w:rPr>
                <w:rFonts w:ascii="Times New Roman" w:cs="Times New Roman" w:eastAsia="Times New Roman" w:hAnsi="Times New Roman"/>
                <w:sz w:val="11"/>
                <w:szCs w:val="11"/>
                <w:color w:val="auto"/>
              </w:rPr>
              <w:t>7.76 %</w:t>
            </w:r>
          </w:p>
        </w:tc>
        <w:tc>
          <w:tcPr>
            <w:tcW w:w="86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1M L+550</w:t>
            </w:r>
          </w:p>
        </w:tc>
        <w:tc>
          <w:tcPr>
            <w:tcW w:w="108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1"/>
                <w:szCs w:val="11"/>
                <w:color w:val="auto"/>
              </w:rPr>
              <w:t>12,644</w:t>
            </w: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12,487</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11,746</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900" w:type="dxa"/>
            <w:vAlign w:val="bottom"/>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Tyto Athene, LLC (Revolver) </w:t>
            </w:r>
            <w:r>
              <w:rPr>
                <w:rFonts w:ascii="Times New Roman" w:cs="Times New Roman" w:eastAsia="Times New Roman" w:hAnsi="Times New Roman"/>
                <w:sz w:val="14"/>
                <w:szCs w:val="14"/>
                <w:color w:val="auto"/>
                <w:vertAlign w:val="superscript"/>
              </w:rPr>
              <w:t>(7), (9)</w:t>
            </w:r>
          </w:p>
        </w:tc>
        <w:tc>
          <w:tcPr>
            <w:tcW w:w="880" w:type="dxa"/>
            <w:vAlign w:val="bottom"/>
            <w:gridSpan w:val="2"/>
          </w:tcPr>
          <w:p>
            <w:pPr>
              <w:jc w:val="center"/>
              <w:ind w:left="106"/>
              <w:spacing w:after="0"/>
              <w:rPr>
                <w:sz w:val="20"/>
                <w:szCs w:val="20"/>
                <w:color w:val="auto"/>
              </w:rPr>
            </w:pPr>
            <w:r>
              <w:rPr>
                <w:rFonts w:ascii="Times New Roman" w:cs="Times New Roman" w:eastAsia="Times New Roman" w:hAnsi="Times New Roman"/>
                <w:sz w:val="11"/>
                <w:szCs w:val="11"/>
                <w:color w:val="auto"/>
                <w:w w:val="95"/>
              </w:rPr>
              <w:t>04/01/2026</w:t>
            </w:r>
          </w:p>
        </w:tc>
        <w:tc>
          <w:tcPr>
            <w:tcW w:w="160" w:type="dxa"/>
            <w:vAlign w:val="bottom"/>
          </w:tcPr>
          <w:p>
            <w:pPr>
              <w:spacing w:after="0"/>
              <w:rPr>
                <w:sz w:val="13"/>
                <w:szCs w:val="13"/>
                <w:color w:val="auto"/>
              </w:rPr>
            </w:pPr>
          </w:p>
        </w:tc>
        <w:tc>
          <w:tcPr>
            <w:tcW w:w="20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5"/>
              </w:rPr>
              <w:t>IT Services</w:t>
            </w:r>
          </w:p>
        </w:tc>
        <w:tc>
          <w:tcPr>
            <w:tcW w:w="120" w:type="dxa"/>
            <w:vAlign w:val="bottom"/>
          </w:tcPr>
          <w:p>
            <w:pPr>
              <w:spacing w:after="0"/>
              <w:rPr>
                <w:sz w:val="13"/>
                <w:szCs w:val="13"/>
                <w:color w:val="auto"/>
              </w:rPr>
            </w:pPr>
          </w:p>
        </w:tc>
        <w:tc>
          <w:tcPr>
            <w:tcW w:w="1140" w:type="dxa"/>
            <w:vAlign w:val="bottom"/>
            <w:gridSpan w:val="2"/>
          </w:tcPr>
          <w:p>
            <w:pPr>
              <w:jc w:val="right"/>
              <w:ind w:right="226"/>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1,040</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(74 )</w:t>
            </w:r>
          </w:p>
        </w:tc>
        <w:tc>
          <w:tcPr>
            <w:tcW w:w="0" w:type="dxa"/>
            <w:vAlign w:val="bottom"/>
          </w:tcPr>
          <w:p>
            <w:pPr>
              <w:spacing w:after="0"/>
              <w:rPr>
                <w:sz w:val="1"/>
                <w:szCs w:val="1"/>
                <w:color w:val="auto"/>
              </w:rPr>
            </w:pPr>
          </w:p>
        </w:tc>
      </w:tr>
      <w:tr>
        <w:trPr>
          <w:trHeight w:val="135"/>
        </w:trPr>
        <w:tc>
          <w:tcPr>
            <w:tcW w:w="29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UBEO, LLC</w:t>
            </w:r>
          </w:p>
        </w:tc>
        <w:tc>
          <w:tcPr>
            <w:tcW w:w="880" w:type="dxa"/>
            <w:vAlign w:val="bottom"/>
            <w:gridSpan w:val="2"/>
          </w:tcPr>
          <w:p>
            <w:pPr>
              <w:jc w:val="center"/>
              <w:ind w:left="106"/>
              <w:spacing w:after="0"/>
              <w:rPr>
                <w:sz w:val="20"/>
                <w:szCs w:val="20"/>
                <w:color w:val="auto"/>
              </w:rPr>
            </w:pPr>
            <w:r>
              <w:rPr>
                <w:rFonts w:ascii="Times New Roman" w:cs="Times New Roman" w:eastAsia="Times New Roman" w:hAnsi="Times New Roman"/>
                <w:sz w:val="11"/>
                <w:szCs w:val="11"/>
                <w:color w:val="auto"/>
                <w:w w:val="95"/>
              </w:rPr>
              <w:t>04/03/2024</w:t>
            </w:r>
          </w:p>
        </w:tc>
        <w:tc>
          <w:tcPr>
            <w:tcW w:w="160" w:type="dxa"/>
            <w:vAlign w:val="bottom"/>
          </w:tcPr>
          <w:p>
            <w:pPr>
              <w:spacing w:after="0"/>
              <w:rPr>
                <w:sz w:val="11"/>
                <w:szCs w:val="11"/>
                <w:color w:val="auto"/>
              </w:rPr>
            </w:pPr>
          </w:p>
        </w:tc>
        <w:tc>
          <w:tcPr>
            <w:tcW w:w="20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6"/>
              </w:rPr>
              <w:t>Capital Equipment</w:t>
            </w:r>
          </w:p>
        </w:tc>
        <w:tc>
          <w:tcPr>
            <w:tcW w:w="1260" w:type="dxa"/>
            <w:vAlign w:val="bottom"/>
            <w:gridSpan w:val="3"/>
          </w:tcPr>
          <w:p>
            <w:pPr>
              <w:jc w:val="right"/>
              <w:ind w:right="106"/>
              <w:spacing w:after="0"/>
              <w:rPr>
                <w:sz w:val="20"/>
                <w:szCs w:val="20"/>
                <w:color w:val="auto"/>
              </w:rPr>
            </w:pPr>
            <w:r>
              <w:rPr>
                <w:rFonts w:ascii="Times New Roman" w:cs="Times New Roman" w:eastAsia="Times New Roman" w:hAnsi="Times New Roman"/>
                <w:sz w:val="11"/>
                <w:szCs w:val="11"/>
                <w:color w:val="auto"/>
              </w:rPr>
              <w:t>7.60 %</w:t>
            </w: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L+450</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17,926</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17,860</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17,657</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2900" w:type="dxa"/>
            <w:vAlign w:val="bottom"/>
          </w:tcPr>
          <w:p>
            <w:pPr>
              <w:ind w:left="20"/>
              <w:spacing w:after="0" w:line="117" w:lineRule="exact"/>
              <w:rPr>
                <w:sz w:val="20"/>
                <w:szCs w:val="20"/>
                <w:color w:val="auto"/>
              </w:rPr>
            </w:pPr>
            <w:r>
              <w:rPr>
                <w:rFonts w:ascii="Times New Roman" w:cs="Times New Roman" w:eastAsia="Times New Roman" w:hAnsi="Times New Roman"/>
                <w:sz w:val="11"/>
                <w:szCs w:val="11"/>
                <w:color w:val="auto"/>
              </w:rPr>
              <w:t>UBEO, LLC (Revolver)</w:t>
            </w:r>
          </w:p>
        </w:tc>
        <w:tc>
          <w:tcPr>
            <w:tcW w:w="880" w:type="dxa"/>
            <w:vAlign w:val="bottom"/>
            <w:gridSpan w:val="2"/>
          </w:tcPr>
          <w:p>
            <w:pPr>
              <w:jc w:val="center"/>
              <w:ind w:left="106"/>
              <w:spacing w:after="0" w:line="117" w:lineRule="exact"/>
              <w:rPr>
                <w:sz w:val="20"/>
                <w:szCs w:val="20"/>
                <w:color w:val="auto"/>
              </w:rPr>
            </w:pPr>
            <w:r>
              <w:rPr>
                <w:rFonts w:ascii="Times New Roman" w:cs="Times New Roman" w:eastAsia="Times New Roman" w:hAnsi="Times New Roman"/>
                <w:sz w:val="11"/>
                <w:szCs w:val="11"/>
                <w:color w:val="auto"/>
                <w:w w:val="95"/>
              </w:rPr>
              <w:t>04/03/2024</w:t>
            </w:r>
          </w:p>
        </w:tc>
        <w:tc>
          <w:tcPr>
            <w:tcW w:w="160" w:type="dxa"/>
            <w:vAlign w:val="bottom"/>
          </w:tcPr>
          <w:p>
            <w:pPr>
              <w:spacing w:after="0"/>
              <w:rPr>
                <w:sz w:val="10"/>
                <w:szCs w:val="10"/>
                <w:color w:val="auto"/>
              </w:rPr>
            </w:pPr>
          </w:p>
        </w:tc>
        <w:tc>
          <w:tcPr>
            <w:tcW w:w="200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color w:val="auto"/>
                <w:w w:val="96"/>
              </w:rPr>
              <w:t>Capital Equipment</w:t>
            </w:r>
          </w:p>
        </w:tc>
        <w:tc>
          <w:tcPr>
            <w:tcW w:w="1260" w:type="dxa"/>
            <w:vAlign w:val="bottom"/>
            <w:gridSpan w:val="3"/>
          </w:tcPr>
          <w:p>
            <w:pPr>
              <w:jc w:val="right"/>
              <w:ind w:right="106"/>
              <w:spacing w:after="0" w:line="117" w:lineRule="exact"/>
              <w:rPr>
                <w:sz w:val="20"/>
                <w:szCs w:val="20"/>
                <w:color w:val="auto"/>
              </w:rPr>
            </w:pPr>
            <w:r>
              <w:rPr>
                <w:rFonts w:ascii="Times New Roman" w:cs="Times New Roman" w:eastAsia="Times New Roman" w:hAnsi="Times New Roman"/>
                <w:sz w:val="11"/>
                <w:szCs w:val="11"/>
                <w:color w:val="auto"/>
              </w:rPr>
              <w:t>9.00 %</w:t>
            </w:r>
          </w:p>
        </w:tc>
        <w:tc>
          <w:tcPr>
            <w:tcW w:w="86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3M L+275</w:t>
            </w:r>
          </w:p>
        </w:tc>
        <w:tc>
          <w:tcPr>
            <w:tcW w:w="108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1"/>
                <w:szCs w:val="11"/>
                <w:color w:val="auto"/>
              </w:rPr>
              <w:t>587</w:t>
            </w: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587</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578</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900" w:type="dxa"/>
            <w:vAlign w:val="bottom"/>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UBEO, LLC (Revolver) </w:t>
            </w:r>
            <w:r>
              <w:rPr>
                <w:rFonts w:ascii="Times New Roman" w:cs="Times New Roman" w:eastAsia="Times New Roman" w:hAnsi="Times New Roman"/>
                <w:sz w:val="14"/>
                <w:szCs w:val="14"/>
                <w:color w:val="auto"/>
                <w:vertAlign w:val="superscript"/>
              </w:rPr>
              <w:t>(9)</w:t>
            </w:r>
          </w:p>
        </w:tc>
        <w:tc>
          <w:tcPr>
            <w:tcW w:w="880" w:type="dxa"/>
            <w:vAlign w:val="bottom"/>
            <w:gridSpan w:val="2"/>
          </w:tcPr>
          <w:p>
            <w:pPr>
              <w:jc w:val="center"/>
              <w:ind w:left="106"/>
              <w:spacing w:after="0"/>
              <w:rPr>
                <w:sz w:val="20"/>
                <w:szCs w:val="20"/>
                <w:color w:val="auto"/>
              </w:rPr>
            </w:pPr>
            <w:r>
              <w:rPr>
                <w:rFonts w:ascii="Times New Roman" w:cs="Times New Roman" w:eastAsia="Times New Roman" w:hAnsi="Times New Roman"/>
                <w:sz w:val="11"/>
                <w:szCs w:val="11"/>
                <w:color w:val="auto"/>
                <w:w w:val="95"/>
              </w:rPr>
              <w:t>04/03/2024</w:t>
            </w:r>
          </w:p>
        </w:tc>
        <w:tc>
          <w:tcPr>
            <w:tcW w:w="160" w:type="dxa"/>
            <w:vAlign w:val="bottom"/>
          </w:tcPr>
          <w:p>
            <w:pPr>
              <w:spacing w:after="0"/>
              <w:rPr>
                <w:sz w:val="13"/>
                <w:szCs w:val="13"/>
                <w:color w:val="auto"/>
              </w:rPr>
            </w:pPr>
          </w:p>
        </w:tc>
        <w:tc>
          <w:tcPr>
            <w:tcW w:w="20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6"/>
              </w:rPr>
              <w:t>Capital Equipment</w:t>
            </w:r>
          </w:p>
        </w:tc>
        <w:tc>
          <w:tcPr>
            <w:tcW w:w="120" w:type="dxa"/>
            <w:vAlign w:val="bottom"/>
          </w:tcPr>
          <w:p>
            <w:pPr>
              <w:spacing w:after="0"/>
              <w:rPr>
                <w:sz w:val="13"/>
                <w:szCs w:val="13"/>
                <w:color w:val="auto"/>
              </w:rPr>
            </w:pPr>
          </w:p>
        </w:tc>
        <w:tc>
          <w:tcPr>
            <w:tcW w:w="1140" w:type="dxa"/>
            <w:vAlign w:val="bottom"/>
            <w:gridSpan w:val="2"/>
          </w:tcPr>
          <w:p>
            <w:pPr>
              <w:jc w:val="right"/>
              <w:ind w:right="226"/>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2,347</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(35 )</w:t>
            </w:r>
          </w:p>
        </w:tc>
        <w:tc>
          <w:tcPr>
            <w:tcW w:w="0" w:type="dxa"/>
            <w:vAlign w:val="bottom"/>
          </w:tcPr>
          <w:p>
            <w:pPr>
              <w:spacing w:after="0"/>
              <w:rPr>
                <w:sz w:val="1"/>
                <w:szCs w:val="1"/>
                <w:color w:val="auto"/>
              </w:rPr>
            </w:pPr>
          </w:p>
        </w:tc>
      </w:tr>
      <w:tr>
        <w:trPr>
          <w:trHeight w:val="117"/>
        </w:trPr>
        <w:tc>
          <w:tcPr>
            <w:tcW w:w="2900" w:type="dxa"/>
            <w:vAlign w:val="bottom"/>
          </w:tcPr>
          <w:p>
            <w:pPr>
              <w:ind w:left="20"/>
              <w:spacing w:after="0" w:line="117" w:lineRule="exact"/>
              <w:rPr>
                <w:sz w:val="20"/>
                <w:szCs w:val="20"/>
                <w:color w:val="auto"/>
              </w:rPr>
            </w:pPr>
            <w:r>
              <w:rPr>
                <w:rFonts w:ascii="Times New Roman" w:cs="Times New Roman" w:eastAsia="Times New Roman" w:hAnsi="Times New Roman"/>
                <w:sz w:val="11"/>
                <w:szCs w:val="11"/>
                <w:color w:val="auto"/>
              </w:rPr>
              <w:t>Unique Indoor Comfort, LLC</w:t>
            </w:r>
          </w:p>
        </w:tc>
        <w:tc>
          <w:tcPr>
            <w:tcW w:w="880" w:type="dxa"/>
            <w:vAlign w:val="bottom"/>
            <w:gridSpan w:val="2"/>
          </w:tcPr>
          <w:p>
            <w:pPr>
              <w:jc w:val="center"/>
              <w:ind w:left="106"/>
              <w:spacing w:after="0" w:line="117" w:lineRule="exact"/>
              <w:rPr>
                <w:sz w:val="20"/>
                <w:szCs w:val="20"/>
                <w:color w:val="auto"/>
              </w:rPr>
            </w:pPr>
            <w:r>
              <w:rPr>
                <w:rFonts w:ascii="Times New Roman" w:cs="Times New Roman" w:eastAsia="Times New Roman" w:hAnsi="Times New Roman"/>
                <w:sz w:val="11"/>
                <w:szCs w:val="11"/>
                <w:color w:val="auto"/>
                <w:w w:val="95"/>
              </w:rPr>
              <w:t>05/24/2027</w:t>
            </w:r>
          </w:p>
        </w:tc>
        <w:tc>
          <w:tcPr>
            <w:tcW w:w="160" w:type="dxa"/>
            <w:vAlign w:val="bottom"/>
          </w:tcPr>
          <w:p>
            <w:pPr>
              <w:spacing w:after="0"/>
              <w:rPr>
                <w:sz w:val="10"/>
                <w:szCs w:val="10"/>
                <w:color w:val="auto"/>
              </w:rPr>
            </w:pPr>
          </w:p>
        </w:tc>
        <w:tc>
          <w:tcPr>
            <w:tcW w:w="200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color w:val="auto"/>
                <w:w w:val="98"/>
              </w:rPr>
              <w:t>Diversified Consumer Services</w:t>
            </w:r>
          </w:p>
        </w:tc>
        <w:tc>
          <w:tcPr>
            <w:tcW w:w="1260" w:type="dxa"/>
            <w:vAlign w:val="bottom"/>
            <w:gridSpan w:val="3"/>
          </w:tcPr>
          <w:p>
            <w:pPr>
              <w:jc w:val="right"/>
              <w:ind w:right="106"/>
              <w:spacing w:after="0" w:line="117" w:lineRule="exact"/>
              <w:rPr>
                <w:sz w:val="20"/>
                <w:szCs w:val="20"/>
                <w:color w:val="auto"/>
              </w:rPr>
            </w:pPr>
            <w:r>
              <w:rPr>
                <w:rFonts w:ascii="Times New Roman" w:cs="Times New Roman" w:eastAsia="Times New Roman" w:hAnsi="Times New Roman"/>
                <w:sz w:val="11"/>
                <w:szCs w:val="11"/>
                <w:color w:val="auto"/>
              </w:rPr>
              <w:t>8.95 %</w:t>
            </w:r>
          </w:p>
        </w:tc>
        <w:tc>
          <w:tcPr>
            <w:tcW w:w="86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3M L + 525</w:t>
            </w:r>
          </w:p>
        </w:tc>
        <w:tc>
          <w:tcPr>
            <w:tcW w:w="108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1"/>
                <w:szCs w:val="11"/>
                <w:color w:val="auto"/>
              </w:rPr>
              <w:t>9,217</w:t>
            </w: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9,126</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9,014</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90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Unique Indoor Comfort, LLC Term Loan </w:t>
            </w:r>
            <w:r>
              <w:rPr>
                <w:rFonts w:ascii="Times New Roman" w:cs="Times New Roman" w:eastAsia="Times New Roman" w:hAnsi="Times New Roman"/>
                <w:sz w:val="14"/>
                <w:szCs w:val="14"/>
                <w:color w:val="auto"/>
                <w:vertAlign w:val="superscript"/>
              </w:rPr>
              <w:t>(7)</w:t>
            </w:r>
          </w:p>
        </w:tc>
        <w:tc>
          <w:tcPr>
            <w:tcW w:w="880" w:type="dxa"/>
            <w:vAlign w:val="bottom"/>
            <w:gridSpan w:val="2"/>
          </w:tcPr>
          <w:p>
            <w:pPr>
              <w:jc w:val="center"/>
              <w:ind w:left="106"/>
              <w:spacing w:after="0"/>
              <w:rPr>
                <w:sz w:val="20"/>
                <w:szCs w:val="20"/>
                <w:color w:val="auto"/>
              </w:rPr>
            </w:pPr>
            <w:r>
              <w:rPr>
                <w:rFonts w:ascii="Times New Roman" w:cs="Times New Roman" w:eastAsia="Times New Roman" w:hAnsi="Times New Roman"/>
                <w:sz w:val="11"/>
                <w:szCs w:val="11"/>
                <w:color w:val="auto"/>
                <w:w w:val="95"/>
              </w:rPr>
              <w:t>05/24/2027</w:t>
            </w:r>
          </w:p>
        </w:tc>
        <w:tc>
          <w:tcPr>
            <w:tcW w:w="160" w:type="dxa"/>
            <w:vAlign w:val="bottom"/>
          </w:tcPr>
          <w:p>
            <w:pPr>
              <w:spacing w:after="0"/>
              <w:rPr>
                <w:sz w:val="11"/>
                <w:szCs w:val="11"/>
                <w:color w:val="auto"/>
              </w:rPr>
            </w:pPr>
          </w:p>
        </w:tc>
        <w:tc>
          <w:tcPr>
            <w:tcW w:w="20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Diversified Consumer Services</w:t>
            </w:r>
          </w:p>
        </w:tc>
        <w:tc>
          <w:tcPr>
            <w:tcW w:w="120" w:type="dxa"/>
            <w:vAlign w:val="bottom"/>
          </w:tcPr>
          <w:p>
            <w:pPr>
              <w:spacing w:after="0"/>
              <w:rPr>
                <w:sz w:val="11"/>
                <w:szCs w:val="11"/>
                <w:color w:val="auto"/>
              </w:rPr>
            </w:pPr>
          </w:p>
        </w:tc>
        <w:tc>
          <w:tcPr>
            <w:tcW w:w="1140" w:type="dxa"/>
            <w:vAlign w:val="bottom"/>
            <w:gridSpan w:val="2"/>
          </w:tcPr>
          <w:p>
            <w:pPr>
              <w:jc w:val="right"/>
              <w:ind w:right="226"/>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10,760</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(129 )</w:t>
            </w:r>
          </w:p>
        </w:tc>
        <w:tc>
          <w:tcPr>
            <w:tcW w:w="0" w:type="dxa"/>
            <w:vAlign w:val="bottom"/>
          </w:tcPr>
          <w:p>
            <w:pPr>
              <w:spacing w:after="0"/>
              <w:rPr>
                <w:sz w:val="1"/>
                <w:szCs w:val="1"/>
                <w:color w:val="auto"/>
              </w:rPr>
            </w:pPr>
          </w:p>
        </w:tc>
      </w:tr>
      <w:tr>
        <w:trPr>
          <w:trHeight w:val="153"/>
        </w:trPr>
        <w:tc>
          <w:tcPr>
            <w:tcW w:w="2900" w:type="dxa"/>
            <w:vAlign w:val="bottom"/>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Unique Indoor Comfort, LLC (Revolver) </w:t>
            </w:r>
            <w:r>
              <w:rPr>
                <w:rFonts w:ascii="Times New Roman" w:cs="Times New Roman" w:eastAsia="Times New Roman" w:hAnsi="Times New Roman"/>
                <w:sz w:val="14"/>
                <w:szCs w:val="14"/>
                <w:color w:val="auto"/>
                <w:vertAlign w:val="superscript"/>
              </w:rPr>
              <w:t>(7), (9)</w:t>
            </w:r>
          </w:p>
        </w:tc>
        <w:tc>
          <w:tcPr>
            <w:tcW w:w="880" w:type="dxa"/>
            <w:vAlign w:val="bottom"/>
            <w:gridSpan w:val="2"/>
          </w:tcPr>
          <w:p>
            <w:pPr>
              <w:jc w:val="center"/>
              <w:ind w:left="106"/>
              <w:spacing w:after="0"/>
              <w:rPr>
                <w:sz w:val="20"/>
                <w:szCs w:val="20"/>
                <w:color w:val="auto"/>
              </w:rPr>
            </w:pPr>
            <w:r>
              <w:rPr>
                <w:rFonts w:ascii="Times New Roman" w:cs="Times New Roman" w:eastAsia="Times New Roman" w:hAnsi="Times New Roman"/>
                <w:sz w:val="11"/>
                <w:szCs w:val="11"/>
                <w:color w:val="auto"/>
                <w:w w:val="95"/>
              </w:rPr>
              <w:t>05/24/2027</w:t>
            </w:r>
          </w:p>
        </w:tc>
        <w:tc>
          <w:tcPr>
            <w:tcW w:w="160" w:type="dxa"/>
            <w:vAlign w:val="bottom"/>
          </w:tcPr>
          <w:p>
            <w:pPr>
              <w:spacing w:after="0"/>
              <w:rPr>
                <w:sz w:val="13"/>
                <w:szCs w:val="13"/>
                <w:color w:val="auto"/>
              </w:rPr>
            </w:pPr>
          </w:p>
        </w:tc>
        <w:tc>
          <w:tcPr>
            <w:tcW w:w="20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Diversified Consumer Services</w:t>
            </w:r>
          </w:p>
        </w:tc>
        <w:tc>
          <w:tcPr>
            <w:tcW w:w="120" w:type="dxa"/>
            <w:vAlign w:val="bottom"/>
          </w:tcPr>
          <w:p>
            <w:pPr>
              <w:spacing w:after="0"/>
              <w:rPr>
                <w:sz w:val="13"/>
                <w:szCs w:val="13"/>
                <w:color w:val="auto"/>
              </w:rPr>
            </w:pPr>
          </w:p>
        </w:tc>
        <w:tc>
          <w:tcPr>
            <w:tcW w:w="1140" w:type="dxa"/>
            <w:vAlign w:val="bottom"/>
            <w:gridSpan w:val="2"/>
          </w:tcPr>
          <w:p>
            <w:pPr>
              <w:jc w:val="right"/>
              <w:ind w:right="226"/>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2,000</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(44 )</w:t>
            </w:r>
          </w:p>
        </w:tc>
        <w:tc>
          <w:tcPr>
            <w:tcW w:w="0" w:type="dxa"/>
            <w:vAlign w:val="bottom"/>
          </w:tcPr>
          <w:p>
            <w:pPr>
              <w:spacing w:after="0"/>
              <w:rPr>
                <w:sz w:val="1"/>
                <w:szCs w:val="1"/>
                <w:color w:val="auto"/>
              </w:rPr>
            </w:pPr>
          </w:p>
        </w:tc>
      </w:tr>
      <w:tr>
        <w:trPr>
          <w:trHeight w:val="149"/>
        </w:trPr>
        <w:tc>
          <w:tcPr>
            <w:tcW w:w="29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Walker Edison Furniture Company LLC</w:t>
            </w:r>
          </w:p>
        </w:tc>
        <w:tc>
          <w:tcPr>
            <w:tcW w:w="880" w:type="dxa"/>
            <w:vAlign w:val="bottom"/>
            <w:gridSpan w:val="2"/>
            <w:shd w:val="clear" w:color="auto" w:fill="CCECFF"/>
          </w:tcPr>
          <w:p>
            <w:pPr>
              <w:jc w:val="center"/>
              <w:ind w:left="106"/>
              <w:spacing w:after="0"/>
              <w:rPr>
                <w:sz w:val="20"/>
                <w:szCs w:val="20"/>
                <w:color w:val="auto"/>
              </w:rPr>
            </w:pPr>
            <w:r>
              <w:rPr>
                <w:rFonts w:ascii="Times New Roman" w:cs="Times New Roman" w:eastAsia="Times New Roman" w:hAnsi="Times New Roman"/>
                <w:sz w:val="11"/>
                <w:szCs w:val="11"/>
                <w:color w:val="auto"/>
                <w:w w:val="95"/>
              </w:rPr>
              <w:t>03/31/2027</w:t>
            </w:r>
          </w:p>
        </w:tc>
        <w:tc>
          <w:tcPr>
            <w:tcW w:w="160" w:type="dxa"/>
            <w:vAlign w:val="bottom"/>
            <w:shd w:val="clear" w:color="auto" w:fill="CCECFF"/>
          </w:tcPr>
          <w:p>
            <w:pPr>
              <w:spacing w:after="0"/>
              <w:rPr>
                <w:sz w:val="12"/>
                <w:szCs w:val="12"/>
                <w:color w:val="auto"/>
              </w:rPr>
            </w:pPr>
          </w:p>
        </w:tc>
        <w:tc>
          <w:tcPr>
            <w:tcW w:w="20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Wholesale</w:t>
            </w:r>
          </w:p>
        </w:tc>
        <w:tc>
          <w:tcPr>
            <w:tcW w:w="1260" w:type="dxa"/>
            <w:vAlign w:val="bottom"/>
            <w:gridSpan w:val="3"/>
            <w:shd w:val="clear" w:color="auto" w:fill="CCECFF"/>
          </w:tcPr>
          <w:p>
            <w:pPr>
              <w:jc w:val="right"/>
              <w:ind w:right="106"/>
              <w:spacing w:after="0"/>
              <w:rPr>
                <w:sz w:val="20"/>
                <w:szCs w:val="20"/>
                <w:color w:val="auto"/>
              </w:rPr>
            </w:pPr>
            <w:r>
              <w:rPr>
                <w:rFonts w:ascii="Times New Roman" w:cs="Times New Roman" w:eastAsia="Times New Roman" w:hAnsi="Times New Roman"/>
                <w:sz w:val="11"/>
                <w:szCs w:val="11"/>
                <w:color w:val="auto"/>
              </w:rPr>
              <w:t>12.42 %</w:t>
            </w:r>
          </w:p>
        </w:tc>
        <w:tc>
          <w:tcPr>
            <w:tcW w:w="8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1M L+875</w:t>
            </w:r>
          </w:p>
        </w:tc>
        <w:tc>
          <w:tcPr>
            <w:tcW w:w="108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12,684</w:t>
            </w:r>
          </w:p>
        </w:tc>
        <w:tc>
          <w:tcPr>
            <w:tcW w:w="22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12,434</w:t>
            </w:r>
          </w:p>
        </w:tc>
        <w:tc>
          <w:tcPr>
            <w:tcW w:w="2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7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8,474</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95"/>
        </w:trPr>
        <w:tc>
          <w:tcPr>
            <w:tcW w:w="2900" w:type="dxa"/>
            <w:vAlign w:val="bottom"/>
          </w:tcPr>
          <w:p>
            <w:pPr>
              <w:ind w:left="20"/>
              <w:spacing w:after="0" w:line="95" w:lineRule="exact"/>
              <w:rPr>
                <w:sz w:val="20"/>
                <w:szCs w:val="20"/>
                <w:color w:val="auto"/>
              </w:rPr>
            </w:pPr>
            <w:r>
              <w:rPr>
                <w:rFonts w:ascii="Times New Roman" w:cs="Times New Roman" w:eastAsia="Times New Roman" w:hAnsi="Times New Roman"/>
                <w:sz w:val="10"/>
                <w:szCs w:val="10"/>
                <w:color w:val="auto"/>
              </w:rPr>
              <w:t>Wildcat Buyerco, Inc.</w:t>
            </w:r>
          </w:p>
        </w:tc>
        <w:tc>
          <w:tcPr>
            <w:tcW w:w="880" w:type="dxa"/>
            <w:vAlign w:val="bottom"/>
            <w:gridSpan w:val="2"/>
          </w:tcPr>
          <w:p>
            <w:pPr>
              <w:jc w:val="center"/>
              <w:ind w:left="106"/>
              <w:spacing w:after="0" w:line="95" w:lineRule="exact"/>
              <w:rPr>
                <w:sz w:val="20"/>
                <w:szCs w:val="20"/>
                <w:color w:val="auto"/>
              </w:rPr>
            </w:pPr>
            <w:r>
              <w:rPr>
                <w:rFonts w:ascii="Times New Roman" w:cs="Times New Roman" w:eastAsia="Times New Roman" w:hAnsi="Times New Roman"/>
                <w:sz w:val="10"/>
                <w:szCs w:val="10"/>
                <w:color w:val="auto"/>
              </w:rPr>
              <w:t>02/27/2026</w:t>
            </w:r>
          </w:p>
        </w:tc>
        <w:tc>
          <w:tcPr>
            <w:tcW w:w="160" w:type="dxa"/>
            <w:vAlign w:val="bottom"/>
          </w:tcPr>
          <w:p>
            <w:pPr>
              <w:spacing w:after="0"/>
              <w:rPr>
                <w:sz w:val="8"/>
                <w:szCs w:val="8"/>
                <w:color w:val="auto"/>
              </w:rPr>
            </w:pPr>
          </w:p>
        </w:tc>
        <w:tc>
          <w:tcPr>
            <w:tcW w:w="2000" w:type="dxa"/>
            <w:vAlign w:val="bottom"/>
          </w:tcPr>
          <w:p>
            <w:pPr>
              <w:jc w:val="center"/>
              <w:spacing w:after="0" w:line="95" w:lineRule="exact"/>
              <w:rPr>
                <w:sz w:val="20"/>
                <w:szCs w:val="20"/>
                <w:color w:val="auto"/>
              </w:rPr>
            </w:pPr>
            <w:r>
              <w:rPr>
                <w:rFonts w:ascii="Times New Roman" w:cs="Times New Roman" w:eastAsia="Times New Roman" w:hAnsi="Times New Roman"/>
                <w:sz w:val="10"/>
                <w:szCs w:val="10"/>
                <w:color w:val="auto"/>
              </w:rPr>
              <w:t>Electronic Equipment, Instruments, and</w:t>
            </w:r>
          </w:p>
        </w:tc>
        <w:tc>
          <w:tcPr>
            <w:tcW w:w="1260" w:type="dxa"/>
            <w:vAlign w:val="bottom"/>
            <w:gridSpan w:val="3"/>
          </w:tcPr>
          <w:p>
            <w:pPr>
              <w:jc w:val="right"/>
              <w:ind w:right="106"/>
              <w:spacing w:after="0" w:line="95" w:lineRule="exact"/>
              <w:rPr>
                <w:sz w:val="20"/>
                <w:szCs w:val="20"/>
                <w:color w:val="auto"/>
              </w:rPr>
            </w:pPr>
            <w:r>
              <w:rPr>
                <w:rFonts w:ascii="Times New Roman" w:cs="Times New Roman" w:eastAsia="Times New Roman" w:hAnsi="Times New Roman"/>
                <w:sz w:val="10"/>
                <w:szCs w:val="10"/>
                <w:color w:val="auto"/>
              </w:rPr>
              <w:t>9.38 %</w:t>
            </w:r>
          </w:p>
        </w:tc>
        <w:tc>
          <w:tcPr>
            <w:tcW w:w="860" w:type="dxa"/>
            <w:vAlign w:val="bottom"/>
          </w:tcPr>
          <w:p>
            <w:pPr>
              <w:jc w:val="right"/>
              <w:spacing w:after="0" w:line="95" w:lineRule="exact"/>
              <w:rPr>
                <w:sz w:val="20"/>
                <w:szCs w:val="20"/>
                <w:color w:val="auto"/>
              </w:rPr>
            </w:pPr>
            <w:r>
              <w:rPr>
                <w:rFonts w:ascii="Times New Roman" w:cs="Times New Roman" w:eastAsia="Times New Roman" w:hAnsi="Times New Roman"/>
                <w:sz w:val="10"/>
                <w:szCs w:val="10"/>
                <w:color w:val="auto"/>
              </w:rPr>
              <w:t>3M L+575</w:t>
            </w:r>
          </w:p>
        </w:tc>
        <w:tc>
          <w:tcPr>
            <w:tcW w:w="1080" w:type="dxa"/>
            <w:vAlign w:val="bottom"/>
            <w:gridSpan w:val="2"/>
          </w:tcPr>
          <w:p>
            <w:pPr>
              <w:jc w:val="right"/>
              <w:spacing w:after="0" w:line="95" w:lineRule="exact"/>
              <w:rPr>
                <w:sz w:val="20"/>
                <w:szCs w:val="20"/>
                <w:color w:val="auto"/>
              </w:rPr>
            </w:pPr>
            <w:r>
              <w:rPr>
                <w:rFonts w:ascii="Times New Roman" w:cs="Times New Roman" w:eastAsia="Times New Roman" w:hAnsi="Times New Roman"/>
                <w:sz w:val="10"/>
                <w:szCs w:val="10"/>
                <w:color w:val="auto"/>
              </w:rPr>
              <w:t>9,853</w:t>
            </w: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tcPr>
          <w:p>
            <w:pPr>
              <w:jc w:val="right"/>
              <w:spacing w:after="0" w:line="95" w:lineRule="exact"/>
              <w:rPr>
                <w:sz w:val="20"/>
                <w:szCs w:val="20"/>
                <w:color w:val="auto"/>
              </w:rPr>
            </w:pPr>
            <w:r>
              <w:rPr>
                <w:rFonts w:ascii="Times New Roman" w:cs="Times New Roman" w:eastAsia="Times New Roman" w:hAnsi="Times New Roman"/>
                <w:sz w:val="10"/>
                <w:szCs w:val="10"/>
                <w:color w:val="auto"/>
              </w:rPr>
              <w:t>9,717</w:t>
            </w: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jc w:val="right"/>
              <w:spacing w:after="0" w:line="95" w:lineRule="exact"/>
              <w:rPr>
                <w:sz w:val="20"/>
                <w:szCs w:val="20"/>
                <w:color w:val="auto"/>
              </w:rPr>
            </w:pPr>
            <w:r>
              <w:rPr>
                <w:rFonts w:ascii="Times New Roman" w:cs="Times New Roman" w:eastAsia="Times New Roman" w:hAnsi="Times New Roman"/>
                <w:sz w:val="10"/>
                <w:szCs w:val="10"/>
                <w:color w:val="auto"/>
              </w:rPr>
              <w:t>9,532</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0"/>
        </w:trPr>
        <w:tc>
          <w:tcPr>
            <w:tcW w:w="2900" w:type="dxa"/>
            <w:vAlign w:val="bottom"/>
            <w:vMerge w:val="restart"/>
          </w:tcPr>
          <w:p>
            <w:pPr>
              <w:ind w:left="20"/>
              <w:spacing w:after="0"/>
              <w:rPr>
                <w:sz w:val="20"/>
                <w:szCs w:val="20"/>
                <w:color w:val="auto"/>
              </w:rPr>
            </w:pPr>
            <w:r>
              <w:rPr>
                <w:rFonts w:ascii="Times New Roman" w:cs="Times New Roman" w:eastAsia="Times New Roman" w:hAnsi="Times New Roman"/>
                <w:sz w:val="11"/>
                <w:szCs w:val="11"/>
                <w:color w:val="auto"/>
              </w:rPr>
              <w:t xml:space="preserve">Wildcat Buyerco, Inc. (Revolver) </w:t>
            </w:r>
            <w:r>
              <w:rPr>
                <w:rFonts w:ascii="Times New Roman" w:cs="Times New Roman" w:eastAsia="Times New Roman" w:hAnsi="Times New Roman"/>
                <w:sz w:val="14"/>
                <w:szCs w:val="14"/>
                <w:color w:val="auto"/>
                <w:vertAlign w:val="superscript"/>
              </w:rPr>
              <w:t>(9)</w:t>
            </w: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Components</w:t>
            </w: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6"/>
        </w:trPr>
        <w:tc>
          <w:tcPr>
            <w:tcW w:w="2900" w:type="dxa"/>
            <w:vAlign w:val="bottom"/>
            <w:vMerge w:val="continue"/>
          </w:tcPr>
          <w:p>
            <w:pPr>
              <w:spacing w:after="0"/>
              <w:rPr>
                <w:sz w:val="10"/>
                <w:szCs w:val="10"/>
                <w:color w:val="auto"/>
              </w:rPr>
            </w:pPr>
          </w:p>
        </w:tc>
        <w:tc>
          <w:tcPr>
            <w:tcW w:w="880" w:type="dxa"/>
            <w:vAlign w:val="bottom"/>
            <w:gridSpan w:val="2"/>
          </w:tcPr>
          <w:p>
            <w:pPr>
              <w:jc w:val="center"/>
              <w:ind w:left="106"/>
              <w:spacing w:after="0" w:line="116" w:lineRule="exact"/>
              <w:rPr>
                <w:sz w:val="20"/>
                <w:szCs w:val="20"/>
                <w:color w:val="auto"/>
              </w:rPr>
            </w:pPr>
            <w:r>
              <w:rPr>
                <w:rFonts w:ascii="Times New Roman" w:cs="Times New Roman" w:eastAsia="Times New Roman" w:hAnsi="Times New Roman"/>
                <w:sz w:val="11"/>
                <w:szCs w:val="11"/>
                <w:color w:val="auto"/>
                <w:w w:val="95"/>
              </w:rPr>
              <w:t>02/27/2026</w:t>
            </w:r>
          </w:p>
        </w:tc>
        <w:tc>
          <w:tcPr>
            <w:tcW w:w="160" w:type="dxa"/>
            <w:vAlign w:val="bottom"/>
          </w:tcPr>
          <w:p>
            <w:pPr>
              <w:spacing w:after="0"/>
              <w:rPr>
                <w:sz w:val="10"/>
                <w:szCs w:val="10"/>
                <w:color w:val="auto"/>
              </w:rPr>
            </w:pPr>
          </w:p>
        </w:tc>
        <w:tc>
          <w:tcPr>
            <w:tcW w:w="2000" w:type="dxa"/>
            <w:vAlign w:val="bottom"/>
          </w:tcPr>
          <w:p>
            <w:pPr>
              <w:jc w:val="center"/>
              <w:spacing w:after="0" w:line="116" w:lineRule="exact"/>
              <w:rPr>
                <w:sz w:val="20"/>
                <w:szCs w:val="20"/>
                <w:color w:val="auto"/>
              </w:rPr>
            </w:pPr>
            <w:r>
              <w:rPr>
                <w:rFonts w:ascii="Times New Roman" w:cs="Times New Roman" w:eastAsia="Times New Roman" w:hAnsi="Times New Roman"/>
                <w:sz w:val="11"/>
                <w:szCs w:val="11"/>
                <w:color w:val="auto"/>
                <w:w w:val="98"/>
              </w:rPr>
              <w:t>Electronic Equipment, Instruments, and</w:t>
            </w:r>
          </w:p>
        </w:tc>
        <w:tc>
          <w:tcPr>
            <w:tcW w:w="120" w:type="dxa"/>
            <w:vAlign w:val="bottom"/>
          </w:tcPr>
          <w:p>
            <w:pPr>
              <w:spacing w:after="0"/>
              <w:rPr>
                <w:sz w:val="10"/>
                <w:szCs w:val="10"/>
                <w:color w:val="auto"/>
              </w:rPr>
            </w:pPr>
          </w:p>
        </w:tc>
        <w:tc>
          <w:tcPr>
            <w:tcW w:w="1140" w:type="dxa"/>
            <w:vAlign w:val="bottom"/>
            <w:gridSpan w:val="2"/>
          </w:tcPr>
          <w:p>
            <w:pPr>
              <w:jc w:val="right"/>
              <w:ind w:right="226"/>
              <w:spacing w:after="0" w:line="116" w:lineRule="exact"/>
              <w:rPr>
                <w:sz w:val="20"/>
                <w:szCs w:val="20"/>
                <w:color w:val="auto"/>
              </w:rPr>
            </w:pPr>
            <w:r>
              <w:rPr>
                <w:rFonts w:ascii="Times New Roman" w:cs="Times New Roman" w:eastAsia="Times New Roman" w:hAnsi="Times New Roman"/>
                <w:sz w:val="11"/>
                <w:szCs w:val="11"/>
                <w:color w:val="auto"/>
              </w:rPr>
              <w:t>—</w:t>
            </w:r>
          </w:p>
        </w:tc>
        <w:tc>
          <w:tcPr>
            <w:tcW w:w="860" w:type="dxa"/>
            <w:vAlign w:val="bottom"/>
          </w:tcPr>
          <w:p>
            <w:pPr>
              <w:jc w:val="right"/>
              <w:spacing w:after="0" w:line="116" w:lineRule="exact"/>
              <w:rPr>
                <w:sz w:val="20"/>
                <w:szCs w:val="20"/>
                <w:color w:val="auto"/>
              </w:rPr>
            </w:pPr>
            <w:r>
              <w:rPr>
                <w:rFonts w:ascii="Times New Roman" w:cs="Times New Roman" w:eastAsia="Times New Roman" w:hAnsi="Times New Roman"/>
                <w:sz w:val="11"/>
                <w:szCs w:val="11"/>
                <w:color w:val="auto"/>
              </w:rPr>
              <w:t>—</w:t>
            </w:r>
          </w:p>
        </w:tc>
        <w:tc>
          <w:tcPr>
            <w:tcW w:w="1080" w:type="dxa"/>
            <w:vAlign w:val="bottom"/>
            <w:gridSpan w:val="2"/>
          </w:tcPr>
          <w:p>
            <w:pPr>
              <w:jc w:val="right"/>
              <w:spacing w:after="0" w:line="116" w:lineRule="exact"/>
              <w:rPr>
                <w:sz w:val="20"/>
                <w:szCs w:val="20"/>
                <w:color w:val="auto"/>
              </w:rPr>
            </w:pPr>
            <w:r>
              <w:rPr>
                <w:rFonts w:ascii="Times New Roman" w:cs="Times New Roman" w:eastAsia="Times New Roman" w:hAnsi="Times New Roman"/>
                <w:sz w:val="11"/>
                <w:szCs w:val="11"/>
                <w:color w:val="auto"/>
              </w:rPr>
              <w:t>534</w:t>
            </w: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Pr>
          <w:p>
            <w:pPr>
              <w:jc w:val="right"/>
              <w:spacing w:after="0" w:line="116" w:lineRule="exact"/>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gridSpan w:val="2"/>
          </w:tcPr>
          <w:p>
            <w:pPr>
              <w:jc w:val="right"/>
              <w:ind w:right="60"/>
              <w:spacing w:after="0" w:line="116" w:lineRule="exact"/>
              <w:rPr>
                <w:sz w:val="20"/>
                <w:szCs w:val="20"/>
                <w:color w:val="auto"/>
              </w:rPr>
            </w:pPr>
            <w:r>
              <w:rPr>
                <w:rFonts w:ascii="Times New Roman" w:cs="Times New Roman" w:eastAsia="Times New Roman" w:hAnsi="Times New Roman"/>
                <w:sz w:val="11"/>
                <w:szCs w:val="11"/>
                <w:color w:val="auto"/>
              </w:rPr>
              <w:t>(34 )</w:t>
            </w:r>
          </w:p>
        </w:tc>
        <w:tc>
          <w:tcPr>
            <w:tcW w:w="0" w:type="dxa"/>
            <w:vAlign w:val="bottom"/>
          </w:tcPr>
          <w:p>
            <w:pPr>
              <w:spacing w:after="0"/>
              <w:rPr>
                <w:sz w:val="1"/>
                <w:szCs w:val="1"/>
                <w:color w:val="auto"/>
              </w:rPr>
            </w:pPr>
          </w:p>
        </w:tc>
      </w:tr>
      <w:tr>
        <w:trPr>
          <w:trHeight w:val="140"/>
        </w:trPr>
        <w:tc>
          <w:tcPr>
            <w:tcW w:w="2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Components</w:t>
            </w: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0"/>
        </w:trPr>
        <w:tc>
          <w:tcPr>
            <w:tcW w:w="29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Zips Car Wash, LLC</w:t>
            </w:r>
          </w:p>
        </w:tc>
        <w:tc>
          <w:tcPr>
            <w:tcW w:w="880" w:type="dxa"/>
            <w:vAlign w:val="bottom"/>
            <w:gridSpan w:val="2"/>
          </w:tcPr>
          <w:p>
            <w:pPr>
              <w:jc w:val="center"/>
              <w:ind w:left="106"/>
              <w:spacing w:after="0"/>
              <w:rPr>
                <w:sz w:val="20"/>
                <w:szCs w:val="20"/>
                <w:color w:val="auto"/>
              </w:rPr>
            </w:pPr>
            <w:r>
              <w:rPr>
                <w:rFonts w:ascii="Times New Roman" w:cs="Times New Roman" w:eastAsia="Times New Roman" w:hAnsi="Times New Roman"/>
                <w:sz w:val="11"/>
                <w:szCs w:val="11"/>
                <w:color w:val="auto"/>
                <w:w w:val="95"/>
              </w:rPr>
              <w:t>03/01/2024</w:t>
            </w:r>
          </w:p>
        </w:tc>
        <w:tc>
          <w:tcPr>
            <w:tcW w:w="160" w:type="dxa"/>
            <w:vAlign w:val="bottom"/>
          </w:tcPr>
          <w:p>
            <w:pPr>
              <w:spacing w:after="0"/>
              <w:rPr>
                <w:sz w:val="13"/>
                <w:szCs w:val="13"/>
                <w:color w:val="auto"/>
              </w:rPr>
            </w:pPr>
          </w:p>
        </w:tc>
        <w:tc>
          <w:tcPr>
            <w:tcW w:w="20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Automobiles</w:t>
            </w:r>
          </w:p>
        </w:tc>
        <w:tc>
          <w:tcPr>
            <w:tcW w:w="1260" w:type="dxa"/>
            <w:vAlign w:val="bottom"/>
            <w:gridSpan w:val="3"/>
          </w:tcPr>
          <w:p>
            <w:pPr>
              <w:jc w:val="right"/>
              <w:ind w:right="106"/>
              <w:spacing w:after="0"/>
              <w:rPr>
                <w:sz w:val="20"/>
                <w:szCs w:val="20"/>
                <w:color w:val="auto"/>
              </w:rPr>
            </w:pPr>
            <w:r>
              <w:rPr>
                <w:rFonts w:ascii="Times New Roman" w:cs="Times New Roman" w:eastAsia="Times New Roman" w:hAnsi="Times New Roman"/>
                <w:sz w:val="11"/>
                <w:szCs w:val="11"/>
                <w:color w:val="auto"/>
              </w:rPr>
              <w:t>10.30 %</w:t>
            </w: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L+725</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13,428</w:t>
            </w:r>
          </w:p>
        </w:tc>
        <w:tc>
          <w:tcPr>
            <w:tcW w:w="22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13,284</w:t>
            </w:r>
          </w:p>
        </w:tc>
        <w:tc>
          <w:tcPr>
            <w:tcW w:w="2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13,092</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90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1"/>
                <w:szCs w:val="11"/>
                <w:b w:val="1"/>
                <w:bCs w:val="1"/>
                <w:color w:val="auto"/>
              </w:rPr>
              <w:t>Total First Lien Secured Debt</w:t>
            </w:r>
          </w:p>
        </w:tc>
        <w:tc>
          <w:tcPr>
            <w:tcW w:w="140" w:type="dxa"/>
            <w:vAlign w:val="bottom"/>
            <w:tcBorders>
              <w:bottom w:val="single" w:sz="8" w:color="CCECFF"/>
            </w:tcBorders>
            <w:shd w:val="clear" w:color="auto" w:fill="CCECFF"/>
          </w:tcPr>
          <w:p>
            <w:pPr>
              <w:spacing w:after="0"/>
              <w:rPr>
                <w:sz w:val="11"/>
                <w:szCs w:val="11"/>
                <w:color w:val="auto"/>
              </w:rPr>
            </w:pPr>
          </w:p>
        </w:tc>
        <w:tc>
          <w:tcPr>
            <w:tcW w:w="740" w:type="dxa"/>
            <w:vAlign w:val="bottom"/>
            <w:tcBorders>
              <w:bottom w:val="single" w:sz="8" w:color="CCECFF"/>
            </w:tcBorders>
            <w:shd w:val="clear" w:color="auto" w:fill="CCECFF"/>
          </w:tcPr>
          <w:p>
            <w:pPr>
              <w:spacing w:after="0"/>
              <w:rPr>
                <w:sz w:val="11"/>
                <w:szCs w:val="11"/>
                <w:color w:val="auto"/>
              </w:rPr>
            </w:pPr>
          </w:p>
        </w:tc>
        <w:tc>
          <w:tcPr>
            <w:tcW w:w="160" w:type="dxa"/>
            <w:vAlign w:val="bottom"/>
            <w:tcBorders>
              <w:bottom w:val="single" w:sz="8" w:color="CCECFF"/>
            </w:tcBorders>
            <w:shd w:val="clear" w:color="auto" w:fill="CCECFF"/>
          </w:tcPr>
          <w:p>
            <w:pPr>
              <w:spacing w:after="0"/>
              <w:rPr>
                <w:sz w:val="11"/>
                <w:szCs w:val="11"/>
                <w:color w:val="auto"/>
              </w:rPr>
            </w:pPr>
          </w:p>
        </w:tc>
        <w:tc>
          <w:tcPr>
            <w:tcW w:w="2000" w:type="dxa"/>
            <w:vAlign w:val="bottom"/>
            <w:tcBorders>
              <w:bottom w:val="single" w:sz="8" w:color="CCECFF"/>
            </w:tcBorders>
            <w:shd w:val="clear" w:color="auto" w:fill="CCECFF"/>
          </w:tcPr>
          <w:p>
            <w:pPr>
              <w:spacing w:after="0"/>
              <w:rPr>
                <w:sz w:val="11"/>
                <w:szCs w:val="11"/>
                <w:color w:val="auto"/>
              </w:rPr>
            </w:pPr>
          </w:p>
        </w:tc>
        <w:tc>
          <w:tcPr>
            <w:tcW w:w="120" w:type="dxa"/>
            <w:vAlign w:val="bottom"/>
            <w:tcBorders>
              <w:bottom w:val="single" w:sz="8" w:color="CCECFF"/>
            </w:tcBorders>
            <w:shd w:val="clear" w:color="auto" w:fill="CCECFF"/>
          </w:tcPr>
          <w:p>
            <w:pPr>
              <w:spacing w:after="0"/>
              <w:rPr>
                <w:sz w:val="11"/>
                <w:szCs w:val="11"/>
                <w:color w:val="auto"/>
              </w:rPr>
            </w:pPr>
          </w:p>
        </w:tc>
        <w:tc>
          <w:tcPr>
            <w:tcW w:w="880" w:type="dxa"/>
            <w:vAlign w:val="bottom"/>
            <w:tcBorders>
              <w:bottom w:val="single" w:sz="8" w:color="CCECFF"/>
            </w:tcBorders>
            <w:shd w:val="clear" w:color="auto" w:fill="CCECFF"/>
          </w:tcPr>
          <w:p>
            <w:pPr>
              <w:spacing w:after="0"/>
              <w:rPr>
                <w:sz w:val="11"/>
                <w:szCs w:val="11"/>
                <w:color w:val="auto"/>
              </w:rPr>
            </w:pPr>
          </w:p>
        </w:tc>
        <w:tc>
          <w:tcPr>
            <w:tcW w:w="260" w:type="dxa"/>
            <w:vAlign w:val="bottom"/>
            <w:tcBorders>
              <w:bottom w:val="single" w:sz="8" w:color="CCECFF"/>
            </w:tcBorders>
            <w:shd w:val="clear" w:color="auto" w:fill="CCECFF"/>
          </w:tcPr>
          <w:p>
            <w:pPr>
              <w:spacing w:after="0"/>
              <w:rPr>
                <w:sz w:val="11"/>
                <w:szCs w:val="11"/>
                <w:color w:val="auto"/>
              </w:rPr>
            </w:pPr>
          </w:p>
        </w:tc>
        <w:tc>
          <w:tcPr>
            <w:tcW w:w="860" w:type="dxa"/>
            <w:vAlign w:val="bottom"/>
            <w:tcBorders>
              <w:bottom w:val="single" w:sz="8" w:color="CCECFF"/>
            </w:tcBorders>
            <w:shd w:val="clear" w:color="auto" w:fill="CCECFF"/>
          </w:tcPr>
          <w:p>
            <w:pPr>
              <w:spacing w:after="0"/>
              <w:rPr>
                <w:sz w:val="11"/>
                <w:szCs w:val="11"/>
                <w:color w:val="auto"/>
              </w:rPr>
            </w:pPr>
          </w:p>
        </w:tc>
        <w:tc>
          <w:tcPr>
            <w:tcW w:w="240" w:type="dxa"/>
            <w:vAlign w:val="bottom"/>
            <w:tcBorders>
              <w:bottom w:val="single" w:sz="8" w:color="CCECFF"/>
            </w:tcBorders>
            <w:shd w:val="clear" w:color="auto" w:fill="CCECFF"/>
          </w:tcPr>
          <w:p>
            <w:pPr>
              <w:spacing w:after="0"/>
              <w:rPr>
                <w:sz w:val="11"/>
                <w:szCs w:val="11"/>
                <w:color w:val="auto"/>
              </w:rPr>
            </w:pPr>
          </w:p>
        </w:tc>
        <w:tc>
          <w:tcPr>
            <w:tcW w:w="840" w:type="dxa"/>
            <w:vAlign w:val="bottom"/>
            <w:tcBorders>
              <w:bottom w:val="single" w:sz="8" w:color="CCECFF"/>
            </w:tcBorders>
            <w:shd w:val="clear" w:color="auto" w:fill="CCECFF"/>
          </w:tcPr>
          <w:p>
            <w:pPr>
              <w:spacing w:after="0"/>
              <w:rPr>
                <w:sz w:val="11"/>
                <w:szCs w:val="11"/>
                <w:color w:val="auto"/>
              </w:rPr>
            </w:pPr>
          </w:p>
        </w:tc>
        <w:tc>
          <w:tcPr>
            <w:tcW w:w="220" w:type="dxa"/>
            <w:vAlign w:val="bottom"/>
            <w:tcBorders>
              <w:bottom w:val="single" w:sz="8" w:color="CCECFF"/>
            </w:tcBorders>
            <w:shd w:val="clear" w:color="auto" w:fill="CCECFF"/>
          </w:tcPr>
          <w:p>
            <w:pPr>
              <w:spacing w:after="0"/>
              <w:rPr>
                <w:sz w:val="11"/>
                <w:szCs w:val="11"/>
                <w:color w:val="auto"/>
              </w:rPr>
            </w:pPr>
          </w:p>
        </w:tc>
        <w:tc>
          <w:tcPr>
            <w:tcW w:w="180" w:type="dxa"/>
            <w:vAlign w:val="bottom"/>
            <w:tcBorders>
              <w:bottom w:val="single" w:sz="8" w:color="auto"/>
            </w:tcBorders>
            <w:shd w:val="clear" w:color="auto" w:fill="CCECFF"/>
          </w:tcPr>
          <w:p>
            <w:pPr>
              <w:spacing w:after="0"/>
              <w:rPr>
                <w:sz w:val="11"/>
                <w:szCs w:val="11"/>
                <w:color w:val="auto"/>
              </w:rPr>
            </w:pPr>
          </w:p>
        </w:tc>
        <w:tc>
          <w:tcPr>
            <w:tcW w:w="6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815,742</w:t>
            </w:r>
          </w:p>
        </w:tc>
        <w:tc>
          <w:tcPr>
            <w:tcW w:w="200" w:type="dxa"/>
            <w:vAlign w:val="bottom"/>
            <w:tcBorders>
              <w:bottom w:val="single" w:sz="8" w:color="CCECFF"/>
            </w:tcBorders>
            <w:shd w:val="clear" w:color="auto" w:fill="CCECFF"/>
          </w:tcPr>
          <w:p>
            <w:pPr>
              <w:spacing w:after="0"/>
              <w:rPr>
                <w:sz w:val="11"/>
                <w:szCs w:val="11"/>
                <w:color w:val="auto"/>
              </w:rPr>
            </w:pPr>
          </w:p>
        </w:tc>
        <w:tc>
          <w:tcPr>
            <w:tcW w:w="80" w:type="dxa"/>
            <w:vAlign w:val="bottom"/>
            <w:tcBorders>
              <w:bottom w:val="single" w:sz="8" w:color="auto"/>
            </w:tcBorders>
            <w:shd w:val="clear" w:color="auto" w:fill="CCECFF"/>
          </w:tcPr>
          <w:p>
            <w:pPr>
              <w:spacing w:after="0"/>
              <w:rPr>
                <w:sz w:val="11"/>
                <w:szCs w:val="11"/>
                <w:color w:val="auto"/>
              </w:rPr>
            </w:pPr>
          </w:p>
        </w:tc>
        <w:tc>
          <w:tcPr>
            <w:tcW w:w="72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789,107</w:t>
            </w:r>
          </w:p>
        </w:tc>
        <w:tc>
          <w:tcPr>
            <w:tcW w:w="100" w:type="dxa"/>
            <w:vAlign w:val="bottom"/>
            <w:tcBorders>
              <w:bottom w:val="single" w:sz="8" w:color="CCECFF"/>
            </w:tcBorders>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97"/>
        </w:trPr>
        <w:tc>
          <w:tcPr>
            <w:tcW w:w="2900" w:type="dxa"/>
            <w:vAlign w:val="bottom"/>
          </w:tcPr>
          <w:p>
            <w:pPr>
              <w:ind w:left="20"/>
              <w:spacing w:after="0" w:line="97" w:lineRule="exact"/>
              <w:rPr>
                <w:sz w:val="20"/>
                <w:szCs w:val="20"/>
                <w:color w:val="auto"/>
              </w:rPr>
            </w:pPr>
            <w:r>
              <w:rPr>
                <w:rFonts w:ascii="Times New Roman" w:cs="Times New Roman" w:eastAsia="Times New Roman" w:hAnsi="Times New Roman"/>
                <w:sz w:val="11"/>
                <w:szCs w:val="11"/>
                <w:b w:val="1"/>
                <w:bCs w:val="1"/>
                <w:color w:val="auto"/>
              </w:rPr>
              <w:t>Second Lien Secured Debt—0%</w:t>
            </w:r>
          </w:p>
        </w:tc>
        <w:tc>
          <w:tcPr>
            <w:tcW w:w="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00" w:type="dxa"/>
            <w:vAlign w:val="bottom"/>
          </w:tcPr>
          <w:p>
            <w:pPr>
              <w:spacing w:after="0"/>
              <w:rPr>
                <w:sz w:val="8"/>
                <w:szCs w:val="8"/>
                <w:color w:val="auto"/>
              </w:rPr>
            </w:pPr>
          </w:p>
        </w:tc>
        <w:tc>
          <w:tcPr>
            <w:tcW w:w="1260" w:type="dxa"/>
            <w:vAlign w:val="bottom"/>
            <w:gridSpan w:val="3"/>
            <w:vMerge w:val="restart"/>
          </w:tcPr>
          <w:p>
            <w:pPr>
              <w:jc w:val="right"/>
              <w:spacing w:after="0"/>
              <w:rPr>
                <w:sz w:val="20"/>
                <w:szCs w:val="20"/>
                <w:color w:val="auto"/>
              </w:rPr>
            </w:pPr>
            <w:r>
              <w:rPr>
                <w:rFonts w:ascii="Times New Roman" w:cs="Times New Roman" w:eastAsia="Times New Roman" w:hAnsi="Times New Roman"/>
                <w:sz w:val="11"/>
                <w:szCs w:val="11"/>
                <w:color w:val="auto"/>
              </w:rPr>
              <w:t xml:space="preserve">0.00 % </w:t>
            </w:r>
            <w:r>
              <w:rPr>
                <w:rFonts w:ascii="Times New Roman" w:cs="Times New Roman" w:eastAsia="Times New Roman" w:hAnsi="Times New Roman"/>
                <w:sz w:val="14"/>
                <w:szCs w:val="14"/>
                <w:color w:val="auto"/>
                <w:vertAlign w:val="superscript"/>
              </w:rPr>
              <w:t>(6)</w:t>
            </w:r>
          </w:p>
        </w:tc>
        <w:tc>
          <w:tcPr>
            <w:tcW w:w="8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7"/>
        </w:trPr>
        <w:tc>
          <w:tcPr>
            <w:tcW w:w="29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 xml:space="preserve">Mailsouth Inc. </w:t>
            </w:r>
            <w:r>
              <w:rPr>
                <w:rFonts w:ascii="Times New Roman" w:cs="Times New Roman" w:eastAsia="Times New Roman" w:hAnsi="Times New Roman"/>
                <w:sz w:val="14"/>
                <w:szCs w:val="14"/>
                <w:color w:val="auto"/>
                <w:vertAlign w:val="superscript"/>
              </w:rPr>
              <w:t>(7)</w:t>
            </w:r>
          </w:p>
        </w:tc>
        <w:tc>
          <w:tcPr>
            <w:tcW w:w="880" w:type="dxa"/>
            <w:vAlign w:val="bottom"/>
            <w:gridSpan w:val="2"/>
          </w:tcPr>
          <w:p>
            <w:pPr>
              <w:jc w:val="center"/>
              <w:ind w:left="106"/>
              <w:spacing w:after="0"/>
              <w:rPr>
                <w:sz w:val="20"/>
                <w:szCs w:val="20"/>
                <w:color w:val="auto"/>
              </w:rPr>
            </w:pPr>
            <w:r>
              <w:rPr>
                <w:rFonts w:ascii="Times New Roman" w:cs="Times New Roman" w:eastAsia="Times New Roman" w:hAnsi="Times New Roman"/>
                <w:sz w:val="11"/>
                <w:szCs w:val="11"/>
                <w:color w:val="auto"/>
                <w:w w:val="95"/>
              </w:rPr>
              <w:t>04/23/2025</w:t>
            </w:r>
          </w:p>
        </w:tc>
        <w:tc>
          <w:tcPr>
            <w:tcW w:w="160" w:type="dxa"/>
            <w:vAlign w:val="bottom"/>
          </w:tcPr>
          <w:p>
            <w:pPr>
              <w:spacing w:after="0"/>
              <w:rPr>
                <w:sz w:val="14"/>
                <w:szCs w:val="14"/>
                <w:color w:val="auto"/>
              </w:rPr>
            </w:pPr>
          </w:p>
        </w:tc>
        <w:tc>
          <w:tcPr>
            <w:tcW w:w="20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Media: Advertising, Printing and Publishing</w:t>
            </w:r>
          </w:p>
        </w:tc>
        <w:tc>
          <w:tcPr>
            <w:tcW w:w="1260" w:type="dxa"/>
            <w:vAlign w:val="bottom"/>
            <w:gridSpan w:val="3"/>
            <w:vMerge w:val="continue"/>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1,001</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965</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900" w:type="dxa"/>
            <w:vAlign w:val="bottom"/>
            <w:vMerge w:val="restart"/>
          </w:tcPr>
          <w:p>
            <w:pPr>
              <w:ind w:left="20"/>
              <w:spacing w:after="0"/>
              <w:rPr>
                <w:sz w:val="20"/>
                <w:szCs w:val="20"/>
                <w:color w:val="auto"/>
              </w:rPr>
            </w:pPr>
            <w:r>
              <w:rPr>
                <w:rFonts w:ascii="Times New Roman" w:cs="Times New Roman" w:eastAsia="Times New Roman" w:hAnsi="Times New Roman"/>
                <w:sz w:val="11"/>
                <w:szCs w:val="11"/>
                <w:color w:val="auto"/>
              </w:rPr>
              <w:t>QuantiTech LLC</w:t>
            </w:r>
          </w:p>
        </w:tc>
        <w:tc>
          <w:tcPr>
            <w:tcW w:w="140" w:type="dxa"/>
            <w:vAlign w:val="bottom"/>
            <w:shd w:val="clear" w:color="auto" w:fill="CCECFF"/>
          </w:tcPr>
          <w:p>
            <w:pPr>
              <w:spacing w:after="0"/>
              <w:rPr>
                <w:sz w:val="11"/>
                <w:szCs w:val="11"/>
                <w:color w:val="auto"/>
              </w:rPr>
            </w:pPr>
          </w:p>
        </w:tc>
        <w:tc>
          <w:tcPr>
            <w:tcW w:w="74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200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1140" w:type="dxa"/>
            <w:vAlign w:val="bottom"/>
            <w:gridSpan w:val="2"/>
            <w:shd w:val="clear" w:color="auto" w:fill="CCECFF"/>
          </w:tcPr>
          <w:p>
            <w:pPr>
              <w:ind w:left="260"/>
              <w:spacing w:after="0"/>
              <w:rPr>
                <w:sz w:val="20"/>
                <w:szCs w:val="20"/>
                <w:color w:val="auto"/>
              </w:rPr>
            </w:pPr>
            <w:r>
              <w:rPr>
                <w:rFonts w:ascii="Times New Roman" w:cs="Times New Roman" w:eastAsia="Times New Roman" w:hAnsi="Times New Roman"/>
                <w:sz w:val="11"/>
                <w:szCs w:val="11"/>
                <w:color w:val="auto"/>
              </w:rPr>
              <w:t>(PIK 15.00%)</w:t>
            </w:r>
          </w:p>
        </w:tc>
        <w:tc>
          <w:tcPr>
            <w:tcW w:w="86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84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600" w:type="dxa"/>
            <w:vAlign w:val="bottom"/>
            <w:shd w:val="clear" w:color="auto" w:fill="CCECFF"/>
          </w:tcPr>
          <w:p>
            <w:pPr>
              <w:spacing w:after="0"/>
              <w:rPr>
                <w:sz w:val="11"/>
                <w:szCs w:val="11"/>
                <w:color w:val="auto"/>
              </w:rPr>
            </w:pPr>
          </w:p>
        </w:tc>
        <w:tc>
          <w:tcPr>
            <w:tcW w:w="20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7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00" w:type="dxa"/>
            <w:vAlign w:val="bottom"/>
            <w:vMerge w:val="continue"/>
          </w:tcPr>
          <w:p>
            <w:pPr>
              <w:spacing w:after="0"/>
              <w:rPr>
                <w:sz w:val="11"/>
                <w:szCs w:val="11"/>
                <w:color w:val="auto"/>
              </w:rPr>
            </w:pPr>
          </w:p>
        </w:tc>
        <w:tc>
          <w:tcPr>
            <w:tcW w:w="880" w:type="dxa"/>
            <w:vAlign w:val="bottom"/>
            <w:gridSpan w:val="2"/>
          </w:tcPr>
          <w:p>
            <w:pPr>
              <w:jc w:val="center"/>
              <w:ind w:left="106"/>
              <w:spacing w:after="0"/>
              <w:rPr>
                <w:sz w:val="20"/>
                <w:szCs w:val="20"/>
                <w:color w:val="auto"/>
              </w:rPr>
            </w:pPr>
            <w:r>
              <w:rPr>
                <w:rFonts w:ascii="Times New Roman" w:cs="Times New Roman" w:eastAsia="Times New Roman" w:hAnsi="Times New Roman"/>
                <w:sz w:val="11"/>
                <w:szCs w:val="11"/>
                <w:color w:val="auto"/>
                <w:w w:val="95"/>
              </w:rPr>
              <w:t>02/04/2027</w:t>
            </w:r>
          </w:p>
        </w:tc>
        <w:tc>
          <w:tcPr>
            <w:tcW w:w="160" w:type="dxa"/>
            <w:vAlign w:val="bottom"/>
          </w:tcPr>
          <w:p>
            <w:pPr>
              <w:spacing w:after="0"/>
              <w:rPr>
                <w:sz w:val="11"/>
                <w:szCs w:val="11"/>
                <w:color w:val="auto"/>
              </w:rPr>
            </w:pPr>
          </w:p>
        </w:tc>
        <w:tc>
          <w:tcPr>
            <w:tcW w:w="20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1260" w:type="dxa"/>
            <w:vAlign w:val="bottom"/>
            <w:gridSpan w:val="3"/>
          </w:tcPr>
          <w:p>
            <w:pPr>
              <w:jc w:val="right"/>
              <w:ind w:right="106"/>
              <w:spacing w:after="0"/>
              <w:rPr>
                <w:sz w:val="20"/>
                <w:szCs w:val="20"/>
                <w:color w:val="auto"/>
              </w:rPr>
            </w:pPr>
            <w:r>
              <w:rPr>
                <w:rFonts w:ascii="Times New Roman" w:cs="Times New Roman" w:eastAsia="Times New Roman" w:hAnsi="Times New Roman"/>
                <w:sz w:val="11"/>
                <w:szCs w:val="11"/>
                <w:color w:val="auto"/>
              </w:rPr>
              <w:t>12.68 %</w:t>
            </w: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L+1,000</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150</w:t>
            </w:r>
          </w:p>
        </w:tc>
        <w:tc>
          <w:tcPr>
            <w:tcW w:w="22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148</w:t>
            </w:r>
          </w:p>
        </w:tc>
        <w:tc>
          <w:tcPr>
            <w:tcW w:w="2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147</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90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1"/>
                <w:szCs w:val="11"/>
                <w:b w:val="1"/>
                <w:bCs w:val="1"/>
                <w:color w:val="auto"/>
              </w:rPr>
              <w:t>Total Second Lien Secured Debt</w:t>
            </w:r>
          </w:p>
        </w:tc>
        <w:tc>
          <w:tcPr>
            <w:tcW w:w="140" w:type="dxa"/>
            <w:vAlign w:val="bottom"/>
            <w:tcBorders>
              <w:bottom w:val="single" w:sz="8" w:color="CCECFF"/>
            </w:tcBorders>
            <w:shd w:val="clear" w:color="auto" w:fill="CCECFF"/>
          </w:tcPr>
          <w:p>
            <w:pPr>
              <w:spacing w:after="0"/>
              <w:rPr>
                <w:sz w:val="11"/>
                <w:szCs w:val="11"/>
                <w:color w:val="auto"/>
              </w:rPr>
            </w:pPr>
          </w:p>
        </w:tc>
        <w:tc>
          <w:tcPr>
            <w:tcW w:w="740" w:type="dxa"/>
            <w:vAlign w:val="bottom"/>
            <w:tcBorders>
              <w:bottom w:val="single" w:sz="8" w:color="CCECFF"/>
            </w:tcBorders>
            <w:shd w:val="clear" w:color="auto" w:fill="CCECFF"/>
          </w:tcPr>
          <w:p>
            <w:pPr>
              <w:spacing w:after="0"/>
              <w:rPr>
                <w:sz w:val="11"/>
                <w:szCs w:val="11"/>
                <w:color w:val="auto"/>
              </w:rPr>
            </w:pPr>
          </w:p>
        </w:tc>
        <w:tc>
          <w:tcPr>
            <w:tcW w:w="160" w:type="dxa"/>
            <w:vAlign w:val="bottom"/>
            <w:tcBorders>
              <w:bottom w:val="single" w:sz="8" w:color="CCECFF"/>
            </w:tcBorders>
            <w:shd w:val="clear" w:color="auto" w:fill="CCECFF"/>
          </w:tcPr>
          <w:p>
            <w:pPr>
              <w:spacing w:after="0"/>
              <w:rPr>
                <w:sz w:val="11"/>
                <w:szCs w:val="11"/>
                <w:color w:val="auto"/>
              </w:rPr>
            </w:pPr>
          </w:p>
        </w:tc>
        <w:tc>
          <w:tcPr>
            <w:tcW w:w="2000" w:type="dxa"/>
            <w:vAlign w:val="bottom"/>
            <w:tcBorders>
              <w:bottom w:val="single" w:sz="8" w:color="CCECFF"/>
            </w:tcBorders>
            <w:shd w:val="clear" w:color="auto" w:fill="CCECFF"/>
          </w:tcPr>
          <w:p>
            <w:pPr>
              <w:spacing w:after="0"/>
              <w:rPr>
                <w:sz w:val="11"/>
                <w:szCs w:val="11"/>
                <w:color w:val="auto"/>
              </w:rPr>
            </w:pPr>
          </w:p>
        </w:tc>
        <w:tc>
          <w:tcPr>
            <w:tcW w:w="120" w:type="dxa"/>
            <w:vAlign w:val="bottom"/>
            <w:tcBorders>
              <w:bottom w:val="single" w:sz="8" w:color="CCECFF"/>
            </w:tcBorders>
            <w:shd w:val="clear" w:color="auto" w:fill="CCECFF"/>
          </w:tcPr>
          <w:p>
            <w:pPr>
              <w:spacing w:after="0"/>
              <w:rPr>
                <w:sz w:val="11"/>
                <w:szCs w:val="11"/>
                <w:color w:val="auto"/>
              </w:rPr>
            </w:pPr>
          </w:p>
        </w:tc>
        <w:tc>
          <w:tcPr>
            <w:tcW w:w="880" w:type="dxa"/>
            <w:vAlign w:val="bottom"/>
            <w:tcBorders>
              <w:bottom w:val="single" w:sz="8" w:color="CCECFF"/>
            </w:tcBorders>
            <w:shd w:val="clear" w:color="auto" w:fill="CCECFF"/>
          </w:tcPr>
          <w:p>
            <w:pPr>
              <w:spacing w:after="0"/>
              <w:rPr>
                <w:sz w:val="11"/>
                <w:szCs w:val="11"/>
                <w:color w:val="auto"/>
              </w:rPr>
            </w:pPr>
          </w:p>
        </w:tc>
        <w:tc>
          <w:tcPr>
            <w:tcW w:w="260" w:type="dxa"/>
            <w:vAlign w:val="bottom"/>
            <w:tcBorders>
              <w:bottom w:val="single" w:sz="8" w:color="CCECFF"/>
            </w:tcBorders>
            <w:shd w:val="clear" w:color="auto" w:fill="CCECFF"/>
          </w:tcPr>
          <w:p>
            <w:pPr>
              <w:spacing w:after="0"/>
              <w:rPr>
                <w:sz w:val="11"/>
                <w:szCs w:val="11"/>
                <w:color w:val="auto"/>
              </w:rPr>
            </w:pPr>
          </w:p>
        </w:tc>
        <w:tc>
          <w:tcPr>
            <w:tcW w:w="860" w:type="dxa"/>
            <w:vAlign w:val="bottom"/>
            <w:tcBorders>
              <w:bottom w:val="single" w:sz="8" w:color="CCECFF"/>
            </w:tcBorders>
            <w:shd w:val="clear" w:color="auto" w:fill="CCECFF"/>
          </w:tcPr>
          <w:p>
            <w:pPr>
              <w:spacing w:after="0"/>
              <w:rPr>
                <w:sz w:val="11"/>
                <w:szCs w:val="11"/>
                <w:color w:val="auto"/>
              </w:rPr>
            </w:pPr>
          </w:p>
        </w:tc>
        <w:tc>
          <w:tcPr>
            <w:tcW w:w="240" w:type="dxa"/>
            <w:vAlign w:val="bottom"/>
            <w:tcBorders>
              <w:bottom w:val="single" w:sz="8" w:color="CCECFF"/>
            </w:tcBorders>
            <w:shd w:val="clear" w:color="auto" w:fill="CCECFF"/>
          </w:tcPr>
          <w:p>
            <w:pPr>
              <w:spacing w:after="0"/>
              <w:rPr>
                <w:sz w:val="11"/>
                <w:szCs w:val="11"/>
                <w:color w:val="auto"/>
              </w:rPr>
            </w:pPr>
          </w:p>
        </w:tc>
        <w:tc>
          <w:tcPr>
            <w:tcW w:w="840" w:type="dxa"/>
            <w:vAlign w:val="bottom"/>
            <w:tcBorders>
              <w:bottom w:val="single" w:sz="8" w:color="CCECFF"/>
            </w:tcBorders>
            <w:shd w:val="clear" w:color="auto" w:fill="CCECFF"/>
          </w:tcPr>
          <w:p>
            <w:pPr>
              <w:spacing w:after="0"/>
              <w:rPr>
                <w:sz w:val="11"/>
                <w:szCs w:val="11"/>
                <w:color w:val="auto"/>
              </w:rPr>
            </w:pPr>
          </w:p>
        </w:tc>
        <w:tc>
          <w:tcPr>
            <w:tcW w:w="220" w:type="dxa"/>
            <w:vAlign w:val="bottom"/>
            <w:tcBorders>
              <w:bottom w:val="single" w:sz="8" w:color="CCECFF"/>
            </w:tcBorders>
            <w:shd w:val="clear" w:color="auto" w:fill="CCECFF"/>
          </w:tcPr>
          <w:p>
            <w:pPr>
              <w:spacing w:after="0"/>
              <w:rPr>
                <w:sz w:val="11"/>
                <w:szCs w:val="11"/>
                <w:color w:val="auto"/>
              </w:rPr>
            </w:pPr>
          </w:p>
        </w:tc>
        <w:tc>
          <w:tcPr>
            <w:tcW w:w="180" w:type="dxa"/>
            <w:vAlign w:val="bottom"/>
            <w:tcBorders>
              <w:bottom w:val="single" w:sz="8" w:color="auto"/>
            </w:tcBorders>
            <w:shd w:val="clear" w:color="auto" w:fill="CCECFF"/>
          </w:tcPr>
          <w:p>
            <w:pPr>
              <w:spacing w:after="0"/>
              <w:rPr>
                <w:sz w:val="11"/>
                <w:szCs w:val="11"/>
                <w:color w:val="auto"/>
              </w:rPr>
            </w:pPr>
          </w:p>
        </w:tc>
        <w:tc>
          <w:tcPr>
            <w:tcW w:w="6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1,113</w:t>
            </w:r>
          </w:p>
        </w:tc>
        <w:tc>
          <w:tcPr>
            <w:tcW w:w="200" w:type="dxa"/>
            <w:vAlign w:val="bottom"/>
            <w:tcBorders>
              <w:bottom w:val="single" w:sz="8" w:color="CCECFF"/>
            </w:tcBorders>
            <w:shd w:val="clear" w:color="auto" w:fill="CCECFF"/>
          </w:tcPr>
          <w:p>
            <w:pPr>
              <w:spacing w:after="0"/>
              <w:rPr>
                <w:sz w:val="11"/>
                <w:szCs w:val="11"/>
                <w:color w:val="auto"/>
              </w:rPr>
            </w:pPr>
          </w:p>
        </w:tc>
        <w:tc>
          <w:tcPr>
            <w:tcW w:w="80" w:type="dxa"/>
            <w:vAlign w:val="bottom"/>
            <w:tcBorders>
              <w:bottom w:val="single" w:sz="8" w:color="auto"/>
            </w:tcBorders>
            <w:shd w:val="clear" w:color="auto" w:fill="CCECFF"/>
          </w:tcPr>
          <w:p>
            <w:pPr>
              <w:spacing w:after="0"/>
              <w:rPr>
                <w:sz w:val="11"/>
                <w:szCs w:val="11"/>
                <w:color w:val="auto"/>
              </w:rPr>
            </w:pPr>
          </w:p>
        </w:tc>
        <w:tc>
          <w:tcPr>
            <w:tcW w:w="72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147</w:t>
            </w:r>
          </w:p>
        </w:tc>
        <w:tc>
          <w:tcPr>
            <w:tcW w:w="100" w:type="dxa"/>
            <w:vAlign w:val="bottom"/>
            <w:tcBorders>
              <w:bottom w:val="single" w:sz="8" w:color="CCECFF"/>
            </w:tcBorders>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527"/>
        </w:trPr>
        <w:tc>
          <w:tcPr>
            <w:tcW w:w="29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0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-7585710</wp:posOffset>
            </wp:positionV>
            <wp:extent cx="7132320" cy="8572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-7414260</wp:posOffset>
            </wp:positionV>
            <wp:extent cx="7132320" cy="16256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-7088505</wp:posOffset>
            </wp:positionV>
            <wp:extent cx="7132320" cy="16319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-6840220</wp:posOffset>
            </wp:positionV>
            <wp:extent cx="7132320" cy="8572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-6668770</wp:posOffset>
            </wp:positionV>
            <wp:extent cx="7132320" cy="8572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-6497320</wp:posOffset>
            </wp:positionV>
            <wp:extent cx="7132320" cy="8572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-6154420</wp:posOffset>
            </wp:positionV>
            <wp:extent cx="7132320" cy="8572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-5982970</wp:posOffset>
            </wp:positionV>
            <wp:extent cx="7132320" cy="8572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-5485765</wp:posOffset>
            </wp:positionV>
            <wp:extent cx="7132320" cy="16319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-5236845</wp:posOffset>
            </wp:positionV>
            <wp:extent cx="7132320" cy="8572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-4893945</wp:posOffset>
            </wp:positionV>
            <wp:extent cx="7132320" cy="8572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-4722495</wp:posOffset>
            </wp:positionV>
            <wp:extent cx="7132320" cy="8572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-4551045</wp:posOffset>
            </wp:positionV>
            <wp:extent cx="7132320" cy="8572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-4379595</wp:posOffset>
            </wp:positionV>
            <wp:extent cx="7132320" cy="8572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-4208145</wp:posOffset>
            </wp:positionV>
            <wp:extent cx="7132320" cy="8572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-4036695</wp:posOffset>
            </wp:positionV>
            <wp:extent cx="7132320" cy="8572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-3865245</wp:posOffset>
            </wp:positionV>
            <wp:extent cx="7132320" cy="8572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-3025140</wp:posOffset>
            </wp:positionV>
            <wp:extent cx="7132320" cy="8572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-2853690</wp:posOffset>
            </wp:positionV>
            <wp:extent cx="7132320" cy="8572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-2682240</wp:posOffset>
            </wp:positionV>
            <wp:extent cx="7132320" cy="8572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-2510790</wp:posOffset>
            </wp:positionV>
            <wp:extent cx="7132320" cy="8572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-2339340</wp:posOffset>
            </wp:positionV>
            <wp:extent cx="7132320" cy="8572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-2167890</wp:posOffset>
            </wp:positionV>
            <wp:extent cx="7132320" cy="8572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-1996440</wp:posOffset>
            </wp:positionV>
            <wp:extent cx="7132320" cy="8572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-1824990</wp:posOffset>
            </wp:positionV>
            <wp:extent cx="7132320" cy="8572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-1653540</wp:posOffset>
            </wp:positionV>
            <wp:extent cx="7132320" cy="8572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-1482090</wp:posOffset>
            </wp:positionV>
            <wp:extent cx="7132320" cy="17145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-1148080</wp:posOffset>
            </wp:positionV>
            <wp:extent cx="7132320" cy="16256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-805180</wp:posOffset>
            </wp:positionV>
            <wp:extent cx="7132320" cy="26606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32320" cy="266065"/>
                    </a:xfrm>
                    <a:prstGeom prst="rect">
                      <a:avLst/>
                    </a:prstGeom>
                    <a:noFill/>
                  </pic:spPr>
                </pic:pic>
              </a:graphicData>
            </a:graphic>
          </wp:anchor>
        </w:drawing>
        <w:drawing>
          <wp:anchor simplePos="0" relativeHeight="251657728" behindDoc="1" locked="0" layoutInCell="0" allowOverlap="1">
            <wp:simplePos x="0" y="0"/>
            <wp:positionH relativeFrom="column">
              <wp:posOffset>6434455</wp:posOffset>
            </wp:positionH>
            <wp:positionV relativeFrom="paragraph">
              <wp:posOffset>-359410</wp:posOffset>
            </wp:positionV>
            <wp:extent cx="6858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-359410</wp:posOffset>
            </wp:positionV>
            <wp:extent cx="6858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4"/>
          <w:szCs w:val="14"/>
          <w:b w:val="1"/>
          <w:bCs w:val="1"/>
          <w:color w:val="auto"/>
        </w:rPr>
        <w:t>PENNANTPARK FLOATING RATE CAPITAL LTD. AND SUBSIDIARIES</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CONSOLIDATED SCHEDULE OF INVESTMENTS—(Continued)</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SEPTEMBER 30, 2022</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(in thousands, except share data)</w:t>
      </w:r>
    </w:p>
    <w:tbl>
      <w:tblPr>
        <w:tblLayout w:type="fixed"/>
        <w:tblInd w:w="0" w:type="dxa"/>
        <w:tblCellMar>
          <w:top w:w="0" w:type="dxa"/>
          <w:left w:w="0" w:type="dxa"/>
          <w:bottom w:w="0" w:type="dxa"/>
          <w:right w:w="0" w:type="dxa"/>
        </w:tblCellMar>
      </w:tblPr>
      <w:tr>
        <w:trPr>
          <w:trHeight w:val="102"/>
        </w:trPr>
        <w:tc>
          <w:tcPr>
            <w:tcW w:w="2860" w:type="dxa"/>
            <w:vAlign w:val="bottom"/>
          </w:tcPr>
          <w:p>
            <w:pPr>
              <w:spacing w:after="0"/>
              <w:rPr>
                <w:sz w:val="8"/>
                <w:szCs w:val="8"/>
                <w:color w:val="auto"/>
              </w:rPr>
            </w:pPr>
          </w:p>
        </w:tc>
        <w:tc>
          <w:tcPr>
            <w:tcW w:w="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6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Pr>
          <w:p>
            <w:pPr>
              <w:jc w:val="center"/>
              <w:spacing w:after="0" w:line="102" w:lineRule="exact"/>
              <w:rPr>
                <w:sz w:val="20"/>
                <w:szCs w:val="20"/>
                <w:color w:val="auto"/>
              </w:rPr>
            </w:pPr>
            <w:r>
              <w:rPr>
                <w:rFonts w:ascii="Times New Roman" w:cs="Times New Roman" w:eastAsia="Times New Roman" w:hAnsi="Times New Roman"/>
                <w:sz w:val="11"/>
                <w:szCs w:val="11"/>
                <w:b w:val="1"/>
                <w:bCs w:val="1"/>
                <w:color w:val="auto"/>
                <w:w w:val="99"/>
              </w:rPr>
              <w:t>Basis Point</w:t>
            </w: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9"/>
        </w:trPr>
        <w:tc>
          <w:tcPr>
            <w:tcW w:w="28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20" w:type="dxa"/>
            <w:vAlign w:val="bottom"/>
          </w:tcPr>
          <w:p>
            <w:pPr>
              <w:jc w:val="center"/>
              <w:spacing w:after="0" w:line="120" w:lineRule="exact"/>
              <w:rPr>
                <w:sz w:val="20"/>
                <w:szCs w:val="20"/>
                <w:color w:val="auto"/>
              </w:rPr>
            </w:pPr>
            <w:r>
              <w:rPr>
                <w:rFonts w:ascii="Times New Roman" w:cs="Times New Roman" w:eastAsia="Times New Roman" w:hAnsi="Times New Roman"/>
                <w:sz w:val="11"/>
                <w:szCs w:val="11"/>
                <w:b w:val="1"/>
                <w:bCs w:val="1"/>
                <w:color w:val="auto"/>
                <w:w w:val="95"/>
              </w:rPr>
              <w:t>Spread</w:t>
            </w:r>
          </w:p>
        </w:tc>
        <w:tc>
          <w:tcPr>
            <w:tcW w:w="2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0"/>
        </w:trPr>
        <w:tc>
          <w:tcPr>
            <w:tcW w:w="2860" w:type="dxa"/>
            <w:vAlign w:val="bottom"/>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80" w:type="dxa"/>
            <w:vAlign w:val="bottom"/>
            <w:gridSpan w:val="2"/>
          </w:tcPr>
          <w:p>
            <w:pPr>
              <w:jc w:val="right"/>
              <w:ind w:right="460"/>
              <w:spacing w:after="0" w:line="111" w:lineRule="exact"/>
              <w:rPr>
                <w:sz w:val="20"/>
                <w:szCs w:val="20"/>
                <w:color w:val="auto"/>
              </w:rPr>
            </w:pPr>
            <w:r>
              <w:rPr>
                <w:rFonts w:ascii="Times New Roman" w:cs="Times New Roman" w:eastAsia="Times New Roman" w:hAnsi="Times New Roman"/>
                <w:sz w:val="11"/>
                <w:szCs w:val="11"/>
                <w:b w:val="1"/>
                <w:bCs w:val="1"/>
                <w:color w:val="auto"/>
              </w:rPr>
              <w:t>Current</w:t>
            </w:r>
          </w:p>
        </w:tc>
        <w:tc>
          <w:tcPr>
            <w:tcW w:w="820" w:type="dxa"/>
            <w:vAlign w:val="bottom"/>
          </w:tcPr>
          <w:p>
            <w:pPr>
              <w:jc w:val="center"/>
              <w:spacing w:after="0" w:line="111" w:lineRule="exact"/>
              <w:rPr>
                <w:sz w:val="20"/>
                <w:szCs w:val="20"/>
                <w:color w:val="auto"/>
              </w:rPr>
            </w:pPr>
            <w:r>
              <w:rPr>
                <w:rFonts w:ascii="Times New Roman" w:cs="Times New Roman" w:eastAsia="Times New Roman" w:hAnsi="Times New Roman"/>
                <w:sz w:val="11"/>
                <w:szCs w:val="11"/>
                <w:b w:val="1"/>
                <w:bCs w:val="1"/>
                <w:color w:val="auto"/>
              </w:rPr>
              <w:t>Above</w:t>
            </w:r>
          </w:p>
        </w:tc>
        <w:tc>
          <w:tcPr>
            <w:tcW w:w="200" w:type="dxa"/>
            <w:vAlign w:val="bottom"/>
          </w:tcPr>
          <w:p>
            <w:pPr>
              <w:spacing w:after="0"/>
              <w:rPr>
                <w:sz w:val="9"/>
                <w:szCs w:val="9"/>
                <w:color w:val="auto"/>
              </w:rPr>
            </w:pPr>
          </w:p>
        </w:tc>
        <w:tc>
          <w:tcPr>
            <w:tcW w:w="860" w:type="dxa"/>
            <w:vAlign w:val="bottom"/>
          </w:tcPr>
          <w:p>
            <w:pPr>
              <w:jc w:val="right"/>
              <w:ind w:right="266"/>
              <w:spacing w:after="0" w:line="111" w:lineRule="exact"/>
              <w:rPr>
                <w:sz w:val="20"/>
                <w:szCs w:val="20"/>
                <w:color w:val="auto"/>
              </w:rPr>
            </w:pPr>
            <w:r>
              <w:rPr>
                <w:rFonts w:ascii="Times New Roman" w:cs="Times New Roman" w:eastAsia="Times New Roman" w:hAnsi="Times New Roman"/>
                <w:sz w:val="11"/>
                <w:szCs w:val="11"/>
                <w:b w:val="1"/>
                <w:bCs w:val="1"/>
                <w:color w:val="auto"/>
              </w:rPr>
              <w:t>Par /</w:t>
            </w: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1"/>
                <w:szCs w:val="11"/>
                <w:b w:val="1"/>
                <w:bCs w:val="1"/>
                <w:color w:val="auto"/>
                <w:w w:val="93"/>
              </w:rPr>
              <w:t xml:space="preserve">Fair Value </w:t>
            </w:r>
            <w:r>
              <w:rPr>
                <w:rFonts w:ascii="Times New Roman" w:cs="Times New Roman" w:eastAsia="Times New Roman" w:hAnsi="Times New Roman"/>
                <w:sz w:val="14"/>
                <w:szCs w:val="14"/>
                <w:b w:val="1"/>
                <w:bCs w:val="1"/>
                <w:color w:val="auto"/>
                <w:w w:val="93"/>
                <w:vertAlign w:val="superscript"/>
              </w:rPr>
              <w:t>(2)</w:t>
            </w:r>
          </w:p>
        </w:tc>
        <w:tc>
          <w:tcPr>
            <w:tcW w:w="0" w:type="dxa"/>
            <w:vAlign w:val="bottom"/>
          </w:tcPr>
          <w:p>
            <w:pPr>
              <w:spacing w:after="0"/>
              <w:rPr>
                <w:sz w:val="1"/>
                <w:szCs w:val="1"/>
                <w:color w:val="auto"/>
              </w:rPr>
            </w:pPr>
          </w:p>
        </w:tc>
      </w:tr>
      <w:tr>
        <w:trPr>
          <w:trHeight w:val="156"/>
        </w:trPr>
        <w:tc>
          <w:tcPr>
            <w:tcW w:w="286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Issuer Name</w:t>
            </w:r>
          </w:p>
        </w:tc>
        <w:tc>
          <w:tcPr>
            <w:tcW w:w="140" w:type="dxa"/>
            <w:vAlign w:val="bottom"/>
          </w:tcPr>
          <w:p>
            <w:pPr>
              <w:spacing w:after="0"/>
              <w:rPr>
                <w:sz w:val="13"/>
                <w:szCs w:val="13"/>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Maturity</w:t>
            </w:r>
          </w:p>
        </w:tc>
        <w:tc>
          <w:tcPr>
            <w:tcW w:w="260" w:type="dxa"/>
            <w:vAlign w:val="bottom"/>
          </w:tcPr>
          <w:p>
            <w:pPr>
              <w:spacing w:after="0"/>
              <w:rPr>
                <w:sz w:val="13"/>
                <w:szCs w:val="13"/>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Industry</w:t>
            </w:r>
          </w:p>
        </w:tc>
        <w:tc>
          <w:tcPr>
            <w:tcW w:w="140" w:type="dxa"/>
            <w:vAlign w:val="bottom"/>
          </w:tcPr>
          <w:p>
            <w:pPr>
              <w:spacing w:after="0"/>
              <w:rPr>
                <w:sz w:val="13"/>
                <w:szCs w:val="13"/>
                <w:color w:val="auto"/>
              </w:rPr>
            </w:pPr>
          </w:p>
        </w:tc>
        <w:tc>
          <w:tcPr>
            <w:tcW w:w="1080" w:type="dxa"/>
            <w:vAlign w:val="bottom"/>
            <w:gridSpan w:val="2"/>
          </w:tcPr>
          <w:p>
            <w:pPr>
              <w:jc w:val="right"/>
              <w:ind w:right="460"/>
              <w:spacing w:after="0"/>
              <w:rPr>
                <w:sz w:val="20"/>
                <w:szCs w:val="20"/>
                <w:color w:val="auto"/>
              </w:rPr>
            </w:pPr>
            <w:r>
              <w:rPr>
                <w:rFonts w:ascii="Times New Roman" w:cs="Times New Roman" w:eastAsia="Times New Roman" w:hAnsi="Times New Roman"/>
                <w:sz w:val="11"/>
                <w:szCs w:val="11"/>
                <w:b w:val="1"/>
                <w:bCs w:val="1"/>
                <w:color w:val="auto"/>
              </w:rPr>
              <w:t>Coupon</w:t>
            </w:r>
          </w:p>
        </w:tc>
        <w:tc>
          <w:tcPr>
            <w:tcW w:w="820" w:type="dxa"/>
            <w:vAlign w:val="bottom"/>
          </w:tcPr>
          <w:p>
            <w:pPr>
              <w:jc w:val="center"/>
              <w:spacing w:after="0" w:line="143" w:lineRule="exact"/>
              <w:rPr>
                <w:sz w:val="20"/>
                <w:szCs w:val="20"/>
                <w:color w:val="auto"/>
              </w:rPr>
            </w:pPr>
            <w:r>
              <w:rPr>
                <w:rFonts w:ascii="Times New Roman" w:cs="Times New Roman" w:eastAsia="Times New Roman" w:hAnsi="Times New Roman"/>
                <w:sz w:val="11"/>
                <w:szCs w:val="11"/>
                <w:b w:val="1"/>
                <w:bCs w:val="1"/>
                <w:color w:val="auto"/>
                <w:w w:val="93"/>
              </w:rPr>
              <w:t xml:space="preserve">Index </w:t>
            </w:r>
            <w:r>
              <w:rPr>
                <w:rFonts w:ascii="Times New Roman" w:cs="Times New Roman" w:eastAsia="Times New Roman" w:hAnsi="Times New Roman"/>
                <w:sz w:val="14"/>
                <w:szCs w:val="14"/>
                <w:b w:val="1"/>
                <w:bCs w:val="1"/>
                <w:color w:val="auto"/>
                <w:w w:val="93"/>
                <w:vertAlign w:val="superscript"/>
              </w:rPr>
              <w:t>(1)</w:t>
            </w:r>
          </w:p>
        </w:tc>
        <w:tc>
          <w:tcPr>
            <w:tcW w:w="200" w:type="dxa"/>
            <w:vAlign w:val="bottom"/>
          </w:tcPr>
          <w:p>
            <w:pPr>
              <w:spacing w:after="0"/>
              <w:rPr>
                <w:sz w:val="13"/>
                <w:szCs w:val="13"/>
                <w:color w:val="auto"/>
              </w:rPr>
            </w:pPr>
          </w:p>
        </w:tc>
        <w:tc>
          <w:tcPr>
            <w:tcW w:w="860" w:type="dxa"/>
            <w:vAlign w:val="bottom"/>
          </w:tcPr>
          <w:p>
            <w:pPr>
              <w:jc w:val="right"/>
              <w:ind w:right="206"/>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jc w:val="right"/>
              <w:ind w:right="226"/>
              <w:spacing w:after="0"/>
              <w:rPr>
                <w:sz w:val="20"/>
                <w:szCs w:val="20"/>
                <w:color w:val="auto"/>
              </w:rPr>
            </w:pPr>
            <w:r>
              <w:rPr>
                <w:rFonts w:ascii="Times New Roman" w:cs="Times New Roman" w:eastAsia="Times New Roman" w:hAnsi="Times New Roman"/>
                <w:sz w:val="11"/>
                <w:szCs w:val="11"/>
                <w:b w:val="1"/>
                <w:bCs w:val="1"/>
                <w:color w:val="auto"/>
              </w:rPr>
              <w:t>Cost</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03"/>
        </w:trPr>
        <w:tc>
          <w:tcPr>
            <w:tcW w:w="2860" w:type="dxa"/>
            <w:vAlign w:val="bottom"/>
          </w:tcPr>
          <w:p>
            <w:pPr>
              <w:ind w:left="20"/>
              <w:spacing w:after="0" w:line="103" w:lineRule="exact"/>
              <w:rPr>
                <w:sz w:val="20"/>
                <w:szCs w:val="20"/>
                <w:color w:val="auto"/>
              </w:rPr>
            </w:pPr>
            <w:r>
              <w:rPr>
                <w:rFonts w:ascii="Times New Roman" w:cs="Times New Roman" w:eastAsia="Times New Roman" w:hAnsi="Times New Roman"/>
                <w:sz w:val="9"/>
                <w:szCs w:val="9"/>
                <w:b w:val="1"/>
                <w:bCs w:val="1"/>
                <w:color w:val="auto"/>
              </w:rPr>
              <w:t xml:space="preserve">Preferred Equity— 1.6% </w:t>
            </w:r>
            <w:r>
              <w:rPr>
                <w:rFonts w:ascii="Times New Roman" w:cs="Times New Roman" w:eastAsia="Times New Roman" w:hAnsi="Times New Roman"/>
                <w:sz w:val="11"/>
                <w:szCs w:val="11"/>
                <w:b w:val="1"/>
                <w:bCs w:val="1"/>
                <w:color w:val="auto"/>
                <w:vertAlign w:val="superscript"/>
              </w:rPr>
              <w:t>(6)</w:t>
            </w:r>
          </w:p>
        </w:tc>
        <w:tc>
          <w:tcPr>
            <w:tcW w:w="140" w:type="dxa"/>
            <w:vAlign w:val="bottom"/>
          </w:tcPr>
          <w:p>
            <w:pPr>
              <w:spacing w:after="0"/>
              <w:rPr>
                <w:sz w:val="8"/>
                <w:szCs w:val="8"/>
                <w:color w:val="auto"/>
              </w:rPr>
            </w:pPr>
          </w:p>
        </w:tc>
        <w:tc>
          <w:tcPr>
            <w:tcW w:w="740" w:type="dxa"/>
            <w:vAlign w:val="bottom"/>
            <w:tcBorders>
              <w:top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2020" w:type="dxa"/>
            <w:vAlign w:val="bottom"/>
            <w:tcBorders>
              <w:top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860" w:type="dxa"/>
            <w:vAlign w:val="bottom"/>
            <w:tcBorders>
              <w:top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Borders>
              <w:top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Borders>
              <w:top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Borders>
              <w:top w:val="single" w:sz="8" w:color="auto"/>
            </w:tcBorders>
          </w:tcPr>
          <w:p>
            <w:pPr>
              <w:spacing w:after="0"/>
              <w:rPr>
                <w:sz w:val="8"/>
                <w:szCs w:val="8"/>
                <w:color w:val="auto"/>
              </w:rPr>
            </w:pPr>
          </w:p>
        </w:tc>
        <w:tc>
          <w:tcPr>
            <w:tcW w:w="600" w:type="dxa"/>
            <w:vAlign w:val="bottom"/>
            <w:tcBorders>
              <w:top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72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3"/>
        </w:trPr>
        <w:tc>
          <w:tcPr>
            <w:tcW w:w="2860" w:type="dxa"/>
            <w:vAlign w:val="bottom"/>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Ad.net Holdings, Inc. </w:t>
            </w:r>
            <w:r>
              <w:rPr>
                <w:rFonts w:ascii="Times New Roman" w:cs="Times New Roman" w:eastAsia="Times New Roman" w:hAnsi="Times New Roman"/>
                <w:sz w:val="14"/>
                <w:szCs w:val="14"/>
                <w:color w:val="auto"/>
                <w:vertAlign w:val="superscript"/>
              </w:rPr>
              <w:t>(7),(8)</w:t>
            </w:r>
          </w:p>
        </w:tc>
        <w:tc>
          <w:tcPr>
            <w:tcW w:w="140" w:type="dxa"/>
            <w:vAlign w:val="bottom"/>
          </w:tcPr>
          <w:p>
            <w:pPr>
              <w:spacing w:after="0"/>
              <w:rPr>
                <w:sz w:val="13"/>
                <w:szCs w:val="13"/>
                <w:color w:val="auto"/>
              </w:rPr>
            </w:pPr>
          </w:p>
        </w:tc>
        <w:tc>
          <w:tcPr>
            <w:tcW w:w="740" w:type="dxa"/>
            <w:vAlign w:val="bottom"/>
          </w:tcPr>
          <w:p>
            <w:pPr>
              <w:ind w:left="620"/>
              <w:spacing w:after="0"/>
              <w:rPr>
                <w:sz w:val="20"/>
                <w:szCs w:val="20"/>
                <w:color w:val="auto"/>
              </w:rPr>
            </w:pPr>
            <w:r>
              <w:rPr>
                <w:rFonts w:ascii="Times New Roman" w:cs="Times New Roman" w:eastAsia="Times New Roman" w:hAnsi="Times New Roman"/>
                <w:sz w:val="11"/>
                <w:szCs w:val="11"/>
                <w:color w:val="auto"/>
                <w:w w:val="90"/>
              </w:rPr>
              <w:t>—</w:t>
            </w:r>
          </w:p>
        </w:tc>
        <w:tc>
          <w:tcPr>
            <w:tcW w:w="260" w:type="dxa"/>
            <w:vAlign w:val="bottom"/>
          </w:tcPr>
          <w:p>
            <w:pPr>
              <w:spacing w:after="0"/>
              <w:rPr>
                <w:sz w:val="13"/>
                <w:szCs w:val="13"/>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Media</w:t>
            </w:r>
          </w:p>
        </w:tc>
        <w:tc>
          <w:tcPr>
            <w:tcW w:w="140" w:type="dxa"/>
            <w:vAlign w:val="bottom"/>
          </w:tcPr>
          <w:p>
            <w:pPr>
              <w:spacing w:after="0"/>
              <w:rPr>
                <w:sz w:val="13"/>
                <w:szCs w:val="13"/>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tcPr>
          <w:p>
            <w:pPr>
              <w:ind w:left="700"/>
              <w:spacing w:after="0"/>
              <w:rPr>
                <w:sz w:val="20"/>
                <w:szCs w:val="20"/>
                <w:color w:val="auto"/>
              </w:rPr>
            </w:pPr>
            <w:r>
              <w:rPr>
                <w:rFonts w:ascii="Times New Roman" w:cs="Times New Roman" w:eastAsia="Times New Roman" w:hAnsi="Times New Roman"/>
                <w:sz w:val="11"/>
                <w:szCs w:val="11"/>
                <w:color w:val="auto"/>
                <w:w w:val="90"/>
              </w:rPr>
              <w:t>—</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6,720</w:t>
            </w:r>
          </w:p>
        </w:tc>
        <w:tc>
          <w:tcPr>
            <w:tcW w:w="4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672</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747</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2860" w:type="dxa"/>
            <w:vAlign w:val="bottom"/>
          </w:tcPr>
          <w:p>
            <w:pPr>
              <w:ind w:left="20"/>
              <w:spacing w:after="0" w:line="117" w:lineRule="exact"/>
              <w:rPr>
                <w:sz w:val="20"/>
                <w:szCs w:val="20"/>
                <w:color w:val="auto"/>
              </w:rPr>
            </w:pPr>
            <w:r>
              <w:rPr>
                <w:rFonts w:ascii="Times New Roman" w:cs="Times New Roman" w:eastAsia="Times New Roman" w:hAnsi="Times New Roman"/>
                <w:sz w:val="11"/>
                <w:szCs w:val="11"/>
                <w:color w:val="auto"/>
              </w:rPr>
              <w:t>Imagine Topco, LP</w:t>
            </w:r>
          </w:p>
        </w:tc>
        <w:tc>
          <w:tcPr>
            <w:tcW w:w="140" w:type="dxa"/>
            <w:vAlign w:val="bottom"/>
          </w:tcPr>
          <w:p>
            <w:pPr>
              <w:spacing w:after="0"/>
              <w:rPr>
                <w:sz w:val="10"/>
                <w:szCs w:val="10"/>
                <w:color w:val="auto"/>
              </w:rPr>
            </w:pPr>
          </w:p>
        </w:tc>
        <w:tc>
          <w:tcPr>
            <w:tcW w:w="740" w:type="dxa"/>
            <w:vAlign w:val="bottom"/>
          </w:tcPr>
          <w:p>
            <w:pPr>
              <w:ind w:left="620"/>
              <w:spacing w:after="0" w:line="117" w:lineRule="exact"/>
              <w:rPr>
                <w:sz w:val="20"/>
                <w:szCs w:val="20"/>
                <w:color w:val="auto"/>
              </w:rPr>
            </w:pPr>
            <w:r>
              <w:rPr>
                <w:rFonts w:ascii="Times New Roman" w:cs="Times New Roman" w:eastAsia="Times New Roman" w:hAnsi="Times New Roman"/>
                <w:sz w:val="11"/>
                <w:szCs w:val="11"/>
                <w:color w:val="auto"/>
                <w:w w:val="90"/>
              </w:rPr>
              <w:t>—</w:t>
            </w:r>
          </w:p>
        </w:tc>
        <w:tc>
          <w:tcPr>
            <w:tcW w:w="260" w:type="dxa"/>
            <w:vAlign w:val="bottom"/>
          </w:tcPr>
          <w:p>
            <w:pPr>
              <w:spacing w:after="0"/>
              <w:rPr>
                <w:sz w:val="10"/>
                <w:szCs w:val="10"/>
                <w:color w:val="auto"/>
              </w:rPr>
            </w:pPr>
          </w:p>
        </w:tc>
        <w:tc>
          <w:tcPr>
            <w:tcW w:w="202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color w:val="auto"/>
              </w:rPr>
              <w:t>Software</w:t>
            </w:r>
          </w:p>
        </w:tc>
        <w:tc>
          <w:tcPr>
            <w:tcW w:w="1220" w:type="dxa"/>
            <w:vAlign w:val="bottom"/>
            <w:gridSpan w:val="3"/>
          </w:tcPr>
          <w:p>
            <w:pPr>
              <w:jc w:val="right"/>
              <w:ind w:right="120"/>
              <w:spacing w:after="0" w:line="117" w:lineRule="exact"/>
              <w:rPr>
                <w:sz w:val="20"/>
                <w:szCs w:val="20"/>
                <w:color w:val="auto"/>
              </w:rPr>
            </w:pPr>
            <w:r>
              <w:rPr>
                <w:rFonts w:ascii="Times New Roman" w:cs="Times New Roman" w:eastAsia="Times New Roman" w:hAnsi="Times New Roman"/>
                <w:sz w:val="11"/>
                <w:szCs w:val="11"/>
                <w:color w:val="auto"/>
              </w:rPr>
              <w:t>8.00 %</w:t>
            </w:r>
          </w:p>
        </w:tc>
        <w:tc>
          <w:tcPr>
            <w:tcW w:w="820" w:type="dxa"/>
            <w:vAlign w:val="bottom"/>
          </w:tcPr>
          <w:p>
            <w:pPr>
              <w:ind w:left="700"/>
              <w:spacing w:after="0" w:line="117" w:lineRule="exact"/>
              <w:rPr>
                <w:sz w:val="20"/>
                <w:szCs w:val="20"/>
                <w:color w:val="auto"/>
              </w:rPr>
            </w:pPr>
            <w:r>
              <w:rPr>
                <w:rFonts w:ascii="Times New Roman" w:cs="Times New Roman" w:eastAsia="Times New Roman" w:hAnsi="Times New Roman"/>
                <w:sz w:val="11"/>
                <w:szCs w:val="11"/>
                <w:color w:val="auto"/>
                <w:w w:val="90"/>
              </w:rPr>
              <w:t>—</w:t>
            </w:r>
          </w:p>
        </w:tc>
        <w:tc>
          <w:tcPr>
            <w:tcW w:w="106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1"/>
                <w:szCs w:val="11"/>
                <w:color w:val="auto"/>
              </w:rPr>
              <w:t>1,236,027</w:t>
            </w: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1,236</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1,170</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86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Mars Intermediate Holdings II, Inc. </w:t>
            </w:r>
            <w:r>
              <w:rPr>
                <w:rFonts w:ascii="Times New Roman" w:cs="Times New Roman" w:eastAsia="Times New Roman" w:hAnsi="Times New Roman"/>
                <w:sz w:val="14"/>
                <w:szCs w:val="14"/>
                <w:color w:val="auto"/>
                <w:vertAlign w:val="superscript"/>
              </w:rPr>
              <w:t>(7)</w:t>
            </w:r>
          </w:p>
        </w:tc>
        <w:tc>
          <w:tcPr>
            <w:tcW w:w="140" w:type="dxa"/>
            <w:vAlign w:val="bottom"/>
          </w:tcPr>
          <w:p>
            <w:pPr>
              <w:spacing w:after="0"/>
              <w:rPr>
                <w:sz w:val="11"/>
                <w:szCs w:val="11"/>
                <w:color w:val="auto"/>
              </w:rPr>
            </w:pPr>
          </w:p>
        </w:tc>
        <w:tc>
          <w:tcPr>
            <w:tcW w:w="740" w:type="dxa"/>
            <w:vAlign w:val="bottom"/>
          </w:tcPr>
          <w:p>
            <w:pPr>
              <w:ind w:left="620"/>
              <w:spacing w:after="0"/>
              <w:rPr>
                <w:sz w:val="20"/>
                <w:szCs w:val="20"/>
                <w:color w:val="auto"/>
              </w:rPr>
            </w:pPr>
            <w:r>
              <w:rPr>
                <w:rFonts w:ascii="Times New Roman" w:cs="Times New Roman" w:eastAsia="Times New Roman" w:hAnsi="Times New Roman"/>
                <w:sz w:val="11"/>
                <w:szCs w:val="11"/>
                <w:color w:val="auto"/>
                <w:w w:val="90"/>
              </w:rPr>
              <w:t>—</w:t>
            </w:r>
          </w:p>
        </w:tc>
        <w:tc>
          <w:tcPr>
            <w:tcW w:w="260" w:type="dxa"/>
            <w:vAlign w:val="bottom"/>
          </w:tcPr>
          <w:p>
            <w:pPr>
              <w:spacing w:after="0"/>
              <w:rPr>
                <w:sz w:val="11"/>
                <w:szCs w:val="11"/>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Media</w:t>
            </w:r>
          </w:p>
        </w:tc>
        <w:tc>
          <w:tcPr>
            <w:tcW w:w="140" w:type="dxa"/>
            <w:vAlign w:val="bottom"/>
          </w:tcPr>
          <w:p>
            <w:pPr>
              <w:spacing w:after="0"/>
              <w:rPr>
                <w:sz w:val="11"/>
                <w:szCs w:val="11"/>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tcPr>
          <w:p>
            <w:pPr>
              <w:ind w:left="700"/>
              <w:spacing w:after="0"/>
              <w:rPr>
                <w:sz w:val="20"/>
                <w:szCs w:val="20"/>
                <w:color w:val="auto"/>
              </w:rPr>
            </w:pPr>
            <w:r>
              <w:rPr>
                <w:rFonts w:ascii="Times New Roman" w:cs="Times New Roman" w:eastAsia="Times New Roman" w:hAnsi="Times New Roman"/>
                <w:sz w:val="11"/>
                <w:szCs w:val="11"/>
                <w:color w:val="auto"/>
                <w:w w:val="90"/>
              </w:rPr>
              <w:t>—</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835</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835</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976</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6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Anteriad Holdings, LP (f/k/a MeritDirect Holdings, LP) </w:t>
            </w:r>
            <w:r>
              <w:rPr>
                <w:rFonts w:ascii="Times New Roman" w:cs="Times New Roman" w:eastAsia="Times New Roman" w:hAnsi="Times New Roman"/>
                <w:sz w:val="14"/>
                <w:szCs w:val="14"/>
                <w:color w:val="auto"/>
                <w:vertAlign w:val="superscript"/>
              </w:rPr>
              <w:t>(7), (8)</w:t>
            </w:r>
          </w:p>
        </w:tc>
        <w:tc>
          <w:tcPr>
            <w:tcW w:w="140" w:type="dxa"/>
            <w:vAlign w:val="bottom"/>
          </w:tcPr>
          <w:p>
            <w:pPr>
              <w:spacing w:after="0"/>
              <w:rPr>
                <w:sz w:val="11"/>
                <w:szCs w:val="11"/>
                <w:color w:val="auto"/>
              </w:rPr>
            </w:pPr>
          </w:p>
        </w:tc>
        <w:tc>
          <w:tcPr>
            <w:tcW w:w="740" w:type="dxa"/>
            <w:vAlign w:val="bottom"/>
          </w:tcPr>
          <w:p>
            <w:pPr>
              <w:ind w:left="620"/>
              <w:spacing w:after="0"/>
              <w:rPr>
                <w:sz w:val="20"/>
                <w:szCs w:val="20"/>
                <w:color w:val="auto"/>
              </w:rPr>
            </w:pPr>
            <w:r>
              <w:rPr>
                <w:rFonts w:ascii="Times New Roman" w:cs="Times New Roman" w:eastAsia="Times New Roman" w:hAnsi="Times New Roman"/>
                <w:sz w:val="11"/>
                <w:szCs w:val="11"/>
                <w:color w:val="auto"/>
                <w:w w:val="90"/>
              </w:rPr>
              <w:t>—</w:t>
            </w:r>
          </w:p>
        </w:tc>
        <w:tc>
          <w:tcPr>
            <w:tcW w:w="260" w:type="dxa"/>
            <w:vAlign w:val="bottom"/>
          </w:tcPr>
          <w:p>
            <w:pPr>
              <w:spacing w:after="0"/>
              <w:rPr>
                <w:sz w:val="11"/>
                <w:szCs w:val="11"/>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Media</w:t>
            </w:r>
          </w:p>
        </w:tc>
        <w:tc>
          <w:tcPr>
            <w:tcW w:w="140" w:type="dxa"/>
            <w:vAlign w:val="bottom"/>
          </w:tcPr>
          <w:p>
            <w:pPr>
              <w:spacing w:after="0"/>
              <w:rPr>
                <w:sz w:val="11"/>
                <w:szCs w:val="11"/>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tcPr>
          <w:p>
            <w:pPr>
              <w:ind w:left="700"/>
              <w:spacing w:after="0"/>
              <w:rPr>
                <w:sz w:val="20"/>
                <w:szCs w:val="20"/>
                <w:color w:val="auto"/>
              </w:rPr>
            </w:pPr>
            <w:r>
              <w:rPr>
                <w:rFonts w:ascii="Times New Roman" w:cs="Times New Roman" w:eastAsia="Times New Roman" w:hAnsi="Times New Roman"/>
                <w:sz w:val="11"/>
                <w:szCs w:val="11"/>
                <w:color w:val="auto"/>
                <w:w w:val="90"/>
              </w:rPr>
              <w:t>—</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2,018</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2,018</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2,537</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6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NXOF Holdings, Inc. (Tyto Athene, LLC) </w:t>
            </w:r>
            <w:r>
              <w:rPr>
                <w:rFonts w:ascii="Times New Roman" w:cs="Times New Roman" w:eastAsia="Times New Roman" w:hAnsi="Times New Roman"/>
                <w:sz w:val="14"/>
                <w:szCs w:val="14"/>
                <w:color w:val="auto"/>
                <w:vertAlign w:val="superscript"/>
              </w:rPr>
              <w:t>(7)</w:t>
            </w:r>
          </w:p>
        </w:tc>
        <w:tc>
          <w:tcPr>
            <w:tcW w:w="140" w:type="dxa"/>
            <w:vAlign w:val="bottom"/>
          </w:tcPr>
          <w:p>
            <w:pPr>
              <w:spacing w:after="0"/>
              <w:rPr>
                <w:sz w:val="11"/>
                <w:szCs w:val="11"/>
                <w:color w:val="auto"/>
              </w:rPr>
            </w:pPr>
          </w:p>
        </w:tc>
        <w:tc>
          <w:tcPr>
            <w:tcW w:w="740" w:type="dxa"/>
            <w:vAlign w:val="bottom"/>
          </w:tcPr>
          <w:p>
            <w:pPr>
              <w:ind w:left="620"/>
              <w:spacing w:after="0"/>
              <w:rPr>
                <w:sz w:val="20"/>
                <w:szCs w:val="20"/>
                <w:color w:val="auto"/>
              </w:rPr>
            </w:pPr>
            <w:r>
              <w:rPr>
                <w:rFonts w:ascii="Times New Roman" w:cs="Times New Roman" w:eastAsia="Times New Roman" w:hAnsi="Times New Roman"/>
                <w:sz w:val="11"/>
                <w:szCs w:val="11"/>
                <w:color w:val="auto"/>
                <w:w w:val="90"/>
              </w:rPr>
              <w:t>—</w:t>
            </w:r>
          </w:p>
        </w:tc>
        <w:tc>
          <w:tcPr>
            <w:tcW w:w="260" w:type="dxa"/>
            <w:vAlign w:val="bottom"/>
          </w:tcPr>
          <w:p>
            <w:pPr>
              <w:spacing w:after="0"/>
              <w:rPr>
                <w:sz w:val="11"/>
                <w:szCs w:val="11"/>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IT Services</w:t>
            </w:r>
          </w:p>
        </w:tc>
        <w:tc>
          <w:tcPr>
            <w:tcW w:w="140" w:type="dxa"/>
            <w:vAlign w:val="bottom"/>
          </w:tcPr>
          <w:p>
            <w:pPr>
              <w:spacing w:after="0"/>
              <w:rPr>
                <w:sz w:val="11"/>
                <w:szCs w:val="11"/>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tcPr>
          <w:p>
            <w:pPr>
              <w:ind w:left="700"/>
              <w:spacing w:after="0"/>
              <w:rPr>
                <w:sz w:val="20"/>
                <w:szCs w:val="20"/>
                <w:color w:val="auto"/>
              </w:rPr>
            </w:pPr>
            <w:r>
              <w:rPr>
                <w:rFonts w:ascii="Times New Roman" w:cs="Times New Roman" w:eastAsia="Times New Roman" w:hAnsi="Times New Roman"/>
                <w:sz w:val="11"/>
                <w:szCs w:val="11"/>
                <w:color w:val="auto"/>
                <w:w w:val="90"/>
              </w:rPr>
              <w:t>—</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733</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733</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1,042</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6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ORL Holdco, Inc. </w:t>
            </w:r>
            <w:r>
              <w:rPr>
                <w:rFonts w:ascii="Times New Roman" w:cs="Times New Roman" w:eastAsia="Times New Roman" w:hAnsi="Times New Roman"/>
                <w:sz w:val="14"/>
                <w:szCs w:val="14"/>
                <w:color w:val="auto"/>
                <w:vertAlign w:val="superscript"/>
              </w:rPr>
              <w:t>(7)</w:t>
            </w:r>
          </w:p>
        </w:tc>
        <w:tc>
          <w:tcPr>
            <w:tcW w:w="140" w:type="dxa"/>
            <w:vAlign w:val="bottom"/>
          </w:tcPr>
          <w:p>
            <w:pPr>
              <w:spacing w:after="0"/>
              <w:rPr>
                <w:sz w:val="11"/>
                <w:szCs w:val="11"/>
                <w:color w:val="auto"/>
              </w:rPr>
            </w:pPr>
          </w:p>
        </w:tc>
        <w:tc>
          <w:tcPr>
            <w:tcW w:w="740" w:type="dxa"/>
            <w:vAlign w:val="bottom"/>
          </w:tcPr>
          <w:p>
            <w:pPr>
              <w:ind w:left="620"/>
              <w:spacing w:after="0"/>
              <w:rPr>
                <w:sz w:val="20"/>
                <w:szCs w:val="20"/>
                <w:color w:val="auto"/>
              </w:rPr>
            </w:pPr>
            <w:r>
              <w:rPr>
                <w:rFonts w:ascii="Times New Roman" w:cs="Times New Roman" w:eastAsia="Times New Roman" w:hAnsi="Times New Roman"/>
                <w:sz w:val="11"/>
                <w:szCs w:val="11"/>
                <w:color w:val="auto"/>
                <w:w w:val="90"/>
              </w:rPr>
              <w:t>—</w:t>
            </w:r>
          </w:p>
        </w:tc>
        <w:tc>
          <w:tcPr>
            <w:tcW w:w="260" w:type="dxa"/>
            <w:vAlign w:val="bottom"/>
          </w:tcPr>
          <w:p>
            <w:pPr>
              <w:spacing w:after="0"/>
              <w:rPr>
                <w:sz w:val="11"/>
                <w:szCs w:val="11"/>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6"/>
              </w:rPr>
              <w:t>Consumer Finance</w:t>
            </w:r>
          </w:p>
        </w:tc>
        <w:tc>
          <w:tcPr>
            <w:tcW w:w="140" w:type="dxa"/>
            <w:vAlign w:val="bottom"/>
          </w:tcPr>
          <w:p>
            <w:pPr>
              <w:spacing w:after="0"/>
              <w:rPr>
                <w:sz w:val="11"/>
                <w:szCs w:val="11"/>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tcPr>
          <w:p>
            <w:pPr>
              <w:ind w:left="700"/>
              <w:spacing w:after="0"/>
              <w:rPr>
                <w:sz w:val="20"/>
                <w:szCs w:val="20"/>
                <w:color w:val="auto"/>
              </w:rPr>
            </w:pPr>
            <w:r>
              <w:rPr>
                <w:rFonts w:ascii="Times New Roman" w:cs="Times New Roman" w:eastAsia="Times New Roman" w:hAnsi="Times New Roman"/>
                <w:sz w:val="11"/>
                <w:szCs w:val="11"/>
                <w:color w:val="auto"/>
                <w:w w:val="90"/>
              </w:rPr>
              <w:t>—</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1,327</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133</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144</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6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Signature CR Intermediate Holdco, Inc. </w:t>
            </w:r>
            <w:r>
              <w:rPr>
                <w:rFonts w:ascii="Times New Roman" w:cs="Times New Roman" w:eastAsia="Times New Roman" w:hAnsi="Times New Roman"/>
                <w:sz w:val="14"/>
                <w:szCs w:val="14"/>
                <w:color w:val="auto"/>
                <w:vertAlign w:val="superscript"/>
              </w:rPr>
              <w:t>(7)</w:t>
            </w:r>
          </w:p>
        </w:tc>
        <w:tc>
          <w:tcPr>
            <w:tcW w:w="140" w:type="dxa"/>
            <w:vAlign w:val="bottom"/>
          </w:tcPr>
          <w:p>
            <w:pPr>
              <w:spacing w:after="0"/>
              <w:rPr>
                <w:sz w:val="11"/>
                <w:szCs w:val="11"/>
                <w:color w:val="auto"/>
              </w:rPr>
            </w:pPr>
          </w:p>
        </w:tc>
        <w:tc>
          <w:tcPr>
            <w:tcW w:w="740" w:type="dxa"/>
            <w:vAlign w:val="bottom"/>
          </w:tcPr>
          <w:p>
            <w:pPr>
              <w:ind w:left="620"/>
              <w:spacing w:after="0"/>
              <w:rPr>
                <w:sz w:val="20"/>
                <w:szCs w:val="20"/>
                <w:color w:val="auto"/>
              </w:rPr>
            </w:pPr>
            <w:r>
              <w:rPr>
                <w:rFonts w:ascii="Times New Roman" w:cs="Times New Roman" w:eastAsia="Times New Roman" w:hAnsi="Times New Roman"/>
                <w:sz w:val="11"/>
                <w:szCs w:val="11"/>
                <w:color w:val="auto"/>
                <w:w w:val="90"/>
              </w:rPr>
              <w:t>—</w:t>
            </w:r>
          </w:p>
        </w:tc>
        <w:tc>
          <w:tcPr>
            <w:tcW w:w="260" w:type="dxa"/>
            <w:vAlign w:val="bottom"/>
          </w:tcPr>
          <w:p>
            <w:pPr>
              <w:spacing w:after="0"/>
              <w:rPr>
                <w:sz w:val="11"/>
                <w:szCs w:val="11"/>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Commercial Services &amp; Supplies</w:t>
            </w:r>
          </w:p>
        </w:tc>
        <w:tc>
          <w:tcPr>
            <w:tcW w:w="1220" w:type="dxa"/>
            <w:vAlign w:val="bottom"/>
            <w:gridSpan w:val="3"/>
          </w:tcPr>
          <w:p>
            <w:pPr>
              <w:jc w:val="right"/>
              <w:ind w:right="120"/>
              <w:spacing w:after="0"/>
              <w:rPr>
                <w:sz w:val="20"/>
                <w:szCs w:val="20"/>
                <w:color w:val="auto"/>
              </w:rPr>
            </w:pPr>
            <w:r>
              <w:rPr>
                <w:rFonts w:ascii="Times New Roman" w:cs="Times New Roman" w:eastAsia="Times New Roman" w:hAnsi="Times New Roman"/>
                <w:sz w:val="11"/>
                <w:szCs w:val="11"/>
                <w:color w:val="auto"/>
              </w:rPr>
              <w:t>12.00 %</w:t>
            </w:r>
          </w:p>
        </w:tc>
        <w:tc>
          <w:tcPr>
            <w:tcW w:w="820" w:type="dxa"/>
            <w:vAlign w:val="bottom"/>
          </w:tcPr>
          <w:p>
            <w:pPr>
              <w:ind w:left="700"/>
              <w:spacing w:after="0"/>
              <w:rPr>
                <w:sz w:val="20"/>
                <w:szCs w:val="20"/>
                <w:color w:val="auto"/>
              </w:rPr>
            </w:pPr>
            <w:r>
              <w:rPr>
                <w:rFonts w:ascii="Times New Roman" w:cs="Times New Roman" w:eastAsia="Times New Roman" w:hAnsi="Times New Roman"/>
                <w:sz w:val="11"/>
                <w:szCs w:val="11"/>
                <w:color w:val="auto"/>
                <w:w w:val="90"/>
              </w:rPr>
              <w:t>—</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1,323</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1,323</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1,674</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6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TPC Holding Company, LP </w:t>
            </w:r>
            <w:r>
              <w:rPr>
                <w:rFonts w:ascii="Times New Roman" w:cs="Times New Roman" w:eastAsia="Times New Roman" w:hAnsi="Times New Roman"/>
                <w:sz w:val="14"/>
                <w:szCs w:val="14"/>
                <w:color w:val="auto"/>
                <w:vertAlign w:val="superscript"/>
              </w:rPr>
              <w:t>(5), (7), (10)</w:t>
            </w:r>
          </w:p>
        </w:tc>
        <w:tc>
          <w:tcPr>
            <w:tcW w:w="140" w:type="dxa"/>
            <w:vAlign w:val="bottom"/>
          </w:tcPr>
          <w:p>
            <w:pPr>
              <w:spacing w:after="0"/>
              <w:rPr>
                <w:sz w:val="11"/>
                <w:szCs w:val="11"/>
                <w:color w:val="auto"/>
              </w:rPr>
            </w:pPr>
          </w:p>
        </w:tc>
        <w:tc>
          <w:tcPr>
            <w:tcW w:w="740" w:type="dxa"/>
            <w:vAlign w:val="bottom"/>
          </w:tcPr>
          <w:p>
            <w:pPr>
              <w:ind w:left="620"/>
              <w:spacing w:after="0"/>
              <w:rPr>
                <w:sz w:val="20"/>
                <w:szCs w:val="20"/>
                <w:color w:val="auto"/>
              </w:rPr>
            </w:pPr>
            <w:r>
              <w:rPr>
                <w:rFonts w:ascii="Times New Roman" w:cs="Times New Roman" w:eastAsia="Times New Roman" w:hAnsi="Times New Roman"/>
                <w:sz w:val="11"/>
                <w:szCs w:val="11"/>
                <w:color w:val="auto"/>
                <w:w w:val="90"/>
              </w:rPr>
              <w:t>—</w:t>
            </w:r>
          </w:p>
        </w:tc>
        <w:tc>
          <w:tcPr>
            <w:tcW w:w="260" w:type="dxa"/>
            <w:vAlign w:val="bottom"/>
          </w:tcPr>
          <w:p>
            <w:pPr>
              <w:spacing w:after="0"/>
              <w:rPr>
                <w:sz w:val="11"/>
                <w:szCs w:val="11"/>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Food Products</w:t>
            </w:r>
          </w:p>
        </w:tc>
        <w:tc>
          <w:tcPr>
            <w:tcW w:w="140" w:type="dxa"/>
            <w:vAlign w:val="bottom"/>
          </w:tcPr>
          <w:p>
            <w:pPr>
              <w:spacing w:after="0"/>
              <w:rPr>
                <w:sz w:val="11"/>
                <w:szCs w:val="11"/>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tcPr>
          <w:p>
            <w:pPr>
              <w:ind w:left="700"/>
              <w:spacing w:after="0"/>
              <w:rPr>
                <w:sz w:val="20"/>
                <w:szCs w:val="20"/>
                <w:color w:val="auto"/>
              </w:rPr>
            </w:pPr>
            <w:r>
              <w:rPr>
                <w:rFonts w:ascii="Times New Roman" w:cs="Times New Roman" w:eastAsia="Times New Roman" w:hAnsi="Times New Roman"/>
                <w:sz w:val="11"/>
                <w:szCs w:val="11"/>
                <w:color w:val="auto"/>
                <w:w w:val="90"/>
              </w:rPr>
              <w:t>—</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409</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409</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116</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860" w:type="dxa"/>
            <w:vAlign w:val="bottom"/>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TWD Parent Holdings, LLC (The Vertex Companies, LLC) </w:t>
            </w:r>
            <w:r>
              <w:rPr>
                <w:rFonts w:ascii="Times New Roman" w:cs="Times New Roman" w:eastAsia="Times New Roman" w:hAnsi="Times New Roman"/>
                <w:sz w:val="14"/>
                <w:szCs w:val="14"/>
                <w:color w:val="auto"/>
                <w:vertAlign w:val="superscript"/>
              </w:rPr>
              <w:t>(7)</w:t>
            </w:r>
          </w:p>
        </w:tc>
        <w:tc>
          <w:tcPr>
            <w:tcW w:w="140" w:type="dxa"/>
            <w:vAlign w:val="bottom"/>
          </w:tcPr>
          <w:p>
            <w:pPr>
              <w:spacing w:after="0"/>
              <w:rPr>
                <w:sz w:val="13"/>
                <w:szCs w:val="13"/>
                <w:color w:val="auto"/>
              </w:rPr>
            </w:pPr>
          </w:p>
        </w:tc>
        <w:tc>
          <w:tcPr>
            <w:tcW w:w="740" w:type="dxa"/>
            <w:vAlign w:val="bottom"/>
          </w:tcPr>
          <w:p>
            <w:pPr>
              <w:ind w:left="620"/>
              <w:spacing w:after="0"/>
              <w:rPr>
                <w:sz w:val="20"/>
                <w:szCs w:val="20"/>
                <w:color w:val="auto"/>
              </w:rPr>
            </w:pPr>
            <w:r>
              <w:rPr>
                <w:rFonts w:ascii="Times New Roman" w:cs="Times New Roman" w:eastAsia="Times New Roman" w:hAnsi="Times New Roman"/>
                <w:sz w:val="11"/>
                <w:szCs w:val="11"/>
                <w:color w:val="auto"/>
                <w:w w:val="90"/>
              </w:rPr>
              <w:t>—</w:t>
            </w:r>
          </w:p>
        </w:tc>
        <w:tc>
          <w:tcPr>
            <w:tcW w:w="260" w:type="dxa"/>
            <w:vAlign w:val="bottom"/>
          </w:tcPr>
          <w:p>
            <w:pPr>
              <w:spacing w:after="0"/>
              <w:rPr>
                <w:sz w:val="13"/>
                <w:szCs w:val="13"/>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Construction &amp; Engineering</w:t>
            </w:r>
          </w:p>
        </w:tc>
        <w:tc>
          <w:tcPr>
            <w:tcW w:w="140" w:type="dxa"/>
            <w:vAlign w:val="bottom"/>
          </w:tcPr>
          <w:p>
            <w:pPr>
              <w:spacing w:after="0"/>
              <w:rPr>
                <w:sz w:val="13"/>
                <w:szCs w:val="13"/>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tcPr>
          <w:p>
            <w:pPr>
              <w:ind w:left="700"/>
              <w:spacing w:after="0"/>
              <w:rPr>
                <w:sz w:val="20"/>
                <w:szCs w:val="20"/>
                <w:color w:val="auto"/>
              </w:rPr>
            </w:pPr>
            <w:r>
              <w:rPr>
                <w:rFonts w:ascii="Times New Roman" w:cs="Times New Roman" w:eastAsia="Times New Roman" w:hAnsi="Times New Roman"/>
                <w:sz w:val="11"/>
                <w:szCs w:val="11"/>
                <w:color w:val="auto"/>
                <w:w w:val="90"/>
              </w:rPr>
              <w:t>—</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37</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37</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2860" w:type="dxa"/>
            <w:vAlign w:val="bottom"/>
          </w:tcPr>
          <w:p>
            <w:pPr>
              <w:ind w:left="20"/>
              <w:spacing w:after="0" w:line="117" w:lineRule="exact"/>
              <w:rPr>
                <w:sz w:val="20"/>
                <w:szCs w:val="20"/>
                <w:color w:val="auto"/>
              </w:rPr>
            </w:pPr>
            <w:r>
              <w:rPr>
                <w:rFonts w:ascii="Times New Roman" w:cs="Times New Roman" w:eastAsia="Times New Roman" w:hAnsi="Times New Roman"/>
                <w:sz w:val="11"/>
                <w:szCs w:val="11"/>
                <w:color w:val="auto"/>
              </w:rPr>
              <w:t>UniTek Global Services, Inc. -</w:t>
            </w:r>
          </w:p>
        </w:tc>
        <w:tc>
          <w:tcPr>
            <w:tcW w:w="140" w:type="dxa"/>
            <w:vAlign w:val="bottom"/>
          </w:tcPr>
          <w:p>
            <w:pPr>
              <w:spacing w:after="0"/>
              <w:rPr>
                <w:sz w:val="10"/>
                <w:szCs w:val="10"/>
                <w:color w:val="auto"/>
              </w:rPr>
            </w:pPr>
          </w:p>
        </w:tc>
        <w:tc>
          <w:tcPr>
            <w:tcW w:w="740" w:type="dxa"/>
            <w:vAlign w:val="bottom"/>
          </w:tcPr>
          <w:p>
            <w:pPr>
              <w:ind w:left="620"/>
              <w:spacing w:after="0" w:line="117" w:lineRule="exact"/>
              <w:rPr>
                <w:sz w:val="20"/>
                <w:szCs w:val="20"/>
                <w:color w:val="auto"/>
              </w:rPr>
            </w:pPr>
            <w:r>
              <w:rPr>
                <w:rFonts w:ascii="Times New Roman" w:cs="Times New Roman" w:eastAsia="Times New Roman" w:hAnsi="Times New Roman"/>
                <w:sz w:val="11"/>
                <w:szCs w:val="11"/>
                <w:color w:val="auto"/>
                <w:w w:val="90"/>
              </w:rPr>
              <w:t>—</w:t>
            </w:r>
          </w:p>
        </w:tc>
        <w:tc>
          <w:tcPr>
            <w:tcW w:w="260" w:type="dxa"/>
            <w:vAlign w:val="bottom"/>
          </w:tcPr>
          <w:p>
            <w:pPr>
              <w:spacing w:after="0"/>
              <w:rPr>
                <w:sz w:val="10"/>
                <w:szCs w:val="10"/>
                <w:color w:val="auto"/>
              </w:rPr>
            </w:pPr>
          </w:p>
        </w:tc>
        <w:tc>
          <w:tcPr>
            <w:tcW w:w="202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color w:val="auto"/>
                <w:w w:val="97"/>
              </w:rPr>
              <w:t>Telecommunications</w:t>
            </w:r>
          </w:p>
        </w:tc>
        <w:tc>
          <w:tcPr>
            <w:tcW w:w="1220" w:type="dxa"/>
            <w:vAlign w:val="bottom"/>
            <w:gridSpan w:val="3"/>
          </w:tcPr>
          <w:p>
            <w:pPr>
              <w:jc w:val="right"/>
              <w:ind w:right="120"/>
              <w:spacing w:after="0" w:line="117" w:lineRule="exact"/>
              <w:rPr>
                <w:sz w:val="20"/>
                <w:szCs w:val="20"/>
                <w:color w:val="auto"/>
              </w:rPr>
            </w:pPr>
            <w:r>
              <w:rPr>
                <w:rFonts w:ascii="Times New Roman" w:cs="Times New Roman" w:eastAsia="Times New Roman" w:hAnsi="Times New Roman"/>
                <w:sz w:val="11"/>
                <w:szCs w:val="11"/>
                <w:color w:val="auto"/>
              </w:rPr>
              <w:t>20.00 %</w:t>
            </w:r>
          </w:p>
        </w:tc>
        <w:tc>
          <w:tcPr>
            <w:tcW w:w="820" w:type="dxa"/>
            <w:vAlign w:val="bottom"/>
          </w:tcPr>
          <w:p>
            <w:pPr>
              <w:ind w:left="700"/>
              <w:spacing w:after="0" w:line="117" w:lineRule="exact"/>
              <w:rPr>
                <w:sz w:val="20"/>
                <w:szCs w:val="20"/>
                <w:color w:val="auto"/>
              </w:rPr>
            </w:pPr>
            <w:r>
              <w:rPr>
                <w:rFonts w:ascii="Times New Roman" w:cs="Times New Roman" w:eastAsia="Times New Roman" w:hAnsi="Times New Roman"/>
                <w:sz w:val="11"/>
                <w:szCs w:val="11"/>
                <w:color w:val="auto"/>
                <w:w w:val="90"/>
              </w:rPr>
              <w:t>—</w:t>
            </w:r>
          </w:p>
        </w:tc>
        <w:tc>
          <w:tcPr>
            <w:tcW w:w="106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1"/>
                <w:szCs w:val="11"/>
                <w:color w:val="auto"/>
              </w:rPr>
              <w:t>343,861</w:t>
            </w: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344</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gridSpan w:val="2"/>
          </w:tcPr>
          <w:p>
            <w:pPr>
              <w:jc w:val="right"/>
              <w:ind w:right="120"/>
              <w:spacing w:after="0" w:line="117"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32"/>
        </w:trPr>
        <w:tc>
          <w:tcPr>
            <w:tcW w:w="2860" w:type="dxa"/>
            <w:vAlign w:val="bottom"/>
            <w:vMerge w:val="restart"/>
          </w:tcPr>
          <w:p>
            <w:pPr>
              <w:ind w:left="100"/>
              <w:spacing w:after="0" w:line="135" w:lineRule="exact"/>
              <w:rPr>
                <w:sz w:val="20"/>
                <w:szCs w:val="20"/>
                <w:color w:val="auto"/>
              </w:rPr>
            </w:pPr>
            <w:r>
              <w:rPr>
                <w:rFonts w:ascii="Times New Roman" w:cs="Times New Roman" w:eastAsia="Times New Roman" w:hAnsi="Times New Roman"/>
                <w:sz w:val="11"/>
                <w:szCs w:val="11"/>
                <w:color w:val="auto"/>
              </w:rPr>
              <w:t xml:space="preserve">Super Senior Preferred Equity </w:t>
            </w:r>
            <w:r>
              <w:rPr>
                <w:rFonts w:ascii="Times New Roman" w:cs="Times New Roman" w:eastAsia="Times New Roman" w:hAnsi="Times New Roman"/>
                <w:sz w:val="14"/>
                <w:szCs w:val="14"/>
                <w:color w:val="auto"/>
                <w:vertAlign w:val="superscript"/>
              </w:rPr>
              <w:t>(7)</w:t>
            </w: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5"/>
        </w:trPr>
        <w:tc>
          <w:tcPr>
            <w:tcW w:w="2860" w:type="dxa"/>
            <w:vAlign w:val="bottom"/>
            <w:vMerge w:val="continue"/>
          </w:tcPr>
          <w:p>
            <w:pPr>
              <w:spacing w:after="0"/>
              <w:rPr>
                <w:sz w:val="10"/>
                <w:szCs w:val="10"/>
                <w:color w:val="auto"/>
              </w:rPr>
            </w:pPr>
          </w:p>
        </w:tc>
        <w:tc>
          <w:tcPr>
            <w:tcW w:w="140" w:type="dxa"/>
            <w:vAlign w:val="bottom"/>
            <w:tcBorders>
              <w:bottom w:val="single" w:sz="8" w:color="CCECFF"/>
            </w:tcBorders>
            <w:shd w:val="clear" w:color="auto" w:fill="CCECFF"/>
          </w:tcPr>
          <w:p>
            <w:pPr>
              <w:spacing w:after="0"/>
              <w:rPr>
                <w:sz w:val="10"/>
                <w:szCs w:val="10"/>
                <w:color w:val="auto"/>
              </w:rPr>
            </w:pPr>
          </w:p>
        </w:tc>
        <w:tc>
          <w:tcPr>
            <w:tcW w:w="740" w:type="dxa"/>
            <w:vAlign w:val="bottom"/>
            <w:tcBorders>
              <w:bottom w:val="single" w:sz="8" w:color="CCECFF"/>
            </w:tcBorders>
            <w:shd w:val="clear" w:color="auto" w:fill="CCECFF"/>
          </w:tcPr>
          <w:p>
            <w:pPr>
              <w:spacing w:after="0"/>
              <w:rPr>
                <w:sz w:val="10"/>
                <w:szCs w:val="10"/>
                <w:color w:val="auto"/>
              </w:rPr>
            </w:pPr>
          </w:p>
        </w:tc>
        <w:tc>
          <w:tcPr>
            <w:tcW w:w="260" w:type="dxa"/>
            <w:vAlign w:val="bottom"/>
            <w:tcBorders>
              <w:bottom w:val="single" w:sz="8" w:color="CCECFF"/>
            </w:tcBorders>
            <w:shd w:val="clear" w:color="auto" w:fill="CCECFF"/>
          </w:tcPr>
          <w:p>
            <w:pPr>
              <w:spacing w:after="0"/>
              <w:rPr>
                <w:sz w:val="10"/>
                <w:szCs w:val="10"/>
                <w:color w:val="auto"/>
              </w:rPr>
            </w:pPr>
          </w:p>
        </w:tc>
        <w:tc>
          <w:tcPr>
            <w:tcW w:w="2020" w:type="dxa"/>
            <w:vAlign w:val="bottom"/>
            <w:tcBorders>
              <w:bottom w:val="single" w:sz="8" w:color="CCECFF"/>
            </w:tcBorders>
            <w:shd w:val="clear" w:color="auto" w:fill="CCECFF"/>
          </w:tcPr>
          <w:p>
            <w:pPr>
              <w:spacing w:after="0"/>
              <w:rPr>
                <w:sz w:val="10"/>
                <w:szCs w:val="10"/>
                <w:color w:val="auto"/>
              </w:rPr>
            </w:pPr>
          </w:p>
        </w:tc>
        <w:tc>
          <w:tcPr>
            <w:tcW w:w="140" w:type="dxa"/>
            <w:vAlign w:val="bottom"/>
            <w:tcBorders>
              <w:bottom w:val="single" w:sz="8" w:color="CCECFF"/>
            </w:tcBorders>
            <w:shd w:val="clear" w:color="auto" w:fill="CCECFF"/>
          </w:tcPr>
          <w:p>
            <w:pPr>
              <w:spacing w:after="0"/>
              <w:rPr>
                <w:sz w:val="10"/>
                <w:szCs w:val="10"/>
                <w:color w:val="auto"/>
              </w:rPr>
            </w:pPr>
          </w:p>
        </w:tc>
        <w:tc>
          <w:tcPr>
            <w:tcW w:w="860" w:type="dxa"/>
            <w:vAlign w:val="bottom"/>
            <w:tcBorders>
              <w:bottom w:val="single" w:sz="8" w:color="CCECFF"/>
            </w:tcBorders>
            <w:shd w:val="clear" w:color="auto" w:fill="CCECFF"/>
          </w:tcPr>
          <w:p>
            <w:pPr>
              <w:spacing w:after="0"/>
              <w:rPr>
                <w:sz w:val="10"/>
                <w:szCs w:val="10"/>
                <w:color w:val="auto"/>
              </w:rPr>
            </w:pPr>
          </w:p>
        </w:tc>
        <w:tc>
          <w:tcPr>
            <w:tcW w:w="220" w:type="dxa"/>
            <w:vAlign w:val="bottom"/>
            <w:tcBorders>
              <w:bottom w:val="single" w:sz="8" w:color="CCECFF"/>
            </w:tcBorders>
            <w:shd w:val="clear" w:color="auto" w:fill="CCECFF"/>
          </w:tcPr>
          <w:p>
            <w:pPr>
              <w:spacing w:after="0"/>
              <w:rPr>
                <w:sz w:val="10"/>
                <w:szCs w:val="10"/>
                <w:color w:val="auto"/>
              </w:rPr>
            </w:pPr>
          </w:p>
        </w:tc>
        <w:tc>
          <w:tcPr>
            <w:tcW w:w="820" w:type="dxa"/>
            <w:vAlign w:val="bottom"/>
            <w:tcBorders>
              <w:bottom w:val="single" w:sz="8" w:color="CCECFF"/>
            </w:tcBorders>
            <w:shd w:val="clear" w:color="auto" w:fill="CCECFF"/>
          </w:tcPr>
          <w:p>
            <w:pPr>
              <w:spacing w:after="0"/>
              <w:rPr>
                <w:sz w:val="10"/>
                <w:szCs w:val="10"/>
                <w:color w:val="auto"/>
              </w:rPr>
            </w:pPr>
          </w:p>
        </w:tc>
        <w:tc>
          <w:tcPr>
            <w:tcW w:w="200" w:type="dxa"/>
            <w:vAlign w:val="bottom"/>
            <w:tcBorders>
              <w:bottom w:val="single" w:sz="8" w:color="CCECFF"/>
            </w:tcBorders>
            <w:shd w:val="clear" w:color="auto" w:fill="CCECFF"/>
          </w:tcPr>
          <w:p>
            <w:pPr>
              <w:spacing w:after="0"/>
              <w:rPr>
                <w:sz w:val="10"/>
                <w:szCs w:val="10"/>
                <w:color w:val="auto"/>
              </w:rPr>
            </w:pPr>
          </w:p>
        </w:tc>
        <w:tc>
          <w:tcPr>
            <w:tcW w:w="860" w:type="dxa"/>
            <w:vAlign w:val="bottom"/>
            <w:tcBorders>
              <w:bottom w:val="single" w:sz="8" w:color="CCECFF"/>
            </w:tcBorders>
            <w:shd w:val="clear" w:color="auto" w:fill="CCECFF"/>
          </w:tcPr>
          <w:p>
            <w:pPr>
              <w:spacing w:after="0"/>
              <w:rPr>
                <w:sz w:val="10"/>
                <w:szCs w:val="10"/>
                <w:color w:val="auto"/>
              </w:rPr>
            </w:pPr>
          </w:p>
        </w:tc>
        <w:tc>
          <w:tcPr>
            <w:tcW w:w="220" w:type="dxa"/>
            <w:vAlign w:val="bottom"/>
            <w:tcBorders>
              <w:bottom w:val="single" w:sz="8" w:color="CCECFF"/>
            </w:tcBorders>
            <w:shd w:val="clear" w:color="auto" w:fill="CCECFF"/>
          </w:tcPr>
          <w:p>
            <w:pPr>
              <w:spacing w:after="0"/>
              <w:rPr>
                <w:sz w:val="10"/>
                <w:szCs w:val="10"/>
                <w:color w:val="auto"/>
              </w:rPr>
            </w:pPr>
          </w:p>
        </w:tc>
        <w:tc>
          <w:tcPr>
            <w:tcW w:w="180" w:type="dxa"/>
            <w:vAlign w:val="bottom"/>
            <w:tcBorders>
              <w:bottom w:val="single" w:sz="8" w:color="CCECFF"/>
            </w:tcBorders>
            <w:shd w:val="clear" w:color="auto" w:fill="CCECFF"/>
          </w:tcPr>
          <w:p>
            <w:pPr>
              <w:spacing w:after="0"/>
              <w:rPr>
                <w:sz w:val="10"/>
                <w:szCs w:val="10"/>
                <w:color w:val="auto"/>
              </w:rPr>
            </w:pPr>
          </w:p>
        </w:tc>
        <w:tc>
          <w:tcPr>
            <w:tcW w:w="600" w:type="dxa"/>
            <w:vAlign w:val="bottom"/>
            <w:tcBorders>
              <w:bottom w:val="single" w:sz="8" w:color="CCECFF"/>
            </w:tcBorders>
            <w:shd w:val="clear" w:color="auto" w:fill="CCECFF"/>
          </w:tcPr>
          <w:p>
            <w:pPr>
              <w:spacing w:after="0"/>
              <w:rPr>
                <w:sz w:val="10"/>
                <w:szCs w:val="10"/>
                <w:color w:val="auto"/>
              </w:rPr>
            </w:pPr>
          </w:p>
        </w:tc>
        <w:tc>
          <w:tcPr>
            <w:tcW w:w="220" w:type="dxa"/>
            <w:vAlign w:val="bottom"/>
            <w:tcBorders>
              <w:bottom w:val="single" w:sz="8" w:color="CCECFF"/>
            </w:tcBorders>
            <w:shd w:val="clear" w:color="auto" w:fill="CCECFF"/>
          </w:tcPr>
          <w:p>
            <w:pPr>
              <w:spacing w:after="0"/>
              <w:rPr>
                <w:sz w:val="10"/>
                <w:szCs w:val="10"/>
                <w:color w:val="auto"/>
              </w:rPr>
            </w:pPr>
          </w:p>
        </w:tc>
        <w:tc>
          <w:tcPr>
            <w:tcW w:w="80" w:type="dxa"/>
            <w:vAlign w:val="bottom"/>
            <w:tcBorders>
              <w:bottom w:val="single" w:sz="8" w:color="CCECFF"/>
            </w:tcBorders>
            <w:shd w:val="clear" w:color="auto" w:fill="CCECFF"/>
          </w:tcPr>
          <w:p>
            <w:pPr>
              <w:spacing w:after="0"/>
              <w:rPr>
                <w:sz w:val="10"/>
                <w:szCs w:val="10"/>
                <w:color w:val="auto"/>
              </w:rPr>
            </w:pPr>
          </w:p>
        </w:tc>
        <w:tc>
          <w:tcPr>
            <w:tcW w:w="720" w:type="dxa"/>
            <w:vAlign w:val="bottom"/>
            <w:tcBorders>
              <w:bottom w:val="single" w:sz="8" w:color="CCECFF"/>
            </w:tcBorders>
            <w:shd w:val="clear" w:color="auto" w:fill="CCECFF"/>
          </w:tcPr>
          <w:p>
            <w:pPr>
              <w:spacing w:after="0"/>
              <w:rPr>
                <w:sz w:val="10"/>
                <w:szCs w:val="10"/>
                <w:color w:val="auto"/>
              </w:rPr>
            </w:pPr>
          </w:p>
        </w:tc>
        <w:tc>
          <w:tcPr>
            <w:tcW w:w="100" w:type="dxa"/>
            <w:vAlign w:val="bottom"/>
            <w:tcBorders>
              <w:bottom w:val="single" w:sz="8" w:color="CCECFF"/>
            </w:tcBorders>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03"/>
        </w:trPr>
        <w:tc>
          <w:tcPr>
            <w:tcW w:w="2860" w:type="dxa"/>
            <w:vAlign w:val="bottom"/>
          </w:tcPr>
          <w:p>
            <w:pPr>
              <w:ind w:left="20"/>
              <w:spacing w:after="0" w:line="103" w:lineRule="exact"/>
              <w:rPr>
                <w:sz w:val="20"/>
                <w:szCs w:val="20"/>
                <w:color w:val="auto"/>
              </w:rPr>
            </w:pPr>
            <w:r>
              <w:rPr>
                <w:rFonts w:ascii="Times New Roman" w:cs="Times New Roman" w:eastAsia="Times New Roman" w:hAnsi="Times New Roman"/>
                <w:sz w:val="9"/>
                <w:szCs w:val="9"/>
                <w:color w:val="auto"/>
              </w:rPr>
              <w:t xml:space="preserve">UniTek Global Services, Inc. - Senior Preferred Equity </w:t>
            </w:r>
            <w:r>
              <w:rPr>
                <w:rFonts w:ascii="Times New Roman" w:cs="Times New Roman" w:eastAsia="Times New Roman" w:hAnsi="Times New Roman"/>
                <w:sz w:val="11"/>
                <w:szCs w:val="11"/>
                <w:color w:val="auto"/>
                <w:vertAlign w:val="superscript"/>
              </w:rPr>
              <w:t>(7)</w:t>
            </w:r>
          </w:p>
        </w:tc>
        <w:tc>
          <w:tcPr>
            <w:tcW w:w="140" w:type="dxa"/>
            <w:vAlign w:val="bottom"/>
          </w:tcPr>
          <w:p>
            <w:pPr>
              <w:spacing w:after="0"/>
              <w:rPr>
                <w:sz w:val="8"/>
                <w:szCs w:val="8"/>
                <w:color w:val="auto"/>
              </w:rPr>
            </w:pPr>
          </w:p>
        </w:tc>
        <w:tc>
          <w:tcPr>
            <w:tcW w:w="740" w:type="dxa"/>
            <w:vAlign w:val="bottom"/>
          </w:tcPr>
          <w:p>
            <w:pPr>
              <w:ind w:left="620"/>
              <w:spacing w:after="0" w:line="103" w:lineRule="exact"/>
              <w:rPr>
                <w:sz w:val="20"/>
                <w:szCs w:val="20"/>
                <w:color w:val="auto"/>
              </w:rPr>
            </w:pPr>
            <w:r>
              <w:rPr>
                <w:rFonts w:ascii="Times New Roman" w:cs="Times New Roman" w:eastAsia="Times New Roman" w:hAnsi="Times New Roman"/>
                <w:sz w:val="11"/>
                <w:szCs w:val="11"/>
                <w:color w:val="auto"/>
                <w:w w:val="90"/>
              </w:rPr>
              <w:t>—</w:t>
            </w:r>
          </w:p>
        </w:tc>
        <w:tc>
          <w:tcPr>
            <w:tcW w:w="260" w:type="dxa"/>
            <w:vAlign w:val="bottom"/>
          </w:tcPr>
          <w:p>
            <w:pPr>
              <w:spacing w:after="0"/>
              <w:rPr>
                <w:sz w:val="8"/>
                <w:szCs w:val="8"/>
                <w:color w:val="auto"/>
              </w:rPr>
            </w:pPr>
          </w:p>
        </w:tc>
        <w:tc>
          <w:tcPr>
            <w:tcW w:w="2020" w:type="dxa"/>
            <w:vAlign w:val="bottom"/>
          </w:tcPr>
          <w:p>
            <w:pPr>
              <w:jc w:val="center"/>
              <w:spacing w:after="0" w:line="103" w:lineRule="exact"/>
              <w:rPr>
                <w:sz w:val="20"/>
                <w:szCs w:val="20"/>
                <w:color w:val="auto"/>
              </w:rPr>
            </w:pPr>
            <w:r>
              <w:rPr>
                <w:rFonts w:ascii="Times New Roman" w:cs="Times New Roman" w:eastAsia="Times New Roman" w:hAnsi="Times New Roman"/>
                <w:sz w:val="11"/>
                <w:szCs w:val="11"/>
                <w:color w:val="auto"/>
                <w:w w:val="97"/>
              </w:rPr>
              <w:t>Telecommunications</w:t>
            </w:r>
          </w:p>
        </w:tc>
        <w:tc>
          <w:tcPr>
            <w:tcW w:w="1220" w:type="dxa"/>
            <w:vAlign w:val="bottom"/>
            <w:gridSpan w:val="3"/>
          </w:tcPr>
          <w:p>
            <w:pPr>
              <w:jc w:val="right"/>
              <w:ind w:right="120"/>
              <w:spacing w:after="0" w:line="103" w:lineRule="exact"/>
              <w:rPr>
                <w:sz w:val="20"/>
                <w:szCs w:val="20"/>
                <w:color w:val="auto"/>
              </w:rPr>
            </w:pPr>
            <w:r>
              <w:rPr>
                <w:rFonts w:ascii="Times New Roman" w:cs="Times New Roman" w:eastAsia="Times New Roman" w:hAnsi="Times New Roman"/>
                <w:sz w:val="11"/>
                <w:szCs w:val="11"/>
                <w:color w:val="auto"/>
              </w:rPr>
              <w:t>19.00 %</w:t>
            </w:r>
          </w:p>
        </w:tc>
        <w:tc>
          <w:tcPr>
            <w:tcW w:w="820" w:type="dxa"/>
            <w:vAlign w:val="bottom"/>
          </w:tcPr>
          <w:p>
            <w:pPr>
              <w:ind w:left="700"/>
              <w:spacing w:after="0" w:line="103" w:lineRule="exact"/>
              <w:rPr>
                <w:sz w:val="20"/>
                <w:szCs w:val="20"/>
                <w:color w:val="auto"/>
              </w:rPr>
            </w:pPr>
            <w:r>
              <w:rPr>
                <w:rFonts w:ascii="Times New Roman" w:cs="Times New Roman" w:eastAsia="Times New Roman" w:hAnsi="Times New Roman"/>
                <w:sz w:val="11"/>
                <w:szCs w:val="11"/>
                <w:color w:val="auto"/>
                <w:w w:val="90"/>
              </w:rPr>
              <w:t>—</w:t>
            </w:r>
          </w:p>
        </w:tc>
        <w:tc>
          <w:tcPr>
            <w:tcW w:w="1060" w:type="dxa"/>
            <w:vAlign w:val="bottom"/>
            <w:gridSpan w:val="2"/>
          </w:tcPr>
          <w:p>
            <w:pPr>
              <w:jc w:val="right"/>
              <w:spacing w:after="0" w:line="103" w:lineRule="exact"/>
              <w:rPr>
                <w:sz w:val="20"/>
                <w:szCs w:val="20"/>
                <w:color w:val="auto"/>
              </w:rPr>
            </w:pPr>
            <w:r>
              <w:rPr>
                <w:rFonts w:ascii="Times New Roman" w:cs="Times New Roman" w:eastAsia="Times New Roman" w:hAnsi="Times New Roman"/>
                <w:sz w:val="11"/>
                <w:szCs w:val="11"/>
                <w:color w:val="auto"/>
              </w:rPr>
              <w:t>448,851</w:t>
            </w: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tcPr>
          <w:p>
            <w:pPr>
              <w:jc w:val="right"/>
              <w:spacing w:after="0" w:line="103" w:lineRule="exact"/>
              <w:rPr>
                <w:sz w:val="20"/>
                <w:szCs w:val="20"/>
                <w:color w:val="auto"/>
              </w:rPr>
            </w:pPr>
            <w:r>
              <w:rPr>
                <w:rFonts w:ascii="Times New Roman" w:cs="Times New Roman" w:eastAsia="Times New Roman" w:hAnsi="Times New Roman"/>
                <w:sz w:val="11"/>
                <w:szCs w:val="11"/>
                <w:color w:val="auto"/>
              </w:rPr>
              <w:t>449</w:t>
            </w: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gridSpan w:val="2"/>
          </w:tcPr>
          <w:p>
            <w:pPr>
              <w:jc w:val="right"/>
              <w:ind w:right="120"/>
              <w:spacing w:after="0" w:line="103"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67"/>
        </w:trPr>
        <w:tc>
          <w:tcPr>
            <w:tcW w:w="28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 xml:space="preserve">UniTek Global Services, Inc. </w:t>
            </w:r>
            <w:r>
              <w:rPr>
                <w:rFonts w:ascii="Times New Roman" w:cs="Times New Roman" w:eastAsia="Times New Roman" w:hAnsi="Times New Roman"/>
                <w:sz w:val="14"/>
                <w:szCs w:val="14"/>
                <w:color w:val="auto"/>
                <w:vertAlign w:val="superscript"/>
              </w:rPr>
              <w:t>(7)</w:t>
            </w:r>
          </w:p>
        </w:tc>
        <w:tc>
          <w:tcPr>
            <w:tcW w:w="140" w:type="dxa"/>
            <w:vAlign w:val="bottom"/>
          </w:tcPr>
          <w:p>
            <w:pPr>
              <w:spacing w:after="0"/>
              <w:rPr>
                <w:sz w:val="14"/>
                <w:szCs w:val="14"/>
                <w:color w:val="auto"/>
              </w:rPr>
            </w:pPr>
          </w:p>
        </w:tc>
        <w:tc>
          <w:tcPr>
            <w:tcW w:w="740" w:type="dxa"/>
            <w:vAlign w:val="bottom"/>
          </w:tcPr>
          <w:p>
            <w:pPr>
              <w:ind w:left="620"/>
              <w:spacing w:after="0"/>
              <w:rPr>
                <w:sz w:val="20"/>
                <w:szCs w:val="20"/>
                <w:color w:val="auto"/>
              </w:rPr>
            </w:pPr>
            <w:r>
              <w:rPr>
                <w:rFonts w:ascii="Times New Roman" w:cs="Times New Roman" w:eastAsia="Times New Roman" w:hAnsi="Times New Roman"/>
                <w:sz w:val="11"/>
                <w:szCs w:val="11"/>
                <w:color w:val="auto"/>
                <w:w w:val="90"/>
              </w:rPr>
              <w:t>—</w:t>
            </w:r>
          </w:p>
        </w:tc>
        <w:tc>
          <w:tcPr>
            <w:tcW w:w="260" w:type="dxa"/>
            <w:vAlign w:val="bottom"/>
          </w:tcPr>
          <w:p>
            <w:pPr>
              <w:spacing w:after="0"/>
              <w:rPr>
                <w:sz w:val="14"/>
                <w:szCs w:val="14"/>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Telecommunications</w:t>
            </w:r>
          </w:p>
        </w:tc>
        <w:tc>
          <w:tcPr>
            <w:tcW w:w="1220" w:type="dxa"/>
            <w:vAlign w:val="bottom"/>
            <w:gridSpan w:val="3"/>
          </w:tcPr>
          <w:p>
            <w:pPr>
              <w:jc w:val="right"/>
              <w:ind w:right="120"/>
              <w:spacing w:after="0"/>
              <w:rPr>
                <w:sz w:val="20"/>
                <w:szCs w:val="20"/>
                <w:color w:val="auto"/>
              </w:rPr>
            </w:pPr>
            <w:r>
              <w:rPr>
                <w:rFonts w:ascii="Times New Roman" w:cs="Times New Roman" w:eastAsia="Times New Roman" w:hAnsi="Times New Roman"/>
                <w:sz w:val="11"/>
                <w:szCs w:val="11"/>
                <w:color w:val="auto"/>
              </w:rPr>
              <w:t>13.50 %</w:t>
            </w:r>
          </w:p>
        </w:tc>
        <w:tc>
          <w:tcPr>
            <w:tcW w:w="820" w:type="dxa"/>
            <w:vAlign w:val="bottom"/>
          </w:tcPr>
          <w:p>
            <w:pPr>
              <w:ind w:left="700"/>
              <w:spacing w:after="0"/>
              <w:rPr>
                <w:sz w:val="20"/>
                <w:szCs w:val="20"/>
                <w:color w:val="auto"/>
              </w:rPr>
            </w:pPr>
            <w:r>
              <w:rPr>
                <w:rFonts w:ascii="Times New Roman" w:cs="Times New Roman" w:eastAsia="Times New Roman" w:hAnsi="Times New Roman"/>
                <w:sz w:val="11"/>
                <w:szCs w:val="11"/>
                <w:color w:val="auto"/>
                <w:w w:val="90"/>
              </w:rPr>
              <w:t>—</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1,047,317</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670</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22"/>
        </w:trPr>
        <w:tc>
          <w:tcPr>
            <w:tcW w:w="2860" w:type="dxa"/>
            <w:vAlign w:val="bottom"/>
          </w:tcPr>
          <w:p>
            <w:pPr>
              <w:ind w:left="20"/>
              <w:spacing w:after="0" w:line="110" w:lineRule="exact"/>
              <w:rPr>
                <w:sz w:val="20"/>
                <w:szCs w:val="20"/>
                <w:color w:val="auto"/>
              </w:rPr>
            </w:pPr>
            <w:r>
              <w:rPr>
                <w:rFonts w:ascii="Times New Roman" w:cs="Times New Roman" w:eastAsia="Times New Roman" w:hAnsi="Times New Roman"/>
                <w:sz w:val="11"/>
                <w:szCs w:val="11"/>
                <w:b w:val="1"/>
                <w:bCs w:val="1"/>
                <w:color w:val="auto"/>
              </w:rPr>
              <w:t>Total Preferred Equity</w:t>
            </w: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Borders>
              <w:top w:val="single" w:sz="8" w:color="auto"/>
              <w:bottom w:val="single" w:sz="8" w:color="auto"/>
            </w:tcBorders>
          </w:tcPr>
          <w:p>
            <w:pPr>
              <w:spacing w:after="0"/>
              <w:rPr>
                <w:sz w:val="10"/>
                <w:szCs w:val="10"/>
                <w:color w:val="auto"/>
              </w:rPr>
            </w:pPr>
          </w:p>
        </w:tc>
        <w:tc>
          <w:tcPr>
            <w:tcW w:w="600" w:type="dxa"/>
            <w:vAlign w:val="bottom"/>
            <w:tcBorders>
              <w:top w:val="single" w:sz="8" w:color="auto"/>
              <w:bottom w:val="single" w:sz="8" w:color="auto"/>
            </w:tcBorders>
          </w:tcPr>
          <w:p>
            <w:pPr>
              <w:jc w:val="right"/>
              <w:spacing w:after="0" w:line="110" w:lineRule="exact"/>
              <w:rPr>
                <w:sz w:val="20"/>
                <w:szCs w:val="20"/>
                <w:color w:val="auto"/>
              </w:rPr>
            </w:pPr>
            <w:r>
              <w:rPr>
                <w:rFonts w:ascii="Times New Roman" w:cs="Times New Roman" w:eastAsia="Times New Roman" w:hAnsi="Times New Roman"/>
                <w:sz w:val="11"/>
                <w:szCs w:val="11"/>
                <w:color w:val="auto"/>
              </w:rPr>
              <w:t>8,859</w:t>
            </w:r>
          </w:p>
        </w:tc>
        <w:tc>
          <w:tcPr>
            <w:tcW w:w="220" w:type="dxa"/>
            <w:vAlign w:val="bottom"/>
          </w:tcPr>
          <w:p>
            <w:pPr>
              <w:spacing w:after="0"/>
              <w:rPr>
                <w:sz w:val="10"/>
                <w:szCs w:val="10"/>
                <w:color w:val="auto"/>
              </w:rPr>
            </w:pPr>
          </w:p>
        </w:tc>
        <w:tc>
          <w:tcPr>
            <w:tcW w:w="80" w:type="dxa"/>
            <w:vAlign w:val="bottom"/>
            <w:tcBorders>
              <w:top w:val="single" w:sz="8" w:color="auto"/>
              <w:bottom w:val="single" w:sz="8" w:color="auto"/>
            </w:tcBorders>
          </w:tcPr>
          <w:p>
            <w:pPr>
              <w:spacing w:after="0"/>
              <w:rPr>
                <w:sz w:val="10"/>
                <w:szCs w:val="10"/>
                <w:color w:val="auto"/>
              </w:rPr>
            </w:pPr>
          </w:p>
        </w:tc>
        <w:tc>
          <w:tcPr>
            <w:tcW w:w="720" w:type="dxa"/>
            <w:vAlign w:val="bottom"/>
            <w:tcBorders>
              <w:top w:val="single" w:sz="8" w:color="auto"/>
              <w:bottom w:val="single" w:sz="8" w:color="auto"/>
            </w:tcBorders>
          </w:tcPr>
          <w:p>
            <w:pPr>
              <w:jc w:val="right"/>
              <w:spacing w:after="0" w:line="110" w:lineRule="exact"/>
              <w:rPr>
                <w:sz w:val="20"/>
                <w:szCs w:val="20"/>
                <w:color w:val="auto"/>
              </w:rPr>
            </w:pPr>
            <w:r>
              <w:rPr>
                <w:rFonts w:ascii="Times New Roman" w:cs="Times New Roman" w:eastAsia="Times New Roman" w:hAnsi="Times New Roman"/>
                <w:sz w:val="11"/>
                <w:szCs w:val="11"/>
                <w:color w:val="auto"/>
              </w:rPr>
              <w:t>8,446</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3"/>
        </w:trPr>
        <w:tc>
          <w:tcPr>
            <w:tcW w:w="2860" w:type="dxa"/>
            <w:vAlign w:val="bottom"/>
          </w:tcPr>
          <w:p>
            <w:pPr>
              <w:ind w:left="20"/>
              <w:spacing w:after="0" w:line="103" w:lineRule="exact"/>
              <w:rPr>
                <w:sz w:val="20"/>
                <w:szCs w:val="20"/>
                <w:color w:val="auto"/>
              </w:rPr>
            </w:pPr>
            <w:r>
              <w:rPr>
                <w:rFonts w:ascii="Times New Roman" w:cs="Times New Roman" w:eastAsia="Times New Roman" w:hAnsi="Times New Roman"/>
                <w:sz w:val="9"/>
                <w:szCs w:val="9"/>
                <w:b w:val="1"/>
                <w:bCs w:val="1"/>
                <w:color w:val="auto"/>
              </w:rPr>
              <w:t xml:space="preserve">Common Equity/Warrants— 18.1% </w:t>
            </w:r>
            <w:r>
              <w:rPr>
                <w:rFonts w:ascii="Times New Roman" w:cs="Times New Roman" w:eastAsia="Times New Roman" w:hAnsi="Times New Roman"/>
                <w:sz w:val="11"/>
                <w:szCs w:val="11"/>
                <w:b w:val="1"/>
                <w:bCs w:val="1"/>
                <w:color w:val="auto"/>
                <w:vertAlign w:val="superscript"/>
              </w:rPr>
              <w:t>(6)</w:t>
            </w:r>
          </w:p>
        </w:tc>
        <w:tc>
          <w:tcPr>
            <w:tcW w:w="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6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286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Ad.net Holdings, Inc. </w:t>
            </w:r>
            <w:r>
              <w:rPr>
                <w:rFonts w:ascii="Times New Roman" w:cs="Times New Roman" w:eastAsia="Times New Roman" w:hAnsi="Times New Roman"/>
                <w:sz w:val="14"/>
                <w:szCs w:val="14"/>
                <w:color w:val="auto"/>
                <w:vertAlign w:val="superscript"/>
              </w:rPr>
              <w:t>(7),(8)</w:t>
            </w:r>
          </w:p>
        </w:tc>
        <w:tc>
          <w:tcPr>
            <w:tcW w:w="140" w:type="dxa"/>
            <w:vAlign w:val="bottom"/>
          </w:tcPr>
          <w:p>
            <w:pPr>
              <w:spacing w:after="0"/>
              <w:rPr>
                <w:sz w:val="11"/>
                <w:szCs w:val="11"/>
                <w:color w:val="auto"/>
              </w:rPr>
            </w:pPr>
          </w:p>
        </w:tc>
        <w:tc>
          <w:tcPr>
            <w:tcW w:w="740" w:type="dxa"/>
            <w:vAlign w:val="bottom"/>
          </w:tcPr>
          <w:p>
            <w:pPr>
              <w:ind w:left="620"/>
              <w:spacing w:after="0"/>
              <w:rPr>
                <w:sz w:val="20"/>
                <w:szCs w:val="20"/>
                <w:color w:val="auto"/>
              </w:rPr>
            </w:pPr>
            <w:r>
              <w:rPr>
                <w:rFonts w:ascii="Times New Roman" w:cs="Times New Roman" w:eastAsia="Times New Roman" w:hAnsi="Times New Roman"/>
                <w:sz w:val="11"/>
                <w:szCs w:val="11"/>
                <w:color w:val="auto"/>
                <w:w w:val="90"/>
              </w:rPr>
              <w:t>—</w:t>
            </w:r>
          </w:p>
        </w:tc>
        <w:tc>
          <w:tcPr>
            <w:tcW w:w="260" w:type="dxa"/>
            <w:vAlign w:val="bottom"/>
          </w:tcPr>
          <w:p>
            <w:pPr>
              <w:spacing w:after="0"/>
              <w:rPr>
                <w:sz w:val="11"/>
                <w:szCs w:val="11"/>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Media</w:t>
            </w:r>
          </w:p>
        </w:tc>
        <w:tc>
          <w:tcPr>
            <w:tcW w:w="140" w:type="dxa"/>
            <w:vAlign w:val="bottom"/>
          </w:tcPr>
          <w:p>
            <w:pPr>
              <w:spacing w:after="0"/>
              <w:rPr>
                <w:sz w:val="11"/>
                <w:szCs w:val="11"/>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tcPr>
          <w:p>
            <w:pPr>
              <w:ind w:left="700"/>
              <w:spacing w:after="0"/>
              <w:rPr>
                <w:sz w:val="20"/>
                <w:szCs w:val="20"/>
                <w:color w:val="auto"/>
              </w:rPr>
            </w:pPr>
            <w:r>
              <w:rPr>
                <w:rFonts w:ascii="Times New Roman" w:cs="Times New Roman" w:eastAsia="Times New Roman" w:hAnsi="Times New Roman"/>
                <w:sz w:val="11"/>
                <w:szCs w:val="11"/>
                <w:color w:val="auto"/>
                <w:w w:val="90"/>
              </w:rPr>
              <w:t>—</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7,467</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75</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98</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6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Affinion Group Holdings, Inc. (Warrants)</w:t>
            </w:r>
            <w:r>
              <w:rPr>
                <w:rFonts w:ascii="Times New Roman" w:cs="Times New Roman" w:eastAsia="Times New Roman" w:hAnsi="Times New Roman"/>
                <w:sz w:val="14"/>
                <w:szCs w:val="14"/>
                <w:color w:val="auto"/>
                <w:vertAlign w:val="superscript"/>
              </w:rPr>
              <w:t>(7)</w:t>
            </w:r>
          </w:p>
        </w:tc>
        <w:tc>
          <w:tcPr>
            <w:tcW w:w="880" w:type="dxa"/>
            <w:vAlign w:val="bottom"/>
            <w:gridSpan w:val="2"/>
          </w:tcPr>
          <w:p>
            <w:pPr>
              <w:jc w:val="right"/>
              <w:ind w:right="86"/>
              <w:spacing w:after="0"/>
              <w:rPr>
                <w:sz w:val="20"/>
                <w:szCs w:val="20"/>
                <w:color w:val="auto"/>
              </w:rPr>
            </w:pPr>
            <w:r>
              <w:rPr>
                <w:rFonts w:ascii="Times New Roman" w:cs="Times New Roman" w:eastAsia="Times New Roman" w:hAnsi="Times New Roman"/>
                <w:sz w:val="11"/>
                <w:szCs w:val="11"/>
                <w:color w:val="auto"/>
              </w:rPr>
              <w:t>04/10/2024</w:t>
            </w:r>
          </w:p>
        </w:tc>
        <w:tc>
          <w:tcPr>
            <w:tcW w:w="260" w:type="dxa"/>
            <w:vAlign w:val="bottom"/>
          </w:tcPr>
          <w:p>
            <w:pPr>
              <w:spacing w:after="0"/>
              <w:rPr>
                <w:sz w:val="11"/>
                <w:szCs w:val="11"/>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Consumer Goods: Durable</w:t>
            </w:r>
          </w:p>
        </w:tc>
        <w:tc>
          <w:tcPr>
            <w:tcW w:w="140" w:type="dxa"/>
            <w:vAlign w:val="bottom"/>
          </w:tcPr>
          <w:p>
            <w:pPr>
              <w:spacing w:after="0"/>
              <w:rPr>
                <w:sz w:val="11"/>
                <w:szCs w:val="11"/>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tcPr>
          <w:p>
            <w:pPr>
              <w:ind w:left="700"/>
              <w:spacing w:after="0"/>
              <w:rPr>
                <w:sz w:val="20"/>
                <w:szCs w:val="20"/>
                <w:color w:val="auto"/>
              </w:rPr>
            </w:pPr>
            <w:r>
              <w:rPr>
                <w:rFonts w:ascii="Times New Roman" w:cs="Times New Roman" w:eastAsia="Times New Roman" w:hAnsi="Times New Roman"/>
                <w:sz w:val="11"/>
                <w:szCs w:val="11"/>
                <w:color w:val="auto"/>
                <w:w w:val="90"/>
              </w:rPr>
              <w:t>—</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8,893</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245</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35"/>
        </w:trPr>
        <w:tc>
          <w:tcPr>
            <w:tcW w:w="286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AG Investco LP </w:t>
            </w:r>
            <w:r>
              <w:rPr>
                <w:rFonts w:ascii="Times New Roman" w:cs="Times New Roman" w:eastAsia="Times New Roman" w:hAnsi="Times New Roman"/>
                <w:sz w:val="14"/>
                <w:szCs w:val="14"/>
                <w:color w:val="auto"/>
                <w:vertAlign w:val="superscript"/>
              </w:rPr>
              <w:t>(7), (8)</w:t>
            </w:r>
          </w:p>
        </w:tc>
        <w:tc>
          <w:tcPr>
            <w:tcW w:w="140" w:type="dxa"/>
            <w:vAlign w:val="bottom"/>
          </w:tcPr>
          <w:p>
            <w:pPr>
              <w:spacing w:after="0"/>
              <w:rPr>
                <w:sz w:val="11"/>
                <w:szCs w:val="11"/>
                <w:color w:val="auto"/>
              </w:rPr>
            </w:pPr>
          </w:p>
        </w:tc>
        <w:tc>
          <w:tcPr>
            <w:tcW w:w="740" w:type="dxa"/>
            <w:vAlign w:val="bottom"/>
          </w:tcPr>
          <w:p>
            <w:pPr>
              <w:ind w:left="620"/>
              <w:spacing w:after="0"/>
              <w:rPr>
                <w:sz w:val="20"/>
                <w:szCs w:val="20"/>
                <w:color w:val="auto"/>
              </w:rPr>
            </w:pPr>
            <w:r>
              <w:rPr>
                <w:rFonts w:ascii="Times New Roman" w:cs="Times New Roman" w:eastAsia="Times New Roman" w:hAnsi="Times New Roman"/>
                <w:sz w:val="11"/>
                <w:szCs w:val="11"/>
                <w:color w:val="auto"/>
                <w:w w:val="90"/>
              </w:rPr>
              <w:t>—</w:t>
            </w:r>
          </w:p>
        </w:tc>
        <w:tc>
          <w:tcPr>
            <w:tcW w:w="260" w:type="dxa"/>
            <w:vAlign w:val="bottom"/>
          </w:tcPr>
          <w:p>
            <w:pPr>
              <w:spacing w:after="0"/>
              <w:rPr>
                <w:sz w:val="11"/>
                <w:szCs w:val="11"/>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Software</w:t>
            </w:r>
          </w:p>
        </w:tc>
        <w:tc>
          <w:tcPr>
            <w:tcW w:w="140" w:type="dxa"/>
            <w:vAlign w:val="bottom"/>
          </w:tcPr>
          <w:p>
            <w:pPr>
              <w:spacing w:after="0"/>
              <w:rPr>
                <w:sz w:val="11"/>
                <w:szCs w:val="11"/>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tcPr>
          <w:p>
            <w:pPr>
              <w:ind w:left="700"/>
              <w:spacing w:after="0"/>
              <w:rPr>
                <w:sz w:val="20"/>
                <w:szCs w:val="20"/>
                <w:color w:val="auto"/>
              </w:rPr>
            </w:pPr>
            <w:r>
              <w:rPr>
                <w:rFonts w:ascii="Times New Roman" w:cs="Times New Roman" w:eastAsia="Times New Roman" w:hAnsi="Times New Roman"/>
                <w:sz w:val="11"/>
                <w:szCs w:val="11"/>
                <w:color w:val="auto"/>
                <w:w w:val="90"/>
              </w:rPr>
              <w:t>—</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805,164</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805</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1,127</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6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AG Investco LP </w:t>
            </w:r>
            <w:r>
              <w:rPr>
                <w:rFonts w:ascii="Times New Roman" w:cs="Times New Roman" w:eastAsia="Times New Roman" w:hAnsi="Times New Roman"/>
                <w:sz w:val="14"/>
                <w:szCs w:val="14"/>
                <w:color w:val="auto"/>
                <w:vertAlign w:val="superscript"/>
              </w:rPr>
              <w:t>(7), (8), (9)</w:t>
            </w:r>
          </w:p>
        </w:tc>
        <w:tc>
          <w:tcPr>
            <w:tcW w:w="140" w:type="dxa"/>
            <w:vAlign w:val="bottom"/>
          </w:tcPr>
          <w:p>
            <w:pPr>
              <w:spacing w:after="0"/>
              <w:rPr>
                <w:sz w:val="11"/>
                <w:szCs w:val="11"/>
                <w:color w:val="auto"/>
              </w:rPr>
            </w:pPr>
          </w:p>
        </w:tc>
        <w:tc>
          <w:tcPr>
            <w:tcW w:w="740" w:type="dxa"/>
            <w:vAlign w:val="bottom"/>
          </w:tcPr>
          <w:p>
            <w:pPr>
              <w:ind w:left="620"/>
              <w:spacing w:after="0"/>
              <w:rPr>
                <w:sz w:val="20"/>
                <w:szCs w:val="20"/>
                <w:color w:val="auto"/>
              </w:rPr>
            </w:pPr>
            <w:r>
              <w:rPr>
                <w:rFonts w:ascii="Times New Roman" w:cs="Times New Roman" w:eastAsia="Times New Roman" w:hAnsi="Times New Roman"/>
                <w:sz w:val="11"/>
                <w:szCs w:val="11"/>
                <w:color w:val="auto"/>
                <w:w w:val="90"/>
              </w:rPr>
              <w:t>—</w:t>
            </w:r>
          </w:p>
        </w:tc>
        <w:tc>
          <w:tcPr>
            <w:tcW w:w="260" w:type="dxa"/>
            <w:vAlign w:val="bottom"/>
          </w:tcPr>
          <w:p>
            <w:pPr>
              <w:spacing w:after="0"/>
              <w:rPr>
                <w:sz w:val="11"/>
                <w:szCs w:val="11"/>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Software</w:t>
            </w:r>
          </w:p>
        </w:tc>
        <w:tc>
          <w:tcPr>
            <w:tcW w:w="140" w:type="dxa"/>
            <w:vAlign w:val="bottom"/>
          </w:tcPr>
          <w:p>
            <w:pPr>
              <w:spacing w:after="0"/>
              <w:rPr>
                <w:sz w:val="11"/>
                <w:szCs w:val="11"/>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tcPr>
          <w:p>
            <w:pPr>
              <w:ind w:left="700"/>
              <w:spacing w:after="0"/>
              <w:rPr>
                <w:sz w:val="20"/>
                <w:szCs w:val="20"/>
                <w:color w:val="auto"/>
              </w:rPr>
            </w:pPr>
            <w:r>
              <w:rPr>
                <w:rFonts w:ascii="Times New Roman" w:cs="Times New Roman" w:eastAsia="Times New Roman" w:hAnsi="Times New Roman"/>
                <w:sz w:val="11"/>
                <w:szCs w:val="11"/>
                <w:color w:val="auto"/>
                <w:w w:val="90"/>
              </w:rPr>
              <w:t>—</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194,836</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35"/>
        </w:trPr>
        <w:tc>
          <w:tcPr>
            <w:tcW w:w="286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Altamira Intermediate Company II, Inc. </w:t>
            </w:r>
            <w:r>
              <w:rPr>
                <w:rFonts w:ascii="Times New Roman" w:cs="Times New Roman" w:eastAsia="Times New Roman" w:hAnsi="Times New Roman"/>
                <w:sz w:val="14"/>
                <w:szCs w:val="14"/>
                <w:color w:val="auto"/>
                <w:vertAlign w:val="superscript"/>
              </w:rPr>
              <w:t>(7)</w:t>
            </w:r>
          </w:p>
        </w:tc>
        <w:tc>
          <w:tcPr>
            <w:tcW w:w="140" w:type="dxa"/>
            <w:vAlign w:val="bottom"/>
          </w:tcPr>
          <w:p>
            <w:pPr>
              <w:spacing w:after="0"/>
              <w:rPr>
                <w:sz w:val="11"/>
                <w:szCs w:val="11"/>
                <w:color w:val="auto"/>
              </w:rPr>
            </w:pPr>
          </w:p>
        </w:tc>
        <w:tc>
          <w:tcPr>
            <w:tcW w:w="740" w:type="dxa"/>
            <w:vAlign w:val="bottom"/>
          </w:tcPr>
          <w:p>
            <w:pPr>
              <w:ind w:left="620"/>
              <w:spacing w:after="0"/>
              <w:rPr>
                <w:sz w:val="20"/>
                <w:szCs w:val="20"/>
                <w:color w:val="auto"/>
              </w:rPr>
            </w:pPr>
            <w:r>
              <w:rPr>
                <w:rFonts w:ascii="Times New Roman" w:cs="Times New Roman" w:eastAsia="Times New Roman" w:hAnsi="Times New Roman"/>
                <w:sz w:val="11"/>
                <w:szCs w:val="11"/>
                <w:color w:val="auto"/>
                <w:w w:val="90"/>
              </w:rPr>
              <w:t>—</w:t>
            </w:r>
          </w:p>
        </w:tc>
        <w:tc>
          <w:tcPr>
            <w:tcW w:w="260" w:type="dxa"/>
            <w:vAlign w:val="bottom"/>
          </w:tcPr>
          <w:p>
            <w:pPr>
              <w:spacing w:after="0"/>
              <w:rPr>
                <w:sz w:val="11"/>
                <w:szCs w:val="11"/>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IT Services</w:t>
            </w:r>
          </w:p>
        </w:tc>
        <w:tc>
          <w:tcPr>
            <w:tcW w:w="140" w:type="dxa"/>
            <w:vAlign w:val="bottom"/>
          </w:tcPr>
          <w:p>
            <w:pPr>
              <w:spacing w:after="0"/>
              <w:rPr>
                <w:sz w:val="11"/>
                <w:szCs w:val="11"/>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tcPr>
          <w:p>
            <w:pPr>
              <w:ind w:left="700"/>
              <w:spacing w:after="0"/>
              <w:rPr>
                <w:sz w:val="20"/>
                <w:szCs w:val="20"/>
                <w:color w:val="auto"/>
              </w:rPr>
            </w:pPr>
            <w:r>
              <w:rPr>
                <w:rFonts w:ascii="Times New Roman" w:cs="Times New Roman" w:eastAsia="Times New Roman" w:hAnsi="Times New Roman"/>
                <w:sz w:val="11"/>
                <w:szCs w:val="11"/>
                <w:color w:val="auto"/>
                <w:w w:val="90"/>
              </w:rPr>
              <w:t>—</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1,437,500</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1,438</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906</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860" w:type="dxa"/>
            <w:vAlign w:val="bottom"/>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Anteriad Holdings, LP (f/k/a MeritDirect Holdings, LP) </w:t>
            </w:r>
            <w:r>
              <w:rPr>
                <w:rFonts w:ascii="Times New Roman" w:cs="Times New Roman" w:eastAsia="Times New Roman" w:hAnsi="Times New Roman"/>
                <w:sz w:val="14"/>
                <w:szCs w:val="14"/>
                <w:color w:val="auto"/>
                <w:vertAlign w:val="superscript"/>
              </w:rPr>
              <w:t>(7), (8)</w:t>
            </w:r>
          </w:p>
        </w:tc>
        <w:tc>
          <w:tcPr>
            <w:tcW w:w="140" w:type="dxa"/>
            <w:vAlign w:val="bottom"/>
          </w:tcPr>
          <w:p>
            <w:pPr>
              <w:spacing w:after="0"/>
              <w:rPr>
                <w:sz w:val="13"/>
                <w:szCs w:val="13"/>
                <w:color w:val="auto"/>
              </w:rPr>
            </w:pPr>
          </w:p>
        </w:tc>
        <w:tc>
          <w:tcPr>
            <w:tcW w:w="740" w:type="dxa"/>
            <w:vAlign w:val="bottom"/>
          </w:tcPr>
          <w:p>
            <w:pPr>
              <w:ind w:left="620"/>
              <w:spacing w:after="0"/>
              <w:rPr>
                <w:sz w:val="20"/>
                <w:szCs w:val="20"/>
                <w:color w:val="auto"/>
              </w:rPr>
            </w:pPr>
            <w:r>
              <w:rPr>
                <w:rFonts w:ascii="Times New Roman" w:cs="Times New Roman" w:eastAsia="Times New Roman" w:hAnsi="Times New Roman"/>
                <w:sz w:val="11"/>
                <w:szCs w:val="11"/>
                <w:color w:val="auto"/>
                <w:w w:val="90"/>
              </w:rPr>
              <w:t>—</w:t>
            </w:r>
          </w:p>
        </w:tc>
        <w:tc>
          <w:tcPr>
            <w:tcW w:w="260" w:type="dxa"/>
            <w:vAlign w:val="bottom"/>
          </w:tcPr>
          <w:p>
            <w:pPr>
              <w:spacing w:after="0"/>
              <w:rPr>
                <w:sz w:val="13"/>
                <w:szCs w:val="13"/>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Media</w:t>
            </w:r>
          </w:p>
        </w:tc>
        <w:tc>
          <w:tcPr>
            <w:tcW w:w="140" w:type="dxa"/>
            <w:vAlign w:val="bottom"/>
          </w:tcPr>
          <w:p>
            <w:pPr>
              <w:spacing w:after="0"/>
              <w:rPr>
                <w:sz w:val="13"/>
                <w:szCs w:val="13"/>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tcPr>
          <w:p>
            <w:pPr>
              <w:ind w:left="700"/>
              <w:spacing w:after="0"/>
              <w:rPr>
                <w:sz w:val="20"/>
                <w:szCs w:val="20"/>
                <w:color w:val="auto"/>
              </w:rPr>
            </w:pPr>
            <w:r>
              <w:rPr>
                <w:rFonts w:ascii="Times New Roman" w:cs="Times New Roman" w:eastAsia="Times New Roman" w:hAnsi="Times New Roman"/>
                <w:sz w:val="11"/>
                <w:szCs w:val="11"/>
                <w:color w:val="auto"/>
                <w:w w:val="90"/>
              </w:rPr>
              <w:t>—</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2,018</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480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8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Athletico Holdings, LLC</w:t>
            </w:r>
          </w:p>
        </w:tc>
        <w:tc>
          <w:tcPr>
            <w:tcW w:w="140" w:type="dxa"/>
            <w:vAlign w:val="bottom"/>
          </w:tcPr>
          <w:p>
            <w:pPr>
              <w:spacing w:after="0"/>
              <w:rPr>
                <w:sz w:val="11"/>
                <w:szCs w:val="11"/>
                <w:color w:val="auto"/>
              </w:rPr>
            </w:pPr>
          </w:p>
        </w:tc>
        <w:tc>
          <w:tcPr>
            <w:tcW w:w="740" w:type="dxa"/>
            <w:vAlign w:val="bottom"/>
          </w:tcPr>
          <w:p>
            <w:pPr>
              <w:ind w:left="620"/>
              <w:spacing w:after="0"/>
              <w:rPr>
                <w:sz w:val="20"/>
                <w:szCs w:val="20"/>
                <w:color w:val="auto"/>
              </w:rPr>
            </w:pPr>
            <w:r>
              <w:rPr>
                <w:rFonts w:ascii="Times New Roman" w:cs="Times New Roman" w:eastAsia="Times New Roman" w:hAnsi="Times New Roman"/>
                <w:sz w:val="11"/>
                <w:szCs w:val="11"/>
                <w:color w:val="auto"/>
                <w:w w:val="90"/>
              </w:rPr>
              <w:t>—</w:t>
            </w:r>
          </w:p>
        </w:tc>
        <w:tc>
          <w:tcPr>
            <w:tcW w:w="260" w:type="dxa"/>
            <w:vAlign w:val="bottom"/>
          </w:tcPr>
          <w:p>
            <w:pPr>
              <w:spacing w:after="0"/>
              <w:rPr>
                <w:sz w:val="11"/>
                <w:szCs w:val="11"/>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Healthcare Providers and Services</w:t>
            </w:r>
          </w:p>
        </w:tc>
        <w:tc>
          <w:tcPr>
            <w:tcW w:w="140" w:type="dxa"/>
            <w:vAlign w:val="bottom"/>
          </w:tcPr>
          <w:p>
            <w:pPr>
              <w:spacing w:after="0"/>
              <w:rPr>
                <w:sz w:val="11"/>
                <w:szCs w:val="11"/>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tcPr>
          <w:p>
            <w:pPr>
              <w:ind w:left="700"/>
              <w:spacing w:after="0"/>
              <w:rPr>
                <w:sz w:val="20"/>
                <w:szCs w:val="20"/>
                <w:color w:val="auto"/>
              </w:rPr>
            </w:pPr>
            <w:r>
              <w:rPr>
                <w:rFonts w:ascii="Times New Roman" w:cs="Times New Roman" w:eastAsia="Times New Roman" w:hAnsi="Times New Roman"/>
                <w:sz w:val="11"/>
                <w:szCs w:val="11"/>
                <w:color w:val="auto"/>
                <w:w w:val="90"/>
              </w:rPr>
              <w:t>—</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4,678</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5,000</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4,758</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2860" w:type="dxa"/>
            <w:vAlign w:val="bottom"/>
          </w:tcPr>
          <w:p>
            <w:pPr>
              <w:ind w:left="20"/>
              <w:spacing w:after="0" w:line="117" w:lineRule="exact"/>
              <w:rPr>
                <w:sz w:val="20"/>
                <w:szCs w:val="20"/>
                <w:color w:val="auto"/>
              </w:rPr>
            </w:pPr>
            <w:r>
              <w:rPr>
                <w:rFonts w:ascii="Times New Roman" w:cs="Times New Roman" w:eastAsia="Times New Roman" w:hAnsi="Times New Roman"/>
                <w:sz w:val="11"/>
                <w:szCs w:val="11"/>
                <w:color w:val="auto"/>
              </w:rPr>
              <w:t>Burgess Point Holdings, LP</w:t>
            </w:r>
          </w:p>
        </w:tc>
        <w:tc>
          <w:tcPr>
            <w:tcW w:w="140" w:type="dxa"/>
            <w:vAlign w:val="bottom"/>
          </w:tcPr>
          <w:p>
            <w:pPr>
              <w:spacing w:after="0"/>
              <w:rPr>
                <w:sz w:val="10"/>
                <w:szCs w:val="10"/>
                <w:color w:val="auto"/>
              </w:rPr>
            </w:pPr>
          </w:p>
        </w:tc>
        <w:tc>
          <w:tcPr>
            <w:tcW w:w="740" w:type="dxa"/>
            <w:vAlign w:val="bottom"/>
          </w:tcPr>
          <w:p>
            <w:pPr>
              <w:ind w:left="620"/>
              <w:spacing w:after="0" w:line="117" w:lineRule="exact"/>
              <w:rPr>
                <w:sz w:val="20"/>
                <w:szCs w:val="20"/>
                <w:color w:val="auto"/>
              </w:rPr>
            </w:pPr>
            <w:r>
              <w:rPr>
                <w:rFonts w:ascii="Times New Roman" w:cs="Times New Roman" w:eastAsia="Times New Roman" w:hAnsi="Times New Roman"/>
                <w:sz w:val="11"/>
                <w:szCs w:val="11"/>
                <w:color w:val="auto"/>
                <w:w w:val="90"/>
              </w:rPr>
              <w:t>—</w:t>
            </w:r>
          </w:p>
        </w:tc>
        <w:tc>
          <w:tcPr>
            <w:tcW w:w="260" w:type="dxa"/>
            <w:vAlign w:val="bottom"/>
          </w:tcPr>
          <w:p>
            <w:pPr>
              <w:spacing w:after="0"/>
              <w:rPr>
                <w:sz w:val="10"/>
                <w:szCs w:val="10"/>
                <w:color w:val="auto"/>
              </w:rPr>
            </w:pPr>
          </w:p>
        </w:tc>
        <w:tc>
          <w:tcPr>
            <w:tcW w:w="202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color w:val="auto"/>
                <w:w w:val="99"/>
              </w:rPr>
              <w:t>Auto Components</w:t>
            </w:r>
          </w:p>
        </w:tc>
        <w:tc>
          <w:tcPr>
            <w:tcW w:w="140" w:type="dxa"/>
            <w:vAlign w:val="bottom"/>
          </w:tcPr>
          <w:p>
            <w:pPr>
              <w:spacing w:after="0"/>
              <w:rPr>
                <w:sz w:val="10"/>
                <w:szCs w:val="10"/>
                <w:color w:val="auto"/>
              </w:rPr>
            </w:pPr>
          </w:p>
        </w:tc>
        <w:tc>
          <w:tcPr>
            <w:tcW w:w="1080" w:type="dxa"/>
            <w:vAlign w:val="bottom"/>
            <w:gridSpan w:val="2"/>
          </w:tcPr>
          <w:p>
            <w:pPr>
              <w:jc w:val="right"/>
              <w:ind w:right="240"/>
              <w:spacing w:after="0" w:line="117" w:lineRule="exact"/>
              <w:rPr>
                <w:sz w:val="20"/>
                <w:szCs w:val="20"/>
                <w:color w:val="auto"/>
              </w:rPr>
            </w:pPr>
            <w:r>
              <w:rPr>
                <w:rFonts w:ascii="Times New Roman" w:cs="Times New Roman" w:eastAsia="Times New Roman" w:hAnsi="Times New Roman"/>
                <w:sz w:val="11"/>
                <w:szCs w:val="11"/>
                <w:color w:val="auto"/>
              </w:rPr>
              <w:t>—</w:t>
            </w:r>
          </w:p>
        </w:tc>
        <w:tc>
          <w:tcPr>
            <w:tcW w:w="820" w:type="dxa"/>
            <w:vAlign w:val="bottom"/>
          </w:tcPr>
          <w:p>
            <w:pPr>
              <w:ind w:left="700"/>
              <w:spacing w:after="0" w:line="117" w:lineRule="exact"/>
              <w:rPr>
                <w:sz w:val="20"/>
                <w:szCs w:val="20"/>
                <w:color w:val="auto"/>
              </w:rPr>
            </w:pPr>
            <w:r>
              <w:rPr>
                <w:rFonts w:ascii="Times New Roman" w:cs="Times New Roman" w:eastAsia="Times New Roman" w:hAnsi="Times New Roman"/>
                <w:sz w:val="11"/>
                <w:szCs w:val="11"/>
                <w:color w:val="auto"/>
                <w:w w:val="90"/>
              </w:rPr>
              <w:t>—</w:t>
            </w:r>
          </w:p>
        </w:tc>
        <w:tc>
          <w:tcPr>
            <w:tcW w:w="106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1"/>
                <w:szCs w:val="11"/>
                <w:color w:val="auto"/>
              </w:rPr>
              <w:t>100</w:t>
            </w: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100</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101</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86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By Light Investco LP </w:t>
            </w:r>
            <w:r>
              <w:rPr>
                <w:rFonts w:ascii="Times New Roman" w:cs="Times New Roman" w:eastAsia="Times New Roman" w:hAnsi="Times New Roman"/>
                <w:sz w:val="14"/>
                <w:szCs w:val="14"/>
                <w:color w:val="auto"/>
                <w:vertAlign w:val="superscript"/>
              </w:rPr>
              <w:t>(7), (8)</w:t>
            </w:r>
          </w:p>
        </w:tc>
        <w:tc>
          <w:tcPr>
            <w:tcW w:w="140" w:type="dxa"/>
            <w:vAlign w:val="bottom"/>
          </w:tcPr>
          <w:p>
            <w:pPr>
              <w:spacing w:after="0"/>
              <w:rPr>
                <w:sz w:val="11"/>
                <w:szCs w:val="11"/>
                <w:color w:val="auto"/>
              </w:rPr>
            </w:pPr>
          </w:p>
        </w:tc>
        <w:tc>
          <w:tcPr>
            <w:tcW w:w="740" w:type="dxa"/>
            <w:vAlign w:val="bottom"/>
          </w:tcPr>
          <w:p>
            <w:pPr>
              <w:ind w:left="620"/>
              <w:spacing w:after="0"/>
              <w:rPr>
                <w:sz w:val="20"/>
                <w:szCs w:val="20"/>
                <w:color w:val="auto"/>
              </w:rPr>
            </w:pPr>
            <w:r>
              <w:rPr>
                <w:rFonts w:ascii="Times New Roman" w:cs="Times New Roman" w:eastAsia="Times New Roman" w:hAnsi="Times New Roman"/>
                <w:sz w:val="11"/>
                <w:szCs w:val="11"/>
                <w:color w:val="auto"/>
                <w:w w:val="90"/>
              </w:rPr>
              <w:t>—</w:t>
            </w:r>
          </w:p>
        </w:tc>
        <w:tc>
          <w:tcPr>
            <w:tcW w:w="260" w:type="dxa"/>
            <w:vAlign w:val="bottom"/>
          </w:tcPr>
          <w:p>
            <w:pPr>
              <w:spacing w:after="0"/>
              <w:rPr>
                <w:sz w:val="11"/>
                <w:szCs w:val="11"/>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6"/>
              </w:rPr>
              <w:t>High Tech Industries</w:t>
            </w:r>
          </w:p>
        </w:tc>
        <w:tc>
          <w:tcPr>
            <w:tcW w:w="140" w:type="dxa"/>
            <w:vAlign w:val="bottom"/>
          </w:tcPr>
          <w:p>
            <w:pPr>
              <w:spacing w:after="0"/>
              <w:rPr>
                <w:sz w:val="11"/>
                <w:szCs w:val="11"/>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tcPr>
          <w:p>
            <w:pPr>
              <w:ind w:left="700"/>
              <w:spacing w:after="0"/>
              <w:rPr>
                <w:sz w:val="20"/>
                <w:szCs w:val="20"/>
                <w:color w:val="auto"/>
              </w:rPr>
            </w:pPr>
            <w:r>
              <w:rPr>
                <w:rFonts w:ascii="Times New Roman" w:cs="Times New Roman" w:eastAsia="Times New Roman" w:hAnsi="Times New Roman"/>
                <w:sz w:val="11"/>
                <w:szCs w:val="11"/>
                <w:color w:val="auto"/>
                <w:w w:val="90"/>
              </w:rPr>
              <w:t>—</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22,090</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193</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18,085</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860" w:type="dxa"/>
            <w:vAlign w:val="bottom"/>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By Light Investco LP </w:t>
            </w:r>
            <w:r>
              <w:rPr>
                <w:rFonts w:ascii="Times New Roman" w:cs="Times New Roman" w:eastAsia="Times New Roman" w:hAnsi="Times New Roman"/>
                <w:sz w:val="14"/>
                <w:szCs w:val="14"/>
                <w:color w:val="auto"/>
                <w:vertAlign w:val="superscript"/>
              </w:rPr>
              <w:t>(7), (8), (9)</w:t>
            </w:r>
          </w:p>
        </w:tc>
        <w:tc>
          <w:tcPr>
            <w:tcW w:w="140" w:type="dxa"/>
            <w:vAlign w:val="bottom"/>
          </w:tcPr>
          <w:p>
            <w:pPr>
              <w:spacing w:after="0"/>
              <w:rPr>
                <w:sz w:val="13"/>
                <w:szCs w:val="13"/>
                <w:color w:val="auto"/>
              </w:rPr>
            </w:pPr>
          </w:p>
        </w:tc>
        <w:tc>
          <w:tcPr>
            <w:tcW w:w="740" w:type="dxa"/>
            <w:vAlign w:val="bottom"/>
          </w:tcPr>
          <w:p>
            <w:pPr>
              <w:ind w:left="620"/>
              <w:spacing w:after="0"/>
              <w:rPr>
                <w:sz w:val="20"/>
                <w:szCs w:val="20"/>
                <w:color w:val="auto"/>
              </w:rPr>
            </w:pPr>
            <w:r>
              <w:rPr>
                <w:rFonts w:ascii="Times New Roman" w:cs="Times New Roman" w:eastAsia="Times New Roman" w:hAnsi="Times New Roman"/>
                <w:sz w:val="11"/>
                <w:szCs w:val="11"/>
                <w:color w:val="auto"/>
                <w:w w:val="90"/>
              </w:rPr>
              <w:t>—</w:t>
            </w:r>
          </w:p>
        </w:tc>
        <w:tc>
          <w:tcPr>
            <w:tcW w:w="260" w:type="dxa"/>
            <w:vAlign w:val="bottom"/>
          </w:tcPr>
          <w:p>
            <w:pPr>
              <w:spacing w:after="0"/>
              <w:rPr>
                <w:sz w:val="13"/>
                <w:szCs w:val="13"/>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6"/>
              </w:rPr>
              <w:t>High Tech Industries</w:t>
            </w:r>
          </w:p>
        </w:tc>
        <w:tc>
          <w:tcPr>
            <w:tcW w:w="140" w:type="dxa"/>
            <w:vAlign w:val="bottom"/>
          </w:tcPr>
          <w:p>
            <w:pPr>
              <w:spacing w:after="0"/>
              <w:rPr>
                <w:sz w:val="13"/>
                <w:szCs w:val="13"/>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tcPr>
          <w:p>
            <w:pPr>
              <w:ind w:left="700"/>
              <w:spacing w:after="0"/>
              <w:rPr>
                <w:sz w:val="20"/>
                <w:szCs w:val="20"/>
                <w:color w:val="auto"/>
              </w:rPr>
            </w:pPr>
            <w:r>
              <w:rPr>
                <w:rFonts w:ascii="Times New Roman" w:cs="Times New Roman" w:eastAsia="Times New Roman" w:hAnsi="Times New Roman"/>
                <w:sz w:val="11"/>
                <w:szCs w:val="11"/>
                <w:color w:val="auto"/>
                <w:w w:val="90"/>
              </w:rPr>
              <w:t>—</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3,223</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35"/>
        </w:trPr>
        <w:tc>
          <w:tcPr>
            <w:tcW w:w="28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Cartessa Aesthetics, LLC</w:t>
            </w:r>
          </w:p>
        </w:tc>
        <w:tc>
          <w:tcPr>
            <w:tcW w:w="140" w:type="dxa"/>
            <w:vAlign w:val="bottom"/>
          </w:tcPr>
          <w:p>
            <w:pPr>
              <w:spacing w:after="0"/>
              <w:rPr>
                <w:sz w:val="11"/>
                <w:szCs w:val="11"/>
                <w:color w:val="auto"/>
              </w:rPr>
            </w:pPr>
          </w:p>
        </w:tc>
        <w:tc>
          <w:tcPr>
            <w:tcW w:w="740" w:type="dxa"/>
            <w:vAlign w:val="bottom"/>
          </w:tcPr>
          <w:p>
            <w:pPr>
              <w:ind w:left="620"/>
              <w:spacing w:after="0"/>
              <w:rPr>
                <w:sz w:val="20"/>
                <w:szCs w:val="20"/>
                <w:color w:val="auto"/>
              </w:rPr>
            </w:pPr>
            <w:r>
              <w:rPr>
                <w:rFonts w:ascii="Times New Roman" w:cs="Times New Roman" w:eastAsia="Times New Roman" w:hAnsi="Times New Roman"/>
                <w:sz w:val="11"/>
                <w:szCs w:val="11"/>
                <w:color w:val="auto"/>
                <w:w w:val="90"/>
              </w:rPr>
              <w:t>—</w:t>
            </w:r>
          </w:p>
        </w:tc>
        <w:tc>
          <w:tcPr>
            <w:tcW w:w="260" w:type="dxa"/>
            <w:vAlign w:val="bottom"/>
          </w:tcPr>
          <w:p>
            <w:pPr>
              <w:spacing w:after="0"/>
              <w:rPr>
                <w:sz w:val="11"/>
                <w:szCs w:val="11"/>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Distributors</w:t>
            </w:r>
          </w:p>
        </w:tc>
        <w:tc>
          <w:tcPr>
            <w:tcW w:w="140" w:type="dxa"/>
            <w:vAlign w:val="bottom"/>
          </w:tcPr>
          <w:p>
            <w:pPr>
              <w:spacing w:after="0"/>
              <w:rPr>
                <w:sz w:val="11"/>
                <w:szCs w:val="11"/>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tcPr>
          <w:p>
            <w:pPr>
              <w:ind w:left="700"/>
              <w:spacing w:after="0"/>
              <w:rPr>
                <w:sz w:val="20"/>
                <w:szCs w:val="20"/>
                <w:color w:val="auto"/>
              </w:rPr>
            </w:pPr>
            <w:r>
              <w:rPr>
                <w:rFonts w:ascii="Times New Roman" w:cs="Times New Roman" w:eastAsia="Times New Roman" w:hAnsi="Times New Roman"/>
                <w:sz w:val="11"/>
                <w:szCs w:val="11"/>
                <w:color w:val="auto"/>
                <w:w w:val="90"/>
              </w:rPr>
              <w:t>—</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1,437,500</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1,438</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1,499</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2860" w:type="dxa"/>
            <w:vAlign w:val="bottom"/>
          </w:tcPr>
          <w:p>
            <w:pPr>
              <w:ind w:left="20"/>
              <w:spacing w:after="0" w:line="117" w:lineRule="exact"/>
              <w:rPr>
                <w:sz w:val="20"/>
                <w:szCs w:val="20"/>
                <w:color w:val="auto"/>
              </w:rPr>
            </w:pPr>
            <w:r>
              <w:rPr>
                <w:rFonts w:ascii="Times New Roman" w:cs="Times New Roman" w:eastAsia="Times New Roman" w:hAnsi="Times New Roman"/>
                <w:sz w:val="11"/>
                <w:szCs w:val="11"/>
                <w:color w:val="auto"/>
              </w:rPr>
              <w:t>CI (Allied) Investment Holdings, LLC</w:t>
            </w:r>
          </w:p>
        </w:tc>
        <w:tc>
          <w:tcPr>
            <w:tcW w:w="140" w:type="dxa"/>
            <w:vAlign w:val="bottom"/>
          </w:tcPr>
          <w:p>
            <w:pPr>
              <w:spacing w:after="0"/>
              <w:rPr>
                <w:sz w:val="10"/>
                <w:szCs w:val="10"/>
                <w:color w:val="auto"/>
              </w:rPr>
            </w:pPr>
          </w:p>
        </w:tc>
        <w:tc>
          <w:tcPr>
            <w:tcW w:w="740" w:type="dxa"/>
            <w:vAlign w:val="bottom"/>
          </w:tcPr>
          <w:p>
            <w:pPr>
              <w:ind w:left="620"/>
              <w:spacing w:after="0" w:line="117" w:lineRule="exact"/>
              <w:rPr>
                <w:sz w:val="20"/>
                <w:szCs w:val="20"/>
                <w:color w:val="auto"/>
              </w:rPr>
            </w:pPr>
            <w:r>
              <w:rPr>
                <w:rFonts w:ascii="Times New Roman" w:cs="Times New Roman" w:eastAsia="Times New Roman" w:hAnsi="Times New Roman"/>
                <w:sz w:val="11"/>
                <w:szCs w:val="11"/>
                <w:color w:val="auto"/>
                <w:w w:val="90"/>
              </w:rPr>
              <w:t>—</w:t>
            </w:r>
          </w:p>
        </w:tc>
        <w:tc>
          <w:tcPr>
            <w:tcW w:w="260" w:type="dxa"/>
            <w:vAlign w:val="bottom"/>
          </w:tcPr>
          <w:p>
            <w:pPr>
              <w:spacing w:after="0"/>
              <w:rPr>
                <w:sz w:val="10"/>
                <w:szCs w:val="10"/>
                <w:color w:val="auto"/>
              </w:rPr>
            </w:pPr>
          </w:p>
        </w:tc>
        <w:tc>
          <w:tcPr>
            <w:tcW w:w="202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color w:val="auto"/>
                <w:w w:val="98"/>
              </w:rPr>
              <w:t>Business Services</w:t>
            </w:r>
          </w:p>
        </w:tc>
        <w:tc>
          <w:tcPr>
            <w:tcW w:w="140" w:type="dxa"/>
            <w:vAlign w:val="bottom"/>
          </w:tcPr>
          <w:p>
            <w:pPr>
              <w:spacing w:after="0"/>
              <w:rPr>
                <w:sz w:val="10"/>
                <w:szCs w:val="10"/>
                <w:color w:val="auto"/>
              </w:rPr>
            </w:pPr>
          </w:p>
        </w:tc>
        <w:tc>
          <w:tcPr>
            <w:tcW w:w="1080" w:type="dxa"/>
            <w:vAlign w:val="bottom"/>
            <w:gridSpan w:val="2"/>
          </w:tcPr>
          <w:p>
            <w:pPr>
              <w:jc w:val="right"/>
              <w:ind w:right="240"/>
              <w:spacing w:after="0" w:line="117" w:lineRule="exact"/>
              <w:rPr>
                <w:sz w:val="20"/>
                <w:szCs w:val="20"/>
                <w:color w:val="auto"/>
              </w:rPr>
            </w:pPr>
            <w:r>
              <w:rPr>
                <w:rFonts w:ascii="Times New Roman" w:cs="Times New Roman" w:eastAsia="Times New Roman" w:hAnsi="Times New Roman"/>
                <w:sz w:val="11"/>
                <w:szCs w:val="11"/>
                <w:color w:val="auto"/>
              </w:rPr>
              <w:t>—</w:t>
            </w:r>
          </w:p>
        </w:tc>
        <w:tc>
          <w:tcPr>
            <w:tcW w:w="820" w:type="dxa"/>
            <w:vAlign w:val="bottom"/>
          </w:tcPr>
          <w:p>
            <w:pPr>
              <w:ind w:left="700"/>
              <w:spacing w:after="0" w:line="117" w:lineRule="exact"/>
              <w:rPr>
                <w:sz w:val="20"/>
                <w:szCs w:val="20"/>
                <w:color w:val="auto"/>
              </w:rPr>
            </w:pPr>
            <w:r>
              <w:rPr>
                <w:rFonts w:ascii="Times New Roman" w:cs="Times New Roman" w:eastAsia="Times New Roman" w:hAnsi="Times New Roman"/>
                <w:sz w:val="11"/>
                <w:szCs w:val="11"/>
                <w:color w:val="auto"/>
                <w:w w:val="90"/>
              </w:rPr>
              <w:t>—</w:t>
            </w:r>
          </w:p>
        </w:tc>
        <w:tc>
          <w:tcPr>
            <w:tcW w:w="106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1"/>
                <w:szCs w:val="11"/>
                <w:color w:val="auto"/>
              </w:rPr>
              <w:t>120,962</w:t>
            </w: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1,243</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1,651</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2"/>
        </w:trPr>
        <w:tc>
          <w:tcPr>
            <w:tcW w:w="2860" w:type="dxa"/>
            <w:vAlign w:val="bottom"/>
            <w:vMerge w:val="restart"/>
          </w:tcPr>
          <w:p>
            <w:pPr>
              <w:ind w:left="100"/>
              <w:spacing w:after="0" w:line="135" w:lineRule="exact"/>
              <w:rPr>
                <w:sz w:val="20"/>
                <w:szCs w:val="20"/>
                <w:color w:val="auto"/>
              </w:rPr>
            </w:pPr>
            <w:r>
              <w:rPr>
                <w:rFonts w:ascii="Times New Roman" w:cs="Times New Roman" w:eastAsia="Times New Roman" w:hAnsi="Times New Roman"/>
                <w:sz w:val="11"/>
                <w:szCs w:val="11"/>
                <w:color w:val="auto"/>
              </w:rPr>
              <w:t xml:space="preserve">(PRA Events, Inc.) </w:t>
            </w:r>
            <w:r>
              <w:rPr>
                <w:rFonts w:ascii="Times New Roman" w:cs="Times New Roman" w:eastAsia="Times New Roman" w:hAnsi="Times New Roman"/>
                <w:sz w:val="14"/>
                <w:szCs w:val="14"/>
                <w:color w:val="auto"/>
                <w:vertAlign w:val="superscript"/>
              </w:rPr>
              <w:t>(7), (8)</w:t>
            </w: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5"/>
        </w:trPr>
        <w:tc>
          <w:tcPr>
            <w:tcW w:w="2860" w:type="dxa"/>
            <w:vAlign w:val="bottom"/>
            <w:vMerge w:val="continue"/>
          </w:tcPr>
          <w:p>
            <w:pPr>
              <w:spacing w:after="0"/>
              <w:rPr>
                <w:sz w:val="10"/>
                <w:szCs w:val="10"/>
                <w:color w:val="auto"/>
              </w:rPr>
            </w:pPr>
          </w:p>
        </w:tc>
        <w:tc>
          <w:tcPr>
            <w:tcW w:w="140" w:type="dxa"/>
            <w:vAlign w:val="bottom"/>
            <w:tcBorders>
              <w:bottom w:val="single" w:sz="8" w:color="CCECFF"/>
            </w:tcBorders>
            <w:shd w:val="clear" w:color="auto" w:fill="CCECFF"/>
          </w:tcPr>
          <w:p>
            <w:pPr>
              <w:spacing w:after="0"/>
              <w:rPr>
                <w:sz w:val="10"/>
                <w:szCs w:val="10"/>
                <w:color w:val="auto"/>
              </w:rPr>
            </w:pPr>
          </w:p>
        </w:tc>
        <w:tc>
          <w:tcPr>
            <w:tcW w:w="740" w:type="dxa"/>
            <w:vAlign w:val="bottom"/>
            <w:tcBorders>
              <w:bottom w:val="single" w:sz="8" w:color="CCECFF"/>
            </w:tcBorders>
            <w:shd w:val="clear" w:color="auto" w:fill="CCECFF"/>
          </w:tcPr>
          <w:p>
            <w:pPr>
              <w:spacing w:after="0"/>
              <w:rPr>
                <w:sz w:val="10"/>
                <w:szCs w:val="10"/>
                <w:color w:val="auto"/>
              </w:rPr>
            </w:pPr>
          </w:p>
        </w:tc>
        <w:tc>
          <w:tcPr>
            <w:tcW w:w="260" w:type="dxa"/>
            <w:vAlign w:val="bottom"/>
            <w:tcBorders>
              <w:bottom w:val="single" w:sz="8" w:color="CCECFF"/>
            </w:tcBorders>
            <w:shd w:val="clear" w:color="auto" w:fill="CCECFF"/>
          </w:tcPr>
          <w:p>
            <w:pPr>
              <w:spacing w:after="0"/>
              <w:rPr>
                <w:sz w:val="10"/>
                <w:szCs w:val="10"/>
                <w:color w:val="auto"/>
              </w:rPr>
            </w:pPr>
          </w:p>
        </w:tc>
        <w:tc>
          <w:tcPr>
            <w:tcW w:w="2020" w:type="dxa"/>
            <w:vAlign w:val="bottom"/>
            <w:tcBorders>
              <w:bottom w:val="single" w:sz="8" w:color="CCECFF"/>
            </w:tcBorders>
            <w:shd w:val="clear" w:color="auto" w:fill="CCECFF"/>
          </w:tcPr>
          <w:p>
            <w:pPr>
              <w:spacing w:after="0"/>
              <w:rPr>
                <w:sz w:val="10"/>
                <w:szCs w:val="10"/>
                <w:color w:val="auto"/>
              </w:rPr>
            </w:pPr>
          </w:p>
        </w:tc>
        <w:tc>
          <w:tcPr>
            <w:tcW w:w="140" w:type="dxa"/>
            <w:vAlign w:val="bottom"/>
            <w:tcBorders>
              <w:bottom w:val="single" w:sz="8" w:color="CCECFF"/>
            </w:tcBorders>
            <w:shd w:val="clear" w:color="auto" w:fill="CCECFF"/>
          </w:tcPr>
          <w:p>
            <w:pPr>
              <w:spacing w:after="0"/>
              <w:rPr>
                <w:sz w:val="10"/>
                <w:szCs w:val="10"/>
                <w:color w:val="auto"/>
              </w:rPr>
            </w:pPr>
          </w:p>
        </w:tc>
        <w:tc>
          <w:tcPr>
            <w:tcW w:w="860" w:type="dxa"/>
            <w:vAlign w:val="bottom"/>
            <w:tcBorders>
              <w:bottom w:val="single" w:sz="8" w:color="CCECFF"/>
            </w:tcBorders>
            <w:shd w:val="clear" w:color="auto" w:fill="CCECFF"/>
          </w:tcPr>
          <w:p>
            <w:pPr>
              <w:spacing w:after="0"/>
              <w:rPr>
                <w:sz w:val="10"/>
                <w:szCs w:val="10"/>
                <w:color w:val="auto"/>
              </w:rPr>
            </w:pPr>
          </w:p>
        </w:tc>
        <w:tc>
          <w:tcPr>
            <w:tcW w:w="220" w:type="dxa"/>
            <w:vAlign w:val="bottom"/>
            <w:tcBorders>
              <w:bottom w:val="single" w:sz="8" w:color="CCECFF"/>
            </w:tcBorders>
            <w:shd w:val="clear" w:color="auto" w:fill="CCECFF"/>
          </w:tcPr>
          <w:p>
            <w:pPr>
              <w:spacing w:after="0"/>
              <w:rPr>
                <w:sz w:val="10"/>
                <w:szCs w:val="10"/>
                <w:color w:val="auto"/>
              </w:rPr>
            </w:pPr>
          </w:p>
        </w:tc>
        <w:tc>
          <w:tcPr>
            <w:tcW w:w="820" w:type="dxa"/>
            <w:vAlign w:val="bottom"/>
            <w:tcBorders>
              <w:bottom w:val="single" w:sz="8" w:color="CCECFF"/>
            </w:tcBorders>
            <w:shd w:val="clear" w:color="auto" w:fill="CCECFF"/>
          </w:tcPr>
          <w:p>
            <w:pPr>
              <w:spacing w:after="0"/>
              <w:rPr>
                <w:sz w:val="10"/>
                <w:szCs w:val="10"/>
                <w:color w:val="auto"/>
              </w:rPr>
            </w:pPr>
          </w:p>
        </w:tc>
        <w:tc>
          <w:tcPr>
            <w:tcW w:w="200" w:type="dxa"/>
            <w:vAlign w:val="bottom"/>
            <w:tcBorders>
              <w:bottom w:val="single" w:sz="8" w:color="CCECFF"/>
            </w:tcBorders>
            <w:shd w:val="clear" w:color="auto" w:fill="CCECFF"/>
          </w:tcPr>
          <w:p>
            <w:pPr>
              <w:spacing w:after="0"/>
              <w:rPr>
                <w:sz w:val="10"/>
                <w:szCs w:val="10"/>
                <w:color w:val="auto"/>
              </w:rPr>
            </w:pPr>
          </w:p>
        </w:tc>
        <w:tc>
          <w:tcPr>
            <w:tcW w:w="860" w:type="dxa"/>
            <w:vAlign w:val="bottom"/>
            <w:tcBorders>
              <w:bottom w:val="single" w:sz="8" w:color="CCECFF"/>
            </w:tcBorders>
            <w:shd w:val="clear" w:color="auto" w:fill="CCECFF"/>
          </w:tcPr>
          <w:p>
            <w:pPr>
              <w:spacing w:after="0"/>
              <w:rPr>
                <w:sz w:val="10"/>
                <w:szCs w:val="10"/>
                <w:color w:val="auto"/>
              </w:rPr>
            </w:pPr>
          </w:p>
        </w:tc>
        <w:tc>
          <w:tcPr>
            <w:tcW w:w="220" w:type="dxa"/>
            <w:vAlign w:val="bottom"/>
            <w:tcBorders>
              <w:bottom w:val="single" w:sz="8" w:color="CCECFF"/>
            </w:tcBorders>
            <w:shd w:val="clear" w:color="auto" w:fill="CCECFF"/>
          </w:tcPr>
          <w:p>
            <w:pPr>
              <w:spacing w:after="0"/>
              <w:rPr>
                <w:sz w:val="10"/>
                <w:szCs w:val="10"/>
                <w:color w:val="auto"/>
              </w:rPr>
            </w:pPr>
          </w:p>
        </w:tc>
        <w:tc>
          <w:tcPr>
            <w:tcW w:w="180" w:type="dxa"/>
            <w:vAlign w:val="bottom"/>
            <w:tcBorders>
              <w:bottom w:val="single" w:sz="8" w:color="CCECFF"/>
            </w:tcBorders>
            <w:shd w:val="clear" w:color="auto" w:fill="CCECFF"/>
          </w:tcPr>
          <w:p>
            <w:pPr>
              <w:spacing w:after="0"/>
              <w:rPr>
                <w:sz w:val="10"/>
                <w:szCs w:val="10"/>
                <w:color w:val="auto"/>
              </w:rPr>
            </w:pPr>
          </w:p>
        </w:tc>
        <w:tc>
          <w:tcPr>
            <w:tcW w:w="600" w:type="dxa"/>
            <w:vAlign w:val="bottom"/>
            <w:tcBorders>
              <w:bottom w:val="single" w:sz="8" w:color="CCECFF"/>
            </w:tcBorders>
            <w:shd w:val="clear" w:color="auto" w:fill="CCECFF"/>
          </w:tcPr>
          <w:p>
            <w:pPr>
              <w:spacing w:after="0"/>
              <w:rPr>
                <w:sz w:val="10"/>
                <w:szCs w:val="10"/>
                <w:color w:val="auto"/>
              </w:rPr>
            </w:pPr>
          </w:p>
        </w:tc>
        <w:tc>
          <w:tcPr>
            <w:tcW w:w="220" w:type="dxa"/>
            <w:vAlign w:val="bottom"/>
            <w:tcBorders>
              <w:bottom w:val="single" w:sz="8" w:color="CCECFF"/>
            </w:tcBorders>
            <w:shd w:val="clear" w:color="auto" w:fill="CCECFF"/>
          </w:tcPr>
          <w:p>
            <w:pPr>
              <w:spacing w:after="0"/>
              <w:rPr>
                <w:sz w:val="10"/>
                <w:szCs w:val="10"/>
                <w:color w:val="auto"/>
              </w:rPr>
            </w:pPr>
          </w:p>
        </w:tc>
        <w:tc>
          <w:tcPr>
            <w:tcW w:w="80" w:type="dxa"/>
            <w:vAlign w:val="bottom"/>
            <w:tcBorders>
              <w:bottom w:val="single" w:sz="8" w:color="CCECFF"/>
            </w:tcBorders>
            <w:shd w:val="clear" w:color="auto" w:fill="CCECFF"/>
          </w:tcPr>
          <w:p>
            <w:pPr>
              <w:spacing w:after="0"/>
              <w:rPr>
                <w:sz w:val="10"/>
                <w:szCs w:val="10"/>
                <w:color w:val="auto"/>
              </w:rPr>
            </w:pPr>
          </w:p>
        </w:tc>
        <w:tc>
          <w:tcPr>
            <w:tcW w:w="720" w:type="dxa"/>
            <w:vAlign w:val="bottom"/>
            <w:tcBorders>
              <w:bottom w:val="single" w:sz="8" w:color="CCECFF"/>
            </w:tcBorders>
            <w:shd w:val="clear" w:color="auto" w:fill="CCECFF"/>
          </w:tcPr>
          <w:p>
            <w:pPr>
              <w:spacing w:after="0"/>
              <w:rPr>
                <w:sz w:val="10"/>
                <w:szCs w:val="10"/>
                <w:color w:val="auto"/>
              </w:rPr>
            </w:pPr>
          </w:p>
        </w:tc>
        <w:tc>
          <w:tcPr>
            <w:tcW w:w="100" w:type="dxa"/>
            <w:vAlign w:val="bottom"/>
            <w:tcBorders>
              <w:bottom w:val="single" w:sz="8" w:color="CCECFF"/>
            </w:tcBorders>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03"/>
        </w:trPr>
        <w:tc>
          <w:tcPr>
            <w:tcW w:w="2860" w:type="dxa"/>
            <w:vAlign w:val="bottom"/>
          </w:tcPr>
          <w:p>
            <w:pPr>
              <w:ind w:left="20"/>
              <w:spacing w:after="0" w:line="103" w:lineRule="exact"/>
              <w:rPr>
                <w:sz w:val="20"/>
                <w:szCs w:val="20"/>
                <w:color w:val="auto"/>
              </w:rPr>
            </w:pPr>
            <w:r>
              <w:rPr>
                <w:rFonts w:ascii="Times New Roman" w:cs="Times New Roman" w:eastAsia="Times New Roman" w:hAnsi="Times New Roman"/>
                <w:sz w:val="9"/>
                <w:szCs w:val="9"/>
                <w:color w:val="auto"/>
              </w:rPr>
              <w:t xml:space="preserve">Connatix Parent, LLC </w:t>
            </w:r>
            <w:r>
              <w:rPr>
                <w:rFonts w:ascii="Times New Roman" w:cs="Times New Roman" w:eastAsia="Times New Roman" w:hAnsi="Times New Roman"/>
                <w:sz w:val="11"/>
                <w:szCs w:val="11"/>
                <w:color w:val="auto"/>
                <w:vertAlign w:val="superscript"/>
              </w:rPr>
              <w:t>(7)</w:t>
            </w:r>
          </w:p>
        </w:tc>
        <w:tc>
          <w:tcPr>
            <w:tcW w:w="140" w:type="dxa"/>
            <w:vAlign w:val="bottom"/>
          </w:tcPr>
          <w:p>
            <w:pPr>
              <w:spacing w:after="0"/>
              <w:rPr>
                <w:sz w:val="8"/>
                <w:szCs w:val="8"/>
                <w:color w:val="auto"/>
              </w:rPr>
            </w:pPr>
          </w:p>
        </w:tc>
        <w:tc>
          <w:tcPr>
            <w:tcW w:w="740" w:type="dxa"/>
            <w:vAlign w:val="bottom"/>
          </w:tcPr>
          <w:p>
            <w:pPr>
              <w:ind w:left="620"/>
              <w:spacing w:after="0" w:line="103" w:lineRule="exact"/>
              <w:rPr>
                <w:sz w:val="20"/>
                <w:szCs w:val="20"/>
                <w:color w:val="auto"/>
              </w:rPr>
            </w:pPr>
            <w:r>
              <w:rPr>
                <w:rFonts w:ascii="Times New Roman" w:cs="Times New Roman" w:eastAsia="Times New Roman" w:hAnsi="Times New Roman"/>
                <w:sz w:val="11"/>
                <w:szCs w:val="11"/>
                <w:color w:val="auto"/>
                <w:w w:val="90"/>
              </w:rPr>
              <w:t>—</w:t>
            </w:r>
          </w:p>
        </w:tc>
        <w:tc>
          <w:tcPr>
            <w:tcW w:w="260" w:type="dxa"/>
            <w:vAlign w:val="bottom"/>
          </w:tcPr>
          <w:p>
            <w:pPr>
              <w:spacing w:after="0"/>
              <w:rPr>
                <w:sz w:val="8"/>
                <w:szCs w:val="8"/>
                <w:color w:val="auto"/>
              </w:rPr>
            </w:pPr>
          </w:p>
        </w:tc>
        <w:tc>
          <w:tcPr>
            <w:tcW w:w="2020" w:type="dxa"/>
            <w:vAlign w:val="bottom"/>
          </w:tcPr>
          <w:p>
            <w:pPr>
              <w:jc w:val="center"/>
              <w:spacing w:after="0" w:line="103" w:lineRule="exact"/>
              <w:rPr>
                <w:sz w:val="20"/>
                <w:szCs w:val="20"/>
                <w:color w:val="auto"/>
              </w:rPr>
            </w:pPr>
            <w:r>
              <w:rPr>
                <w:rFonts w:ascii="Times New Roman" w:cs="Times New Roman" w:eastAsia="Times New Roman" w:hAnsi="Times New Roman"/>
                <w:sz w:val="11"/>
                <w:szCs w:val="11"/>
                <w:color w:val="auto"/>
                <w:w w:val="99"/>
              </w:rPr>
              <w:t>Media</w:t>
            </w:r>
          </w:p>
        </w:tc>
        <w:tc>
          <w:tcPr>
            <w:tcW w:w="140" w:type="dxa"/>
            <w:vAlign w:val="bottom"/>
          </w:tcPr>
          <w:p>
            <w:pPr>
              <w:spacing w:after="0"/>
              <w:rPr>
                <w:sz w:val="8"/>
                <w:szCs w:val="8"/>
                <w:color w:val="auto"/>
              </w:rPr>
            </w:pPr>
          </w:p>
        </w:tc>
        <w:tc>
          <w:tcPr>
            <w:tcW w:w="1080" w:type="dxa"/>
            <w:vAlign w:val="bottom"/>
            <w:gridSpan w:val="2"/>
          </w:tcPr>
          <w:p>
            <w:pPr>
              <w:jc w:val="right"/>
              <w:ind w:right="240"/>
              <w:spacing w:after="0" w:line="103" w:lineRule="exact"/>
              <w:rPr>
                <w:sz w:val="20"/>
                <w:szCs w:val="20"/>
                <w:color w:val="auto"/>
              </w:rPr>
            </w:pPr>
            <w:r>
              <w:rPr>
                <w:rFonts w:ascii="Times New Roman" w:cs="Times New Roman" w:eastAsia="Times New Roman" w:hAnsi="Times New Roman"/>
                <w:sz w:val="11"/>
                <w:szCs w:val="11"/>
                <w:color w:val="auto"/>
              </w:rPr>
              <w:t>—</w:t>
            </w:r>
          </w:p>
        </w:tc>
        <w:tc>
          <w:tcPr>
            <w:tcW w:w="820" w:type="dxa"/>
            <w:vAlign w:val="bottom"/>
          </w:tcPr>
          <w:p>
            <w:pPr>
              <w:ind w:left="700"/>
              <w:spacing w:after="0" w:line="103" w:lineRule="exact"/>
              <w:rPr>
                <w:sz w:val="20"/>
                <w:szCs w:val="20"/>
                <w:color w:val="auto"/>
              </w:rPr>
            </w:pPr>
            <w:r>
              <w:rPr>
                <w:rFonts w:ascii="Times New Roman" w:cs="Times New Roman" w:eastAsia="Times New Roman" w:hAnsi="Times New Roman"/>
                <w:sz w:val="11"/>
                <w:szCs w:val="11"/>
                <w:color w:val="auto"/>
                <w:w w:val="90"/>
              </w:rPr>
              <w:t>—</w:t>
            </w:r>
          </w:p>
        </w:tc>
        <w:tc>
          <w:tcPr>
            <w:tcW w:w="1060" w:type="dxa"/>
            <w:vAlign w:val="bottom"/>
            <w:gridSpan w:val="2"/>
          </w:tcPr>
          <w:p>
            <w:pPr>
              <w:jc w:val="right"/>
              <w:spacing w:after="0" w:line="103" w:lineRule="exact"/>
              <w:rPr>
                <w:sz w:val="20"/>
                <w:szCs w:val="20"/>
                <w:color w:val="auto"/>
              </w:rPr>
            </w:pPr>
            <w:r>
              <w:rPr>
                <w:rFonts w:ascii="Times New Roman" w:cs="Times New Roman" w:eastAsia="Times New Roman" w:hAnsi="Times New Roman"/>
                <w:sz w:val="11"/>
                <w:szCs w:val="11"/>
                <w:color w:val="auto"/>
              </w:rPr>
              <w:t>38,278</w:t>
            </w: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tcPr>
          <w:p>
            <w:pPr>
              <w:jc w:val="right"/>
              <w:spacing w:after="0" w:line="103" w:lineRule="exact"/>
              <w:rPr>
                <w:sz w:val="20"/>
                <w:szCs w:val="20"/>
                <w:color w:val="auto"/>
              </w:rPr>
            </w:pPr>
            <w:r>
              <w:rPr>
                <w:rFonts w:ascii="Times New Roman" w:cs="Times New Roman" w:eastAsia="Times New Roman" w:hAnsi="Times New Roman"/>
                <w:sz w:val="11"/>
                <w:szCs w:val="11"/>
                <w:color w:val="auto"/>
              </w:rPr>
              <w:t>421</w:t>
            </w: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jc w:val="right"/>
              <w:spacing w:after="0" w:line="103" w:lineRule="exact"/>
              <w:rPr>
                <w:sz w:val="20"/>
                <w:szCs w:val="20"/>
                <w:color w:val="auto"/>
              </w:rPr>
            </w:pPr>
            <w:r>
              <w:rPr>
                <w:rFonts w:ascii="Times New Roman" w:cs="Times New Roman" w:eastAsia="Times New Roman" w:hAnsi="Times New Roman"/>
                <w:sz w:val="11"/>
                <w:szCs w:val="11"/>
                <w:color w:val="auto"/>
              </w:rPr>
              <w:t>459</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286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Crane 1 Acquisition Parent Holdings, L.P. </w:t>
            </w:r>
            <w:r>
              <w:rPr>
                <w:rFonts w:ascii="Times New Roman" w:cs="Times New Roman" w:eastAsia="Times New Roman" w:hAnsi="Times New Roman"/>
                <w:sz w:val="14"/>
                <w:szCs w:val="14"/>
                <w:color w:val="auto"/>
                <w:vertAlign w:val="superscript"/>
              </w:rPr>
              <w:t>(7)</w:t>
            </w:r>
          </w:p>
        </w:tc>
        <w:tc>
          <w:tcPr>
            <w:tcW w:w="140" w:type="dxa"/>
            <w:vAlign w:val="bottom"/>
          </w:tcPr>
          <w:p>
            <w:pPr>
              <w:spacing w:after="0"/>
              <w:rPr>
                <w:sz w:val="11"/>
                <w:szCs w:val="11"/>
                <w:color w:val="auto"/>
              </w:rPr>
            </w:pPr>
          </w:p>
        </w:tc>
        <w:tc>
          <w:tcPr>
            <w:tcW w:w="740" w:type="dxa"/>
            <w:vAlign w:val="bottom"/>
          </w:tcPr>
          <w:p>
            <w:pPr>
              <w:ind w:left="620"/>
              <w:spacing w:after="0"/>
              <w:rPr>
                <w:sz w:val="20"/>
                <w:szCs w:val="20"/>
                <w:color w:val="auto"/>
              </w:rPr>
            </w:pPr>
            <w:r>
              <w:rPr>
                <w:rFonts w:ascii="Times New Roman" w:cs="Times New Roman" w:eastAsia="Times New Roman" w:hAnsi="Times New Roman"/>
                <w:sz w:val="11"/>
                <w:szCs w:val="11"/>
                <w:color w:val="auto"/>
                <w:w w:val="90"/>
              </w:rPr>
              <w:t>—</w:t>
            </w:r>
          </w:p>
        </w:tc>
        <w:tc>
          <w:tcPr>
            <w:tcW w:w="260" w:type="dxa"/>
            <w:vAlign w:val="bottom"/>
          </w:tcPr>
          <w:p>
            <w:pPr>
              <w:spacing w:after="0"/>
              <w:rPr>
                <w:sz w:val="11"/>
                <w:szCs w:val="11"/>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Commercial Services &amp; Supplies</w:t>
            </w:r>
          </w:p>
        </w:tc>
        <w:tc>
          <w:tcPr>
            <w:tcW w:w="140" w:type="dxa"/>
            <w:vAlign w:val="bottom"/>
          </w:tcPr>
          <w:p>
            <w:pPr>
              <w:spacing w:after="0"/>
              <w:rPr>
                <w:sz w:val="11"/>
                <w:szCs w:val="11"/>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tcPr>
          <w:p>
            <w:pPr>
              <w:ind w:left="700"/>
              <w:spacing w:after="0"/>
              <w:rPr>
                <w:sz w:val="20"/>
                <w:szCs w:val="20"/>
                <w:color w:val="auto"/>
              </w:rPr>
            </w:pPr>
            <w:r>
              <w:rPr>
                <w:rFonts w:ascii="Times New Roman" w:cs="Times New Roman" w:eastAsia="Times New Roman" w:hAnsi="Times New Roman"/>
                <w:sz w:val="11"/>
                <w:szCs w:val="11"/>
                <w:color w:val="auto"/>
                <w:w w:val="90"/>
              </w:rPr>
              <w:t>—</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130</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120</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6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Delta InvestCo LP (Sigma Defense Systems, LLC) </w:t>
            </w:r>
            <w:r>
              <w:rPr>
                <w:rFonts w:ascii="Times New Roman" w:cs="Times New Roman" w:eastAsia="Times New Roman" w:hAnsi="Times New Roman"/>
                <w:sz w:val="14"/>
                <w:szCs w:val="14"/>
                <w:color w:val="auto"/>
                <w:vertAlign w:val="superscript"/>
              </w:rPr>
              <w:t>(7), (8)</w:t>
            </w:r>
          </w:p>
        </w:tc>
        <w:tc>
          <w:tcPr>
            <w:tcW w:w="140" w:type="dxa"/>
            <w:vAlign w:val="bottom"/>
          </w:tcPr>
          <w:p>
            <w:pPr>
              <w:spacing w:after="0"/>
              <w:rPr>
                <w:sz w:val="11"/>
                <w:szCs w:val="11"/>
                <w:color w:val="auto"/>
              </w:rPr>
            </w:pPr>
          </w:p>
        </w:tc>
        <w:tc>
          <w:tcPr>
            <w:tcW w:w="740" w:type="dxa"/>
            <w:vAlign w:val="bottom"/>
          </w:tcPr>
          <w:p>
            <w:pPr>
              <w:ind w:left="620"/>
              <w:spacing w:after="0"/>
              <w:rPr>
                <w:sz w:val="20"/>
                <w:szCs w:val="20"/>
                <w:color w:val="auto"/>
              </w:rPr>
            </w:pPr>
            <w:r>
              <w:rPr>
                <w:rFonts w:ascii="Times New Roman" w:cs="Times New Roman" w:eastAsia="Times New Roman" w:hAnsi="Times New Roman"/>
                <w:sz w:val="11"/>
                <w:szCs w:val="11"/>
                <w:color w:val="auto"/>
                <w:w w:val="90"/>
              </w:rPr>
              <w:t>—</w:t>
            </w:r>
          </w:p>
        </w:tc>
        <w:tc>
          <w:tcPr>
            <w:tcW w:w="260" w:type="dxa"/>
            <w:vAlign w:val="bottom"/>
          </w:tcPr>
          <w:p>
            <w:pPr>
              <w:spacing w:after="0"/>
              <w:rPr>
                <w:sz w:val="11"/>
                <w:szCs w:val="11"/>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IT Services</w:t>
            </w:r>
          </w:p>
        </w:tc>
        <w:tc>
          <w:tcPr>
            <w:tcW w:w="140" w:type="dxa"/>
            <w:vAlign w:val="bottom"/>
          </w:tcPr>
          <w:p>
            <w:pPr>
              <w:spacing w:after="0"/>
              <w:rPr>
                <w:sz w:val="11"/>
                <w:szCs w:val="11"/>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tcPr>
          <w:p>
            <w:pPr>
              <w:ind w:left="700"/>
              <w:spacing w:after="0"/>
              <w:rPr>
                <w:sz w:val="20"/>
                <w:szCs w:val="20"/>
                <w:color w:val="auto"/>
              </w:rPr>
            </w:pPr>
            <w:r>
              <w:rPr>
                <w:rFonts w:ascii="Times New Roman" w:cs="Times New Roman" w:eastAsia="Times New Roman" w:hAnsi="Times New Roman"/>
                <w:sz w:val="11"/>
                <w:szCs w:val="11"/>
                <w:color w:val="auto"/>
                <w:w w:val="90"/>
              </w:rPr>
              <w:t>—</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615,484</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602</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1,255</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6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Delta InvestCo LP (Sigma Defense Systems, LLC) </w:t>
            </w:r>
            <w:r>
              <w:rPr>
                <w:rFonts w:ascii="Times New Roman" w:cs="Times New Roman" w:eastAsia="Times New Roman" w:hAnsi="Times New Roman"/>
                <w:sz w:val="14"/>
                <w:szCs w:val="14"/>
                <w:color w:val="auto"/>
                <w:vertAlign w:val="superscript"/>
              </w:rPr>
              <w:t>(7), (8),(9)</w:t>
            </w:r>
          </w:p>
        </w:tc>
        <w:tc>
          <w:tcPr>
            <w:tcW w:w="140" w:type="dxa"/>
            <w:vAlign w:val="bottom"/>
          </w:tcPr>
          <w:p>
            <w:pPr>
              <w:spacing w:after="0"/>
              <w:rPr>
                <w:sz w:val="11"/>
                <w:szCs w:val="11"/>
                <w:color w:val="auto"/>
              </w:rPr>
            </w:pPr>
          </w:p>
        </w:tc>
        <w:tc>
          <w:tcPr>
            <w:tcW w:w="740" w:type="dxa"/>
            <w:vAlign w:val="bottom"/>
          </w:tcPr>
          <w:p>
            <w:pPr>
              <w:ind w:left="620"/>
              <w:spacing w:after="0"/>
              <w:rPr>
                <w:sz w:val="20"/>
                <w:szCs w:val="20"/>
                <w:color w:val="auto"/>
              </w:rPr>
            </w:pPr>
            <w:r>
              <w:rPr>
                <w:rFonts w:ascii="Times New Roman" w:cs="Times New Roman" w:eastAsia="Times New Roman" w:hAnsi="Times New Roman"/>
                <w:sz w:val="11"/>
                <w:szCs w:val="11"/>
                <w:color w:val="auto"/>
                <w:w w:val="90"/>
              </w:rPr>
              <w:t>—</w:t>
            </w:r>
          </w:p>
        </w:tc>
        <w:tc>
          <w:tcPr>
            <w:tcW w:w="260" w:type="dxa"/>
            <w:vAlign w:val="bottom"/>
          </w:tcPr>
          <w:p>
            <w:pPr>
              <w:spacing w:after="0"/>
              <w:rPr>
                <w:sz w:val="11"/>
                <w:szCs w:val="11"/>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IT Services</w:t>
            </w:r>
          </w:p>
        </w:tc>
        <w:tc>
          <w:tcPr>
            <w:tcW w:w="140" w:type="dxa"/>
            <w:vAlign w:val="bottom"/>
          </w:tcPr>
          <w:p>
            <w:pPr>
              <w:spacing w:after="0"/>
              <w:rPr>
                <w:sz w:val="11"/>
                <w:szCs w:val="11"/>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tcPr>
          <w:p>
            <w:pPr>
              <w:ind w:left="700"/>
              <w:spacing w:after="0"/>
              <w:rPr>
                <w:sz w:val="20"/>
                <w:szCs w:val="20"/>
                <w:color w:val="auto"/>
              </w:rPr>
            </w:pPr>
            <w:r>
              <w:rPr>
                <w:rFonts w:ascii="Times New Roman" w:cs="Times New Roman" w:eastAsia="Times New Roman" w:hAnsi="Times New Roman"/>
                <w:sz w:val="11"/>
                <w:szCs w:val="11"/>
                <w:color w:val="auto"/>
                <w:w w:val="90"/>
              </w:rPr>
              <w:t>—</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389,386</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26"/>
        </w:trPr>
        <w:tc>
          <w:tcPr>
            <w:tcW w:w="2860" w:type="dxa"/>
            <w:vAlign w:val="bottom"/>
          </w:tcPr>
          <w:p>
            <w:pPr>
              <w:ind w:left="20"/>
              <w:spacing w:after="0" w:line="127" w:lineRule="exact"/>
              <w:rPr>
                <w:sz w:val="20"/>
                <w:szCs w:val="20"/>
                <w:color w:val="auto"/>
              </w:rPr>
            </w:pPr>
            <w:r>
              <w:rPr>
                <w:rFonts w:ascii="Times New Roman" w:cs="Times New Roman" w:eastAsia="Times New Roman" w:hAnsi="Times New Roman"/>
                <w:sz w:val="11"/>
                <w:szCs w:val="11"/>
                <w:color w:val="auto"/>
              </w:rPr>
              <w:t xml:space="preserve">ECM Investors, LLC </w:t>
            </w:r>
            <w:r>
              <w:rPr>
                <w:rFonts w:ascii="Times New Roman" w:cs="Times New Roman" w:eastAsia="Times New Roman" w:hAnsi="Times New Roman"/>
                <w:sz w:val="14"/>
                <w:szCs w:val="14"/>
                <w:color w:val="auto"/>
                <w:vertAlign w:val="superscript"/>
              </w:rPr>
              <w:t>(7), (8)</w:t>
            </w:r>
          </w:p>
        </w:tc>
        <w:tc>
          <w:tcPr>
            <w:tcW w:w="140" w:type="dxa"/>
            <w:vAlign w:val="bottom"/>
          </w:tcPr>
          <w:p>
            <w:pPr>
              <w:spacing w:after="0"/>
              <w:rPr>
                <w:sz w:val="10"/>
                <w:szCs w:val="10"/>
                <w:color w:val="auto"/>
              </w:rPr>
            </w:pPr>
          </w:p>
        </w:tc>
        <w:tc>
          <w:tcPr>
            <w:tcW w:w="740" w:type="dxa"/>
            <w:vAlign w:val="bottom"/>
          </w:tcPr>
          <w:p>
            <w:pPr>
              <w:ind w:left="620"/>
              <w:spacing w:after="0"/>
              <w:rPr>
                <w:sz w:val="20"/>
                <w:szCs w:val="20"/>
                <w:color w:val="auto"/>
              </w:rPr>
            </w:pPr>
            <w:r>
              <w:rPr>
                <w:rFonts w:ascii="Times New Roman" w:cs="Times New Roman" w:eastAsia="Times New Roman" w:hAnsi="Times New Roman"/>
                <w:sz w:val="11"/>
                <w:szCs w:val="11"/>
                <w:color w:val="auto"/>
                <w:w w:val="90"/>
              </w:rPr>
              <w:t>—</w:t>
            </w:r>
          </w:p>
        </w:tc>
        <w:tc>
          <w:tcPr>
            <w:tcW w:w="260" w:type="dxa"/>
            <w:vAlign w:val="bottom"/>
          </w:tcPr>
          <w:p>
            <w:pPr>
              <w:spacing w:after="0"/>
              <w:rPr>
                <w:sz w:val="10"/>
                <w:szCs w:val="10"/>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Electronic Equipment, Instruments, and</w:t>
            </w:r>
          </w:p>
        </w:tc>
        <w:tc>
          <w:tcPr>
            <w:tcW w:w="140" w:type="dxa"/>
            <w:vAlign w:val="bottom"/>
          </w:tcPr>
          <w:p>
            <w:pPr>
              <w:spacing w:after="0"/>
              <w:rPr>
                <w:sz w:val="10"/>
                <w:szCs w:val="10"/>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tcPr>
          <w:p>
            <w:pPr>
              <w:ind w:left="700"/>
              <w:spacing w:after="0"/>
              <w:rPr>
                <w:sz w:val="20"/>
                <w:szCs w:val="20"/>
                <w:color w:val="auto"/>
              </w:rPr>
            </w:pPr>
            <w:r>
              <w:rPr>
                <w:rFonts w:ascii="Times New Roman" w:cs="Times New Roman" w:eastAsia="Times New Roman" w:hAnsi="Times New Roman"/>
                <w:sz w:val="11"/>
                <w:szCs w:val="11"/>
                <w:color w:val="auto"/>
                <w:w w:val="90"/>
              </w:rPr>
              <w:t>—</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295,982</w:t>
            </w: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65</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633</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2860" w:type="dxa"/>
            <w:vAlign w:val="bottom"/>
            <w:vMerge w:val="restart"/>
          </w:tcPr>
          <w:p>
            <w:pPr>
              <w:ind w:left="20"/>
              <w:spacing w:after="0"/>
              <w:rPr>
                <w:sz w:val="20"/>
                <w:szCs w:val="20"/>
                <w:color w:val="auto"/>
              </w:rPr>
            </w:pPr>
            <w:r>
              <w:rPr>
                <w:rFonts w:ascii="Times New Roman" w:cs="Times New Roman" w:eastAsia="Times New Roman" w:hAnsi="Times New Roman"/>
                <w:sz w:val="11"/>
                <w:szCs w:val="11"/>
                <w:color w:val="auto"/>
              </w:rPr>
              <w:t xml:space="preserve">eCommission Holding Corporation </w:t>
            </w:r>
            <w:r>
              <w:rPr>
                <w:rFonts w:ascii="Times New Roman" w:cs="Times New Roman" w:eastAsia="Times New Roman" w:hAnsi="Times New Roman"/>
                <w:sz w:val="14"/>
                <w:szCs w:val="14"/>
                <w:color w:val="auto"/>
                <w:vertAlign w:val="superscript"/>
              </w:rPr>
              <w:t>(7), (10)</w:t>
            </w: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Components</w:t>
            </w: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8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ind w:left="620"/>
              <w:spacing w:after="0"/>
              <w:rPr>
                <w:sz w:val="20"/>
                <w:szCs w:val="20"/>
                <w:color w:val="auto"/>
              </w:rPr>
            </w:pPr>
            <w:r>
              <w:rPr>
                <w:rFonts w:ascii="Times New Roman" w:cs="Times New Roman" w:eastAsia="Times New Roman" w:hAnsi="Times New Roman"/>
                <w:sz w:val="11"/>
                <w:szCs w:val="11"/>
                <w:color w:val="auto"/>
                <w:w w:val="90"/>
              </w:rPr>
              <w:t>—</w:t>
            </w:r>
          </w:p>
        </w:tc>
        <w:tc>
          <w:tcPr>
            <w:tcW w:w="260" w:type="dxa"/>
            <w:vAlign w:val="bottom"/>
          </w:tcPr>
          <w:p>
            <w:pPr>
              <w:spacing w:after="0"/>
              <w:rPr>
                <w:sz w:val="12"/>
                <w:szCs w:val="12"/>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Banking, Finance, Insurance &amp; Real Estate</w:t>
            </w:r>
          </w:p>
        </w:tc>
        <w:tc>
          <w:tcPr>
            <w:tcW w:w="140" w:type="dxa"/>
            <w:vAlign w:val="bottom"/>
          </w:tcPr>
          <w:p>
            <w:pPr>
              <w:spacing w:after="0"/>
              <w:rPr>
                <w:sz w:val="12"/>
                <w:szCs w:val="12"/>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tcPr>
          <w:p>
            <w:pPr>
              <w:ind w:left="700"/>
              <w:spacing w:after="0"/>
              <w:rPr>
                <w:sz w:val="20"/>
                <w:szCs w:val="20"/>
                <w:color w:val="auto"/>
              </w:rPr>
            </w:pPr>
            <w:r>
              <w:rPr>
                <w:rFonts w:ascii="Times New Roman" w:cs="Times New Roman" w:eastAsia="Times New Roman" w:hAnsi="Times New Roman"/>
                <w:sz w:val="11"/>
                <w:szCs w:val="11"/>
                <w:color w:val="auto"/>
                <w:w w:val="90"/>
              </w:rPr>
              <w:t>—</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20</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251</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348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8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Exigo, LLC</w:t>
            </w:r>
          </w:p>
        </w:tc>
        <w:tc>
          <w:tcPr>
            <w:tcW w:w="140" w:type="dxa"/>
            <w:vAlign w:val="bottom"/>
          </w:tcPr>
          <w:p>
            <w:pPr>
              <w:spacing w:after="0"/>
              <w:rPr>
                <w:sz w:val="11"/>
                <w:szCs w:val="11"/>
                <w:color w:val="auto"/>
              </w:rPr>
            </w:pPr>
          </w:p>
        </w:tc>
        <w:tc>
          <w:tcPr>
            <w:tcW w:w="740" w:type="dxa"/>
            <w:vAlign w:val="bottom"/>
          </w:tcPr>
          <w:p>
            <w:pPr>
              <w:ind w:left="620"/>
              <w:spacing w:after="0"/>
              <w:rPr>
                <w:sz w:val="20"/>
                <w:szCs w:val="20"/>
                <w:color w:val="auto"/>
              </w:rPr>
            </w:pPr>
            <w:r>
              <w:rPr>
                <w:rFonts w:ascii="Times New Roman" w:cs="Times New Roman" w:eastAsia="Times New Roman" w:hAnsi="Times New Roman"/>
                <w:sz w:val="11"/>
                <w:szCs w:val="11"/>
                <w:color w:val="auto"/>
                <w:w w:val="90"/>
              </w:rPr>
              <w:t>—</w:t>
            </w:r>
          </w:p>
        </w:tc>
        <w:tc>
          <w:tcPr>
            <w:tcW w:w="260" w:type="dxa"/>
            <w:vAlign w:val="bottom"/>
          </w:tcPr>
          <w:p>
            <w:pPr>
              <w:spacing w:after="0"/>
              <w:rPr>
                <w:sz w:val="11"/>
                <w:szCs w:val="11"/>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Software</w:t>
            </w:r>
          </w:p>
        </w:tc>
        <w:tc>
          <w:tcPr>
            <w:tcW w:w="140" w:type="dxa"/>
            <w:vAlign w:val="bottom"/>
          </w:tcPr>
          <w:p>
            <w:pPr>
              <w:spacing w:after="0"/>
              <w:rPr>
                <w:sz w:val="11"/>
                <w:szCs w:val="11"/>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tcPr>
          <w:p>
            <w:pPr>
              <w:ind w:left="700"/>
              <w:spacing w:after="0"/>
              <w:rPr>
                <w:sz w:val="20"/>
                <w:szCs w:val="20"/>
                <w:color w:val="auto"/>
              </w:rPr>
            </w:pPr>
            <w:r>
              <w:rPr>
                <w:rFonts w:ascii="Times New Roman" w:cs="Times New Roman" w:eastAsia="Times New Roman" w:hAnsi="Times New Roman"/>
                <w:sz w:val="11"/>
                <w:szCs w:val="11"/>
                <w:color w:val="auto"/>
                <w:w w:val="90"/>
              </w:rPr>
              <w:t>—</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541,667</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542</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478</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2860" w:type="dxa"/>
            <w:vAlign w:val="bottom"/>
          </w:tcPr>
          <w:p>
            <w:pPr>
              <w:ind w:left="20"/>
              <w:spacing w:after="0" w:line="117" w:lineRule="exact"/>
              <w:rPr>
                <w:sz w:val="20"/>
                <w:szCs w:val="20"/>
                <w:color w:val="auto"/>
              </w:rPr>
            </w:pPr>
            <w:r>
              <w:rPr>
                <w:rFonts w:ascii="Times New Roman" w:cs="Times New Roman" w:eastAsia="Times New Roman" w:hAnsi="Times New Roman"/>
                <w:sz w:val="11"/>
                <w:szCs w:val="11"/>
                <w:color w:val="auto"/>
              </w:rPr>
              <w:t>Express Wash Topco, LLC</w:t>
            </w:r>
          </w:p>
        </w:tc>
        <w:tc>
          <w:tcPr>
            <w:tcW w:w="140" w:type="dxa"/>
            <w:vAlign w:val="bottom"/>
          </w:tcPr>
          <w:p>
            <w:pPr>
              <w:spacing w:after="0"/>
              <w:rPr>
                <w:sz w:val="10"/>
                <w:szCs w:val="10"/>
                <w:color w:val="auto"/>
              </w:rPr>
            </w:pPr>
          </w:p>
        </w:tc>
        <w:tc>
          <w:tcPr>
            <w:tcW w:w="740" w:type="dxa"/>
            <w:vAlign w:val="bottom"/>
          </w:tcPr>
          <w:p>
            <w:pPr>
              <w:ind w:left="620"/>
              <w:spacing w:after="0" w:line="117" w:lineRule="exact"/>
              <w:rPr>
                <w:sz w:val="20"/>
                <w:szCs w:val="20"/>
                <w:color w:val="auto"/>
              </w:rPr>
            </w:pPr>
            <w:r>
              <w:rPr>
                <w:rFonts w:ascii="Times New Roman" w:cs="Times New Roman" w:eastAsia="Times New Roman" w:hAnsi="Times New Roman"/>
                <w:sz w:val="11"/>
                <w:szCs w:val="11"/>
                <w:color w:val="auto"/>
                <w:w w:val="90"/>
              </w:rPr>
              <w:t>—</w:t>
            </w:r>
          </w:p>
        </w:tc>
        <w:tc>
          <w:tcPr>
            <w:tcW w:w="260" w:type="dxa"/>
            <w:vAlign w:val="bottom"/>
          </w:tcPr>
          <w:p>
            <w:pPr>
              <w:spacing w:after="0"/>
              <w:rPr>
                <w:sz w:val="10"/>
                <w:szCs w:val="10"/>
                <w:color w:val="auto"/>
              </w:rPr>
            </w:pPr>
          </w:p>
        </w:tc>
        <w:tc>
          <w:tcPr>
            <w:tcW w:w="202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color w:val="auto"/>
                <w:w w:val="98"/>
              </w:rPr>
              <w:t>Automobiles</w:t>
            </w:r>
          </w:p>
        </w:tc>
        <w:tc>
          <w:tcPr>
            <w:tcW w:w="140" w:type="dxa"/>
            <w:vAlign w:val="bottom"/>
          </w:tcPr>
          <w:p>
            <w:pPr>
              <w:spacing w:after="0"/>
              <w:rPr>
                <w:sz w:val="10"/>
                <w:szCs w:val="10"/>
                <w:color w:val="auto"/>
              </w:rPr>
            </w:pPr>
          </w:p>
        </w:tc>
        <w:tc>
          <w:tcPr>
            <w:tcW w:w="1080" w:type="dxa"/>
            <w:vAlign w:val="bottom"/>
            <w:gridSpan w:val="2"/>
          </w:tcPr>
          <w:p>
            <w:pPr>
              <w:jc w:val="right"/>
              <w:ind w:right="240"/>
              <w:spacing w:after="0" w:line="117" w:lineRule="exact"/>
              <w:rPr>
                <w:sz w:val="20"/>
                <w:szCs w:val="20"/>
                <w:color w:val="auto"/>
              </w:rPr>
            </w:pPr>
            <w:r>
              <w:rPr>
                <w:rFonts w:ascii="Times New Roman" w:cs="Times New Roman" w:eastAsia="Times New Roman" w:hAnsi="Times New Roman"/>
                <w:sz w:val="11"/>
                <w:szCs w:val="11"/>
                <w:color w:val="auto"/>
              </w:rPr>
              <w:t>—</w:t>
            </w:r>
          </w:p>
        </w:tc>
        <w:tc>
          <w:tcPr>
            <w:tcW w:w="820" w:type="dxa"/>
            <w:vAlign w:val="bottom"/>
          </w:tcPr>
          <w:p>
            <w:pPr>
              <w:ind w:left="700"/>
              <w:spacing w:after="0" w:line="117" w:lineRule="exact"/>
              <w:rPr>
                <w:sz w:val="20"/>
                <w:szCs w:val="20"/>
                <w:color w:val="auto"/>
              </w:rPr>
            </w:pPr>
            <w:r>
              <w:rPr>
                <w:rFonts w:ascii="Times New Roman" w:cs="Times New Roman" w:eastAsia="Times New Roman" w:hAnsi="Times New Roman"/>
                <w:sz w:val="11"/>
                <w:szCs w:val="11"/>
                <w:color w:val="auto"/>
                <w:w w:val="90"/>
              </w:rPr>
              <w:t>—</w:t>
            </w:r>
          </w:p>
        </w:tc>
        <w:tc>
          <w:tcPr>
            <w:tcW w:w="106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1"/>
                <w:szCs w:val="11"/>
                <w:color w:val="auto"/>
              </w:rPr>
              <w:t>20,000</w:t>
            </w: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100</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102</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86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FedHC InvestCo LP </w:t>
            </w:r>
            <w:r>
              <w:rPr>
                <w:rFonts w:ascii="Times New Roman" w:cs="Times New Roman" w:eastAsia="Times New Roman" w:hAnsi="Times New Roman"/>
                <w:sz w:val="14"/>
                <w:szCs w:val="14"/>
                <w:color w:val="auto"/>
                <w:vertAlign w:val="superscript"/>
              </w:rPr>
              <w:t>(7),(8)</w:t>
            </w:r>
          </w:p>
        </w:tc>
        <w:tc>
          <w:tcPr>
            <w:tcW w:w="140" w:type="dxa"/>
            <w:vAlign w:val="bottom"/>
          </w:tcPr>
          <w:p>
            <w:pPr>
              <w:spacing w:after="0"/>
              <w:rPr>
                <w:sz w:val="11"/>
                <w:szCs w:val="11"/>
                <w:color w:val="auto"/>
              </w:rPr>
            </w:pPr>
          </w:p>
        </w:tc>
        <w:tc>
          <w:tcPr>
            <w:tcW w:w="740" w:type="dxa"/>
            <w:vAlign w:val="bottom"/>
          </w:tcPr>
          <w:p>
            <w:pPr>
              <w:ind w:left="620"/>
              <w:spacing w:after="0"/>
              <w:rPr>
                <w:sz w:val="20"/>
                <w:szCs w:val="20"/>
                <w:color w:val="auto"/>
              </w:rPr>
            </w:pPr>
            <w:r>
              <w:rPr>
                <w:rFonts w:ascii="Times New Roman" w:cs="Times New Roman" w:eastAsia="Times New Roman" w:hAnsi="Times New Roman"/>
                <w:sz w:val="11"/>
                <w:szCs w:val="11"/>
                <w:color w:val="auto"/>
                <w:w w:val="90"/>
              </w:rPr>
              <w:t>—</w:t>
            </w:r>
          </w:p>
        </w:tc>
        <w:tc>
          <w:tcPr>
            <w:tcW w:w="260" w:type="dxa"/>
            <w:vAlign w:val="bottom"/>
          </w:tcPr>
          <w:p>
            <w:pPr>
              <w:spacing w:after="0"/>
              <w:rPr>
                <w:sz w:val="11"/>
                <w:szCs w:val="11"/>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140" w:type="dxa"/>
            <w:vAlign w:val="bottom"/>
          </w:tcPr>
          <w:p>
            <w:pPr>
              <w:spacing w:after="0"/>
              <w:rPr>
                <w:sz w:val="11"/>
                <w:szCs w:val="11"/>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tcPr>
          <w:p>
            <w:pPr>
              <w:ind w:left="700"/>
              <w:spacing w:after="0"/>
              <w:rPr>
                <w:sz w:val="20"/>
                <w:szCs w:val="20"/>
                <w:color w:val="auto"/>
              </w:rPr>
            </w:pPr>
            <w:r>
              <w:rPr>
                <w:rFonts w:ascii="Times New Roman" w:cs="Times New Roman" w:eastAsia="Times New Roman" w:hAnsi="Times New Roman"/>
                <w:sz w:val="11"/>
                <w:szCs w:val="11"/>
                <w:color w:val="auto"/>
                <w:w w:val="90"/>
              </w:rPr>
              <w:t>—</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21,083</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711</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2,142</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860" w:type="dxa"/>
            <w:vAlign w:val="bottom"/>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FedHC InvestCo LP </w:t>
            </w:r>
            <w:r>
              <w:rPr>
                <w:rFonts w:ascii="Times New Roman" w:cs="Times New Roman" w:eastAsia="Times New Roman" w:hAnsi="Times New Roman"/>
                <w:sz w:val="14"/>
                <w:szCs w:val="14"/>
                <w:color w:val="auto"/>
                <w:vertAlign w:val="superscript"/>
              </w:rPr>
              <w:t>(7),(8),(9)</w:t>
            </w:r>
          </w:p>
        </w:tc>
        <w:tc>
          <w:tcPr>
            <w:tcW w:w="140" w:type="dxa"/>
            <w:vAlign w:val="bottom"/>
          </w:tcPr>
          <w:p>
            <w:pPr>
              <w:spacing w:after="0"/>
              <w:rPr>
                <w:sz w:val="13"/>
                <w:szCs w:val="13"/>
                <w:color w:val="auto"/>
              </w:rPr>
            </w:pPr>
          </w:p>
        </w:tc>
        <w:tc>
          <w:tcPr>
            <w:tcW w:w="740" w:type="dxa"/>
            <w:vAlign w:val="bottom"/>
          </w:tcPr>
          <w:p>
            <w:pPr>
              <w:ind w:left="620"/>
              <w:spacing w:after="0"/>
              <w:rPr>
                <w:sz w:val="20"/>
                <w:szCs w:val="20"/>
                <w:color w:val="auto"/>
              </w:rPr>
            </w:pPr>
            <w:r>
              <w:rPr>
                <w:rFonts w:ascii="Times New Roman" w:cs="Times New Roman" w:eastAsia="Times New Roman" w:hAnsi="Times New Roman"/>
                <w:sz w:val="11"/>
                <w:szCs w:val="11"/>
                <w:color w:val="auto"/>
                <w:w w:val="90"/>
              </w:rPr>
              <w:t>—</w:t>
            </w:r>
          </w:p>
        </w:tc>
        <w:tc>
          <w:tcPr>
            <w:tcW w:w="260" w:type="dxa"/>
            <w:vAlign w:val="bottom"/>
          </w:tcPr>
          <w:p>
            <w:pPr>
              <w:spacing w:after="0"/>
              <w:rPr>
                <w:sz w:val="13"/>
                <w:szCs w:val="13"/>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140" w:type="dxa"/>
            <w:vAlign w:val="bottom"/>
          </w:tcPr>
          <w:p>
            <w:pPr>
              <w:spacing w:after="0"/>
              <w:rPr>
                <w:sz w:val="13"/>
                <w:szCs w:val="13"/>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tcPr>
          <w:p>
            <w:pPr>
              <w:ind w:left="700"/>
              <w:spacing w:after="0"/>
              <w:rPr>
                <w:sz w:val="20"/>
                <w:szCs w:val="20"/>
                <w:color w:val="auto"/>
              </w:rPr>
            </w:pPr>
            <w:r>
              <w:rPr>
                <w:rFonts w:ascii="Times New Roman" w:cs="Times New Roman" w:eastAsia="Times New Roman" w:hAnsi="Times New Roman"/>
                <w:sz w:val="11"/>
                <w:szCs w:val="11"/>
                <w:color w:val="auto"/>
                <w:w w:val="90"/>
              </w:rPr>
              <w:t>—</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9,488</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17"/>
        </w:trPr>
        <w:tc>
          <w:tcPr>
            <w:tcW w:w="2860" w:type="dxa"/>
            <w:vAlign w:val="bottom"/>
          </w:tcPr>
          <w:p>
            <w:pPr>
              <w:ind w:left="20"/>
              <w:spacing w:after="0" w:line="117" w:lineRule="exact"/>
              <w:rPr>
                <w:sz w:val="20"/>
                <w:szCs w:val="20"/>
                <w:color w:val="auto"/>
              </w:rPr>
            </w:pPr>
            <w:r>
              <w:rPr>
                <w:rFonts w:ascii="Times New Roman" w:cs="Times New Roman" w:eastAsia="Times New Roman" w:hAnsi="Times New Roman"/>
                <w:sz w:val="11"/>
                <w:szCs w:val="11"/>
                <w:color w:val="auto"/>
              </w:rPr>
              <w:t>Gauge InfosoftCoInvest, LLC</w:t>
            </w:r>
          </w:p>
        </w:tc>
        <w:tc>
          <w:tcPr>
            <w:tcW w:w="140" w:type="dxa"/>
            <w:vAlign w:val="bottom"/>
          </w:tcPr>
          <w:p>
            <w:pPr>
              <w:spacing w:after="0"/>
              <w:rPr>
                <w:sz w:val="10"/>
                <w:szCs w:val="10"/>
                <w:color w:val="auto"/>
              </w:rPr>
            </w:pPr>
          </w:p>
        </w:tc>
        <w:tc>
          <w:tcPr>
            <w:tcW w:w="740" w:type="dxa"/>
            <w:vAlign w:val="bottom"/>
          </w:tcPr>
          <w:p>
            <w:pPr>
              <w:ind w:left="620"/>
              <w:spacing w:after="0" w:line="117" w:lineRule="exact"/>
              <w:rPr>
                <w:sz w:val="20"/>
                <w:szCs w:val="20"/>
                <w:color w:val="auto"/>
              </w:rPr>
            </w:pPr>
            <w:r>
              <w:rPr>
                <w:rFonts w:ascii="Times New Roman" w:cs="Times New Roman" w:eastAsia="Times New Roman" w:hAnsi="Times New Roman"/>
                <w:sz w:val="11"/>
                <w:szCs w:val="11"/>
                <w:color w:val="auto"/>
                <w:w w:val="90"/>
              </w:rPr>
              <w:t>—</w:t>
            </w:r>
          </w:p>
        </w:tc>
        <w:tc>
          <w:tcPr>
            <w:tcW w:w="260" w:type="dxa"/>
            <w:vAlign w:val="bottom"/>
          </w:tcPr>
          <w:p>
            <w:pPr>
              <w:spacing w:after="0"/>
              <w:rPr>
                <w:sz w:val="10"/>
                <w:szCs w:val="10"/>
                <w:color w:val="auto"/>
              </w:rPr>
            </w:pPr>
          </w:p>
        </w:tc>
        <w:tc>
          <w:tcPr>
            <w:tcW w:w="202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color w:val="auto"/>
                <w:w w:val="98"/>
              </w:rPr>
              <w:t>Media: Broadcasting and Subscription</w:t>
            </w:r>
          </w:p>
        </w:tc>
        <w:tc>
          <w:tcPr>
            <w:tcW w:w="140" w:type="dxa"/>
            <w:vAlign w:val="bottom"/>
          </w:tcPr>
          <w:p>
            <w:pPr>
              <w:spacing w:after="0"/>
              <w:rPr>
                <w:sz w:val="10"/>
                <w:szCs w:val="10"/>
                <w:color w:val="auto"/>
              </w:rPr>
            </w:pPr>
          </w:p>
        </w:tc>
        <w:tc>
          <w:tcPr>
            <w:tcW w:w="1080" w:type="dxa"/>
            <w:vAlign w:val="bottom"/>
            <w:gridSpan w:val="2"/>
          </w:tcPr>
          <w:p>
            <w:pPr>
              <w:jc w:val="right"/>
              <w:ind w:right="240"/>
              <w:spacing w:after="0" w:line="117" w:lineRule="exact"/>
              <w:rPr>
                <w:sz w:val="20"/>
                <w:szCs w:val="20"/>
                <w:color w:val="auto"/>
              </w:rPr>
            </w:pPr>
            <w:r>
              <w:rPr>
                <w:rFonts w:ascii="Times New Roman" w:cs="Times New Roman" w:eastAsia="Times New Roman" w:hAnsi="Times New Roman"/>
                <w:sz w:val="11"/>
                <w:szCs w:val="11"/>
                <w:color w:val="auto"/>
              </w:rPr>
              <w:t>—</w:t>
            </w:r>
          </w:p>
        </w:tc>
        <w:tc>
          <w:tcPr>
            <w:tcW w:w="820" w:type="dxa"/>
            <w:vAlign w:val="bottom"/>
          </w:tcPr>
          <w:p>
            <w:pPr>
              <w:ind w:left="700"/>
              <w:spacing w:after="0" w:line="117" w:lineRule="exact"/>
              <w:rPr>
                <w:sz w:val="20"/>
                <w:szCs w:val="20"/>
                <w:color w:val="auto"/>
              </w:rPr>
            </w:pPr>
            <w:r>
              <w:rPr>
                <w:rFonts w:ascii="Times New Roman" w:cs="Times New Roman" w:eastAsia="Times New Roman" w:hAnsi="Times New Roman"/>
                <w:sz w:val="11"/>
                <w:szCs w:val="11"/>
                <w:color w:val="auto"/>
                <w:w w:val="90"/>
              </w:rPr>
              <w:t>—</w:t>
            </w:r>
          </w:p>
        </w:tc>
        <w:tc>
          <w:tcPr>
            <w:tcW w:w="106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1"/>
                <w:szCs w:val="11"/>
                <w:color w:val="auto"/>
              </w:rPr>
              <w:t>500</w:t>
            </w: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144</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2,471</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860" w:type="dxa"/>
            <w:vAlign w:val="bottom"/>
          </w:tcPr>
          <w:p>
            <w:pPr>
              <w:ind w:left="100"/>
              <w:spacing w:after="0" w:line="135" w:lineRule="exact"/>
              <w:rPr>
                <w:sz w:val="20"/>
                <w:szCs w:val="20"/>
                <w:color w:val="auto"/>
              </w:rPr>
            </w:pPr>
            <w:r>
              <w:rPr>
                <w:rFonts w:ascii="Times New Roman" w:cs="Times New Roman" w:eastAsia="Times New Roman" w:hAnsi="Times New Roman"/>
                <w:sz w:val="11"/>
                <w:szCs w:val="11"/>
                <w:color w:val="auto"/>
              </w:rPr>
              <w:t xml:space="preserve">(The Infosoft Group, LLC) </w:t>
            </w:r>
            <w:r>
              <w:rPr>
                <w:rFonts w:ascii="Times New Roman" w:cs="Times New Roman" w:eastAsia="Times New Roman" w:hAnsi="Times New Roman"/>
                <w:sz w:val="14"/>
                <w:szCs w:val="14"/>
                <w:color w:val="auto"/>
                <w:vertAlign w:val="superscript"/>
              </w:rPr>
              <w:t>(7)</w:t>
            </w: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6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Gauge Lash Coinvest LLC </w:t>
            </w:r>
            <w:r>
              <w:rPr>
                <w:rFonts w:ascii="Times New Roman" w:cs="Times New Roman" w:eastAsia="Times New Roman" w:hAnsi="Times New Roman"/>
                <w:sz w:val="14"/>
                <w:szCs w:val="14"/>
                <w:color w:val="auto"/>
                <w:vertAlign w:val="superscript"/>
              </w:rPr>
              <w:t>(7)</w:t>
            </w:r>
          </w:p>
        </w:tc>
        <w:tc>
          <w:tcPr>
            <w:tcW w:w="140" w:type="dxa"/>
            <w:vAlign w:val="bottom"/>
          </w:tcPr>
          <w:p>
            <w:pPr>
              <w:spacing w:after="0"/>
              <w:rPr>
                <w:sz w:val="11"/>
                <w:szCs w:val="11"/>
                <w:color w:val="auto"/>
              </w:rPr>
            </w:pPr>
          </w:p>
        </w:tc>
        <w:tc>
          <w:tcPr>
            <w:tcW w:w="740" w:type="dxa"/>
            <w:vAlign w:val="bottom"/>
          </w:tcPr>
          <w:p>
            <w:pPr>
              <w:ind w:left="620"/>
              <w:spacing w:after="0"/>
              <w:rPr>
                <w:sz w:val="20"/>
                <w:szCs w:val="20"/>
                <w:color w:val="auto"/>
              </w:rPr>
            </w:pPr>
            <w:r>
              <w:rPr>
                <w:rFonts w:ascii="Times New Roman" w:cs="Times New Roman" w:eastAsia="Times New Roman" w:hAnsi="Times New Roman"/>
                <w:sz w:val="11"/>
                <w:szCs w:val="11"/>
                <w:color w:val="auto"/>
                <w:w w:val="90"/>
              </w:rPr>
              <w:t>—</w:t>
            </w:r>
          </w:p>
        </w:tc>
        <w:tc>
          <w:tcPr>
            <w:tcW w:w="260" w:type="dxa"/>
            <w:vAlign w:val="bottom"/>
          </w:tcPr>
          <w:p>
            <w:pPr>
              <w:spacing w:after="0"/>
              <w:rPr>
                <w:sz w:val="11"/>
                <w:szCs w:val="11"/>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Personal Products</w:t>
            </w:r>
          </w:p>
        </w:tc>
        <w:tc>
          <w:tcPr>
            <w:tcW w:w="140" w:type="dxa"/>
            <w:vAlign w:val="bottom"/>
          </w:tcPr>
          <w:p>
            <w:pPr>
              <w:spacing w:after="0"/>
              <w:rPr>
                <w:sz w:val="11"/>
                <w:szCs w:val="11"/>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tcPr>
          <w:p>
            <w:pPr>
              <w:ind w:left="700"/>
              <w:spacing w:after="0"/>
              <w:rPr>
                <w:sz w:val="20"/>
                <w:szCs w:val="20"/>
                <w:color w:val="auto"/>
              </w:rPr>
            </w:pPr>
            <w:r>
              <w:rPr>
                <w:rFonts w:ascii="Times New Roman" w:cs="Times New Roman" w:eastAsia="Times New Roman" w:hAnsi="Times New Roman"/>
                <w:sz w:val="11"/>
                <w:szCs w:val="11"/>
                <w:color w:val="auto"/>
                <w:w w:val="90"/>
              </w:rPr>
              <w:t>—</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1,485,953</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227</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7,030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6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Gauge Schlesinger Coinvest LLC </w:t>
            </w:r>
            <w:r>
              <w:rPr>
                <w:rFonts w:ascii="Times New Roman" w:cs="Times New Roman" w:eastAsia="Times New Roman" w:hAnsi="Times New Roman"/>
                <w:sz w:val="14"/>
                <w:szCs w:val="14"/>
                <w:color w:val="auto"/>
                <w:vertAlign w:val="superscript"/>
              </w:rPr>
              <w:t>(7)</w:t>
            </w:r>
          </w:p>
        </w:tc>
        <w:tc>
          <w:tcPr>
            <w:tcW w:w="140" w:type="dxa"/>
            <w:vAlign w:val="bottom"/>
          </w:tcPr>
          <w:p>
            <w:pPr>
              <w:spacing w:after="0"/>
              <w:rPr>
                <w:sz w:val="11"/>
                <w:szCs w:val="11"/>
                <w:color w:val="auto"/>
              </w:rPr>
            </w:pPr>
          </w:p>
        </w:tc>
        <w:tc>
          <w:tcPr>
            <w:tcW w:w="740" w:type="dxa"/>
            <w:vAlign w:val="bottom"/>
          </w:tcPr>
          <w:p>
            <w:pPr>
              <w:ind w:left="620"/>
              <w:spacing w:after="0"/>
              <w:rPr>
                <w:sz w:val="20"/>
                <w:szCs w:val="20"/>
                <w:color w:val="auto"/>
              </w:rPr>
            </w:pPr>
            <w:r>
              <w:rPr>
                <w:rFonts w:ascii="Times New Roman" w:cs="Times New Roman" w:eastAsia="Times New Roman" w:hAnsi="Times New Roman"/>
                <w:sz w:val="11"/>
                <w:szCs w:val="11"/>
                <w:color w:val="auto"/>
                <w:w w:val="90"/>
              </w:rPr>
              <w:t>—</w:t>
            </w:r>
          </w:p>
        </w:tc>
        <w:tc>
          <w:tcPr>
            <w:tcW w:w="260" w:type="dxa"/>
            <w:vAlign w:val="bottom"/>
          </w:tcPr>
          <w:p>
            <w:pPr>
              <w:spacing w:after="0"/>
              <w:rPr>
                <w:sz w:val="11"/>
                <w:szCs w:val="11"/>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Professional Services</w:t>
            </w:r>
          </w:p>
        </w:tc>
        <w:tc>
          <w:tcPr>
            <w:tcW w:w="140" w:type="dxa"/>
            <w:vAlign w:val="bottom"/>
          </w:tcPr>
          <w:p>
            <w:pPr>
              <w:spacing w:after="0"/>
              <w:rPr>
                <w:sz w:val="11"/>
                <w:szCs w:val="11"/>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tcPr>
          <w:p>
            <w:pPr>
              <w:ind w:left="700"/>
              <w:spacing w:after="0"/>
              <w:rPr>
                <w:sz w:val="20"/>
                <w:szCs w:val="20"/>
                <w:color w:val="auto"/>
              </w:rPr>
            </w:pPr>
            <w:r>
              <w:rPr>
                <w:rFonts w:ascii="Times New Roman" w:cs="Times New Roman" w:eastAsia="Times New Roman" w:hAnsi="Times New Roman"/>
                <w:sz w:val="11"/>
                <w:szCs w:val="11"/>
                <w:color w:val="auto"/>
                <w:w w:val="90"/>
              </w:rPr>
              <w:t>—</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465</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476</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496</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6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Gauge TVC Coinvest, LLC (TVC Enterprises, LLC) </w:t>
            </w:r>
            <w:r>
              <w:rPr>
                <w:rFonts w:ascii="Times New Roman" w:cs="Times New Roman" w:eastAsia="Times New Roman" w:hAnsi="Times New Roman"/>
                <w:sz w:val="14"/>
                <w:szCs w:val="14"/>
                <w:color w:val="auto"/>
                <w:vertAlign w:val="superscript"/>
              </w:rPr>
              <w:t>(7)</w:t>
            </w:r>
          </w:p>
        </w:tc>
        <w:tc>
          <w:tcPr>
            <w:tcW w:w="140" w:type="dxa"/>
            <w:vAlign w:val="bottom"/>
          </w:tcPr>
          <w:p>
            <w:pPr>
              <w:spacing w:after="0"/>
              <w:rPr>
                <w:sz w:val="11"/>
                <w:szCs w:val="11"/>
                <w:color w:val="auto"/>
              </w:rPr>
            </w:pPr>
          </w:p>
        </w:tc>
        <w:tc>
          <w:tcPr>
            <w:tcW w:w="740" w:type="dxa"/>
            <w:vAlign w:val="bottom"/>
          </w:tcPr>
          <w:p>
            <w:pPr>
              <w:ind w:left="620"/>
              <w:spacing w:after="0"/>
              <w:rPr>
                <w:sz w:val="20"/>
                <w:szCs w:val="20"/>
                <w:color w:val="auto"/>
              </w:rPr>
            </w:pPr>
            <w:r>
              <w:rPr>
                <w:rFonts w:ascii="Times New Roman" w:cs="Times New Roman" w:eastAsia="Times New Roman" w:hAnsi="Times New Roman"/>
                <w:sz w:val="11"/>
                <w:szCs w:val="11"/>
                <w:color w:val="auto"/>
                <w:w w:val="90"/>
              </w:rPr>
              <w:t>—</w:t>
            </w:r>
          </w:p>
        </w:tc>
        <w:tc>
          <w:tcPr>
            <w:tcW w:w="260" w:type="dxa"/>
            <w:vAlign w:val="bottom"/>
          </w:tcPr>
          <w:p>
            <w:pPr>
              <w:spacing w:after="0"/>
              <w:rPr>
                <w:sz w:val="11"/>
                <w:szCs w:val="11"/>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Professional Services</w:t>
            </w:r>
          </w:p>
        </w:tc>
        <w:tc>
          <w:tcPr>
            <w:tcW w:w="140" w:type="dxa"/>
            <w:vAlign w:val="bottom"/>
          </w:tcPr>
          <w:p>
            <w:pPr>
              <w:spacing w:after="0"/>
              <w:rPr>
                <w:sz w:val="11"/>
                <w:szCs w:val="11"/>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tcPr>
          <w:p>
            <w:pPr>
              <w:ind w:left="700"/>
              <w:spacing w:after="0"/>
              <w:rPr>
                <w:sz w:val="20"/>
                <w:szCs w:val="20"/>
                <w:color w:val="auto"/>
              </w:rPr>
            </w:pPr>
            <w:r>
              <w:rPr>
                <w:rFonts w:ascii="Times New Roman" w:cs="Times New Roman" w:eastAsia="Times New Roman" w:hAnsi="Times New Roman"/>
                <w:sz w:val="11"/>
                <w:szCs w:val="11"/>
                <w:color w:val="auto"/>
                <w:w w:val="90"/>
              </w:rPr>
              <w:t>—</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391,144</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1,558</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860" w:type="dxa"/>
            <w:vAlign w:val="bottom"/>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GCOM InvestCo LP </w:t>
            </w:r>
            <w:r>
              <w:rPr>
                <w:rFonts w:ascii="Times New Roman" w:cs="Times New Roman" w:eastAsia="Times New Roman" w:hAnsi="Times New Roman"/>
                <w:sz w:val="14"/>
                <w:szCs w:val="14"/>
                <w:color w:val="auto"/>
                <w:vertAlign w:val="superscript"/>
              </w:rPr>
              <w:t>(7),(8)</w:t>
            </w:r>
          </w:p>
        </w:tc>
        <w:tc>
          <w:tcPr>
            <w:tcW w:w="140" w:type="dxa"/>
            <w:vAlign w:val="bottom"/>
          </w:tcPr>
          <w:p>
            <w:pPr>
              <w:spacing w:after="0"/>
              <w:rPr>
                <w:sz w:val="13"/>
                <w:szCs w:val="13"/>
                <w:color w:val="auto"/>
              </w:rPr>
            </w:pPr>
          </w:p>
        </w:tc>
        <w:tc>
          <w:tcPr>
            <w:tcW w:w="740" w:type="dxa"/>
            <w:vAlign w:val="bottom"/>
          </w:tcPr>
          <w:p>
            <w:pPr>
              <w:ind w:left="620"/>
              <w:spacing w:after="0"/>
              <w:rPr>
                <w:sz w:val="20"/>
                <w:szCs w:val="20"/>
                <w:color w:val="auto"/>
              </w:rPr>
            </w:pPr>
            <w:r>
              <w:rPr>
                <w:rFonts w:ascii="Times New Roman" w:cs="Times New Roman" w:eastAsia="Times New Roman" w:hAnsi="Times New Roman"/>
                <w:sz w:val="11"/>
                <w:szCs w:val="11"/>
                <w:color w:val="auto"/>
                <w:w w:val="90"/>
              </w:rPr>
              <w:t>—</w:t>
            </w:r>
          </w:p>
        </w:tc>
        <w:tc>
          <w:tcPr>
            <w:tcW w:w="260" w:type="dxa"/>
            <w:vAlign w:val="bottom"/>
          </w:tcPr>
          <w:p>
            <w:pPr>
              <w:spacing w:after="0"/>
              <w:rPr>
                <w:sz w:val="13"/>
                <w:szCs w:val="13"/>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IT Services</w:t>
            </w:r>
          </w:p>
        </w:tc>
        <w:tc>
          <w:tcPr>
            <w:tcW w:w="140" w:type="dxa"/>
            <w:vAlign w:val="bottom"/>
          </w:tcPr>
          <w:p>
            <w:pPr>
              <w:spacing w:after="0"/>
              <w:rPr>
                <w:sz w:val="13"/>
                <w:szCs w:val="13"/>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tcPr>
          <w:p>
            <w:pPr>
              <w:ind w:left="700"/>
              <w:spacing w:after="0"/>
              <w:rPr>
                <w:sz w:val="20"/>
                <w:szCs w:val="20"/>
                <w:color w:val="auto"/>
              </w:rPr>
            </w:pPr>
            <w:r>
              <w:rPr>
                <w:rFonts w:ascii="Times New Roman" w:cs="Times New Roman" w:eastAsia="Times New Roman" w:hAnsi="Times New Roman"/>
                <w:sz w:val="11"/>
                <w:szCs w:val="11"/>
                <w:color w:val="auto"/>
                <w:w w:val="90"/>
              </w:rPr>
              <w:t>—</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19,184</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3,342</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4,626</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2860" w:type="dxa"/>
            <w:vAlign w:val="bottom"/>
          </w:tcPr>
          <w:p>
            <w:pPr>
              <w:ind w:left="20"/>
              <w:spacing w:after="0" w:line="117" w:lineRule="exact"/>
              <w:rPr>
                <w:sz w:val="20"/>
                <w:szCs w:val="20"/>
                <w:color w:val="auto"/>
              </w:rPr>
            </w:pPr>
            <w:r>
              <w:rPr>
                <w:rFonts w:ascii="Times New Roman" w:cs="Times New Roman" w:eastAsia="Times New Roman" w:hAnsi="Times New Roman"/>
                <w:sz w:val="11"/>
                <w:szCs w:val="11"/>
                <w:color w:val="auto"/>
              </w:rPr>
              <w:t>Go Dawgs Capital III, LP</w:t>
            </w:r>
          </w:p>
        </w:tc>
        <w:tc>
          <w:tcPr>
            <w:tcW w:w="140" w:type="dxa"/>
            <w:vAlign w:val="bottom"/>
          </w:tcPr>
          <w:p>
            <w:pPr>
              <w:spacing w:after="0"/>
              <w:rPr>
                <w:sz w:val="10"/>
                <w:szCs w:val="10"/>
                <w:color w:val="auto"/>
              </w:rPr>
            </w:pPr>
          </w:p>
        </w:tc>
        <w:tc>
          <w:tcPr>
            <w:tcW w:w="740" w:type="dxa"/>
            <w:vAlign w:val="bottom"/>
          </w:tcPr>
          <w:p>
            <w:pPr>
              <w:ind w:left="620"/>
              <w:spacing w:after="0" w:line="117" w:lineRule="exact"/>
              <w:rPr>
                <w:sz w:val="20"/>
                <w:szCs w:val="20"/>
                <w:color w:val="auto"/>
              </w:rPr>
            </w:pPr>
            <w:r>
              <w:rPr>
                <w:rFonts w:ascii="Times New Roman" w:cs="Times New Roman" w:eastAsia="Times New Roman" w:hAnsi="Times New Roman"/>
                <w:sz w:val="11"/>
                <w:szCs w:val="11"/>
                <w:color w:val="auto"/>
                <w:w w:val="90"/>
              </w:rPr>
              <w:t>—</w:t>
            </w:r>
          </w:p>
        </w:tc>
        <w:tc>
          <w:tcPr>
            <w:tcW w:w="260" w:type="dxa"/>
            <w:vAlign w:val="bottom"/>
          </w:tcPr>
          <w:p>
            <w:pPr>
              <w:spacing w:after="0"/>
              <w:rPr>
                <w:sz w:val="10"/>
                <w:szCs w:val="10"/>
                <w:color w:val="auto"/>
              </w:rPr>
            </w:pPr>
          </w:p>
        </w:tc>
        <w:tc>
          <w:tcPr>
            <w:tcW w:w="202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color w:val="auto"/>
                <w:w w:val="97"/>
              </w:rPr>
              <w:t>Building Products</w:t>
            </w:r>
          </w:p>
        </w:tc>
        <w:tc>
          <w:tcPr>
            <w:tcW w:w="140" w:type="dxa"/>
            <w:vAlign w:val="bottom"/>
          </w:tcPr>
          <w:p>
            <w:pPr>
              <w:spacing w:after="0"/>
              <w:rPr>
                <w:sz w:val="10"/>
                <w:szCs w:val="10"/>
                <w:color w:val="auto"/>
              </w:rPr>
            </w:pPr>
          </w:p>
        </w:tc>
        <w:tc>
          <w:tcPr>
            <w:tcW w:w="1080" w:type="dxa"/>
            <w:vAlign w:val="bottom"/>
            <w:gridSpan w:val="2"/>
          </w:tcPr>
          <w:p>
            <w:pPr>
              <w:jc w:val="right"/>
              <w:ind w:right="240"/>
              <w:spacing w:after="0" w:line="117" w:lineRule="exact"/>
              <w:rPr>
                <w:sz w:val="20"/>
                <w:szCs w:val="20"/>
                <w:color w:val="auto"/>
              </w:rPr>
            </w:pPr>
            <w:r>
              <w:rPr>
                <w:rFonts w:ascii="Times New Roman" w:cs="Times New Roman" w:eastAsia="Times New Roman" w:hAnsi="Times New Roman"/>
                <w:sz w:val="11"/>
                <w:szCs w:val="11"/>
                <w:color w:val="auto"/>
              </w:rPr>
              <w:t>—</w:t>
            </w:r>
          </w:p>
        </w:tc>
        <w:tc>
          <w:tcPr>
            <w:tcW w:w="820" w:type="dxa"/>
            <w:vAlign w:val="bottom"/>
          </w:tcPr>
          <w:p>
            <w:pPr>
              <w:ind w:left="700"/>
              <w:spacing w:after="0" w:line="117" w:lineRule="exact"/>
              <w:rPr>
                <w:sz w:val="20"/>
                <w:szCs w:val="20"/>
                <w:color w:val="auto"/>
              </w:rPr>
            </w:pPr>
            <w:r>
              <w:rPr>
                <w:rFonts w:ascii="Times New Roman" w:cs="Times New Roman" w:eastAsia="Times New Roman" w:hAnsi="Times New Roman"/>
                <w:sz w:val="11"/>
                <w:szCs w:val="11"/>
                <w:color w:val="auto"/>
                <w:w w:val="90"/>
              </w:rPr>
              <w:t>—</w:t>
            </w:r>
          </w:p>
        </w:tc>
        <w:tc>
          <w:tcPr>
            <w:tcW w:w="106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1"/>
                <w:szCs w:val="11"/>
                <w:color w:val="auto"/>
              </w:rPr>
              <w:t>324,675</w:t>
            </w: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325</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377</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2"/>
        </w:trPr>
        <w:tc>
          <w:tcPr>
            <w:tcW w:w="2860" w:type="dxa"/>
            <w:vAlign w:val="bottom"/>
            <w:vMerge w:val="restart"/>
          </w:tcPr>
          <w:p>
            <w:pPr>
              <w:ind w:left="100"/>
              <w:spacing w:after="0" w:line="135" w:lineRule="exact"/>
              <w:rPr>
                <w:sz w:val="20"/>
                <w:szCs w:val="20"/>
                <w:color w:val="auto"/>
              </w:rPr>
            </w:pPr>
            <w:r>
              <w:rPr>
                <w:rFonts w:ascii="Times New Roman" w:cs="Times New Roman" w:eastAsia="Times New Roman" w:hAnsi="Times New Roman"/>
                <w:sz w:val="11"/>
                <w:szCs w:val="11"/>
                <w:color w:val="auto"/>
              </w:rPr>
              <w:t xml:space="preserve">(American Insulated Glass, LLC) </w:t>
            </w:r>
            <w:r>
              <w:rPr>
                <w:rFonts w:ascii="Times New Roman" w:cs="Times New Roman" w:eastAsia="Times New Roman" w:hAnsi="Times New Roman"/>
                <w:sz w:val="14"/>
                <w:szCs w:val="14"/>
                <w:color w:val="auto"/>
                <w:vertAlign w:val="superscript"/>
              </w:rPr>
              <w:t>(7), (8)</w:t>
            </w: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5"/>
        </w:trPr>
        <w:tc>
          <w:tcPr>
            <w:tcW w:w="2860" w:type="dxa"/>
            <w:vAlign w:val="bottom"/>
            <w:vMerge w:val="continue"/>
          </w:tcPr>
          <w:p>
            <w:pPr>
              <w:spacing w:after="0"/>
              <w:rPr>
                <w:sz w:val="10"/>
                <w:szCs w:val="10"/>
                <w:color w:val="auto"/>
              </w:rPr>
            </w:pPr>
          </w:p>
        </w:tc>
        <w:tc>
          <w:tcPr>
            <w:tcW w:w="140" w:type="dxa"/>
            <w:vAlign w:val="bottom"/>
            <w:tcBorders>
              <w:bottom w:val="single" w:sz="8" w:color="CCECFF"/>
            </w:tcBorders>
            <w:shd w:val="clear" w:color="auto" w:fill="CCECFF"/>
          </w:tcPr>
          <w:p>
            <w:pPr>
              <w:spacing w:after="0"/>
              <w:rPr>
                <w:sz w:val="10"/>
                <w:szCs w:val="10"/>
                <w:color w:val="auto"/>
              </w:rPr>
            </w:pPr>
          </w:p>
        </w:tc>
        <w:tc>
          <w:tcPr>
            <w:tcW w:w="740" w:type="dxa"/>
            <w:vAlign w:val="bottom"/>
            <w:tcBorders>
              <w:bottom w:val="single" w:sz="8" w:color="CCECFF"/>
            </w:tcBorders>
            <w:shd w:val="clear" w:color="auto" w:fill="CCECFF"/>
          </w:tcPr>
          <w:p>
            <w:pPr>
              <w:spacing w:after="0"/>
              <w:rPr>
                <w:sz w:val="10"/>
                <w:szCs w:val="10"/>
                <w:color w:val="auto"/>
              </w:rPr>
            </w:pPr>
          </w:p>
        </w:tc>
        <w:tc>
          <w:tcPr>
            <w:tcW w:w="260" w:type="dxa"/>
            <w:vAlign w:val="bottom"/>
            <w:tcBorders>
              <w:bottom w:val="single" w:sz="8" w:color="CCECFF"/>
            </w:tcBorders>
            <w:shd w:val="clear" w:color="auto" w:fill="CCECFF"/>
          </w:tcPr>
          <w:p>
            <w:pPr>
              <w:spacing w:after="0"/>
              <w:rPr>
                <w:sz w:val="10"/>
                <w:szCs w:val="10"/>
                <w:color w:val="auto"/>
              </w:rPr>
            </w:pPr>
          </w:p>
        </w:tc>
        <w:tc>
          <w:tcPr>
            <w:tcW w:w="2020" w:type="dxa"/>
            <w:vAlign w:val="bottom"/>
            <w:tcBorders>
              <w:bottom w:val="single" w:sz="8" w:color="CCECFF"/>
            </w:tcBorders>
            <w:shd w:val="clear" w:color="auto" w:fill="CCECFF"/>
          </w:tcPr>
          <w:p>
            <w:pPr>
              <w:spacing w:after="0"/>
              <w:rPr>
                <w:sz w:val="10"/>
                <w:szCs w:val="10"/>
                <w:color w:val="auto"/>
              </w:rPr>
            </w:pPr>
          </w:p>
        </w:tc>
        <w:tc>
          <w:tcPr>
            <w:tcW w:w="140" w:type="dxa"/>
            <w:vAlign w:val="bottom"/>
            <w:tcBorders>
              <w:bottom w:val="single" w:sz="8" w:color="CCECFF"/>
            </w:tcBorders>
            <w:shd w:val="clear" w:color="auto" w:fill="CCECFF"/>
          </w:tcPr>
          <w:p>
            <w:pPr>
              <w:spacing w:after="0"/>
              <w:rPr>
                <w:sz w:val="10"/>
                <w:szCs w:val="10"/>
                <w:color w:val="auto"/>
              </w:rPr>
            </w:pPr>
          </w:p>
        </w:tc>
        <w:tc>
          <w:tcPr>
            <w:tcW w:w="860" w:type="dxa"/>
            <w:vAlign w:val="bottom"/>
            <w:tcBorders>
              <w:bottom w:val="single" w:sz="8" w:color="CCECFF"/>
            </w:tcBorders>
            <w:shd w:val="clear" w:color="auto" w:fill="CCECFF"/>
          </w:tcPr>
          <w:p>
            <w:pPr>
              <w:spacing w:after="0"/>
              <w:rPr>
                <w:sz w:val="10"/>
                <w:szCs w:val="10"/>
                <w:color w:val="auto"/>
              </w:rPr>
            </w:pPr>
          </w:p>
        </w:tc>
        <w:tc>
          <w:tcPr>
            <w:tcW w:w="220" w:type="dxa"/>
            <w:vAlign w:val="bottom"/>
            <w:tcBorders>
              <w:bottom w:val="single" w:sz="8" w:color="CCECFF"/>
            </w:tcBorders>
            <w:shd w:val="clear" w:color="auto" w:fill="CCECFF"/>
          </w:tcPr>
          <w:p>
            <w:pPr>
              <w:spacing w:after="0"/>
              <w:rPr>
                <w:sz w:val="10"/>
                <w:szCs w:val="10"/>
                <w:color w:val="auto"/>
              </w:rPr>
            </w:pPr>
          </w:p>
        </w:tc>
        <w:tc>
          <w:tcPr>
            <w:tcW w:w="820" w:type="dxa"/>
            <w:vAlign w:val="bottom"/>
            <w:tcBorders>
              <w:bottom w:val="single" w:sz="8" w:color="CCECFF"/>
            </w:tcBorders>
            <w:shd w:val="clear" w:color="auto" w:fill="CCECFF"/>
          </w:tcPr>
          <w:p>
            <w:pPr>
              <w:spacing w:after="0"/>
              <w:rPr>
                <w:sz w:val="10"/>
                <w:szCs w:val="10"/>
                <w:color w:val="auto"/>
              </w:rPr>
            </w:pPr>
          </w:p>
        </w:tc>
        <w:tc>
          <w:tcPr>
            <w:tcW w:w="200" w:type="dxa"/>
            <w:vAlign w:val="bottom"/>
            <w:tcBorders>
              <w:bottom w:val="single" w:sz="8" w:color="CCECFF"/>
            </w:tcBorders>
            <w:shd w:val="clear" w:color="auto" w:fill="CCECFF"/>
          </w:tcPr>
          <w:p>
            <w:pPr>
              <w:spacing w:after="0"/>
              <w:rPr>
                <w:sz w:val="10"/>
                <w:szCs w:val="10"/>
                <w:color w:val="auto"/>
              </w:rPr>
            </w:pPr>
          </w:p>
        </w:tc>
        <w:tc>
          <w:tcPr>
            <w:tcW w:w="860" w:type="dxa"/>
            <w:vAlign w:val="bottom"/>
            <w:tcBorders>
              <w:bottom w:val="single" w:sz="8" w:color="CCECFF"/>
            </w:tcBorders>
            <w:shd w:val="clear" w:color="auto" w:fill="CCECFF"/>
          </w:tcPr>
          <w:p>
            <w:pPr>
              <w:spacing w:after="0"/>
              <w:rPr>
                <w:sz w:val="10"/>
                <w:szCs w:val="10"/>
                <w:color w:val="auto"/>
              </w:rPr>
            </w:pPr>
          </w:p>
        </w:tc>
        <w:tc>
          <w:tcPr>
            <w:tcW w:w="220" w:type="dxa"/>
            <w:vAlign w:val="bottom"/>
            <w:tcBorders>
              <w:bottom w:val="single" w:sz="8" w:color="CCECFF"/>
            </w:tcBorders>
            <w:shd w:val="clear" w:color="auto" w:fill="CCECFF"/>
          </w:tcPr>
          <w:p>
            <w:pPr>
              <w:spacing w:after="0"/>
              <w:rPr>
                <w:sz w:val="10"/>
                <w:szCs w:val="10"/>
                <w:color w:val="auto"/>
              </w:rPr>
            </w:pPr>
          </w:p>
        </w:tc>
        <w:tc>
          <w:tcPr>
            <w:tcW w:w="180" w:type="dxa"/>
            <w:vAlign w:val="bottom"/>
            <w:tcBorders>
              <w:bottom w:val="single" w:sz="8" w:color="CCECFF"/>
            </w:tcBorders>
            <w:shd w:val="clear" w:color="auto" w:fill="CCECFF"/>
          </w:tcPr>
          <w:p>
            <w:pPr>
              <w:spacing w:after="0"/>
              <w:rPr>
                <w:sz w:val="10"/>
                <w:szCs w:val="10"/>
                <w:color w:val="auto"/>
              </w:rPr>
            </w:pPr>
          </w:p>
        </w:tc>
        <w:tc>
          <w:tcPr>
            <w:tcW w:w="600" w:type="dxa"/>
            <w:vAlign w:val="bottom"/>
            <w:tcBorders>
              <w:bottom w:val="single" w:sz="8" w:color="CCECFF"/>
            </w:tcBorders>
            <w:shd w:val="clear" w:color="auto" w:fill="CCECFF"/>
          </w:tcPr>
          <w:p>
            <w:pPr>
              <w:spacing w:after="0"/>
              <w:rPr>
                <w:sz w:val="10"/>
                <w:szCs w:val="10"/>
                <w:color w:val="auto"/>
              </w:rPr>
            </w:pPr>
          </w:p>
        </w:tc>
        <w:tc>
          <w:tcPr>
            <w:tcW w:w="220" w:type="dxa"/>
            <w:vAlign w:val="bottom"/>
            <w:tcBorders>
              <w:bottom w:val="single" w:sz="8" w:color="CCECFF"/>
            </w:tcBorders>
            <w:shd w:val="clear" w:color="auto" w:fill="CCECFF"/>
          </w:tcPr>
          <w:p>
            <w:pPr>
              <w:spacing w:after="0"/>
              <w:rPr>
                <w:sz w:val="10"/>
                <w:szCs w:val="10"/>
                <w:color w:val="auto"/>
              </w:rPr>
            </w:pPr>
          </w:p>
        </w:tc>
        <w:tc>
          <w:tcPr>
            <w:tcW w:w="80" w:type="dxa"/>
            <w:vAlign w:val="bottom"/>
            <w:tcBorders>
              <w:bottom w:val="single" w:sz="8" w:color="CCECFF"/>
            </w:tcBorders>
            <w:shd w:val="clear" w:color="auto" w:fill="CCECFF"/>
          </w:tcPr>
          <w:p>
            <w:pPr>
              <w:spacing w:after="0"/>
              <w:rPr>
                <w:sz w:val="10"/>
                <w:szCs w:val="10"/>
                <w:color w:val="auto"/>
              </w:rPr>
            </w:pPr>
          </w:p>
        </w:tc>
        <w:tc>
          <w:tcPr>
            <w:tcW w:w="720" w:type="dxa"/>
            <w:vAlign w:val="bottom"/>
            <w:tcBorders>
              <w:bottom w:val="single" w:sz="8" w:color="CCECFF"/>
            </w:tcBorders>
            <w:shd w:val="clear" w:color="auto" w:fill="CCECFF"/>
          </w:tcPr>
          <w:p>
            <w:pPr>
              <w:spacing w:after="0"/>
              <w:rPr>
                <w:sz w:val="10"/>
                <w:szCs w:val="10"/>
                <w:color w:val="auto"/>
              </w:rPr>
            </w:pPr>
          </w:p>
        </w:tc>
        <w:tc>
          <w:tcPr>
            <w:tcW w:w="100" w:type="dxa"/>
            <w:vAlign w:val="bottom"/>
            <w:tcBorders>
              <w:bottom w:val="single" w:sz="8" w:color="CCECFF"/>
            </w:tcBorders>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86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Hancock Claims Consultants Investors, LLC </w:t>
            </w:r>
            <w:r>
              <w:rPr>
                <w:rFonts w:ascii="Times New Roman" w:cs="Times New Roman" w:eastAsia="Times New Roman" w:hAnsi="Times New Roman"/>
                <w:sz w:val="14"/>
                <w:szCs w:val="14"/>
                <w:color w:val="auto"/>
                <w:vertAlign w:val="superscript"/>
              </w:rPr>
              <w:t>(7), (8)</w:t>
            </w:r>
          </w:p>
        </w:tc>
        <w:tc>
          <w:tcPr>
            <w:tcW w:w="140" w:type="dxa"/>
            <w:vAlign w:val="bottom"/>
          </w:tcPr>
          <w:p>
            <w:pPr>
              <w:spacing w:after="0"/>
              <w:rPr>
                <w:sz w:val="11"/>
                <w:szCs w:val="11"/>
                <w:color w:val="auto"/>
              </w:rPr>
            </w:pPr>
          </w:p>
        </w:tc>
        <w:tc>
          <w:tcPr>
            <w:tcW w:w="740" w:type="dxa"/>
            <w:vAlign w:val="bottom"/>
          </w:tcPr>
          <w:p>
            <w:pPr>
              <w:ind w:left="620"/>
              <w:spacing w:after="0"/>
              <w:rPr>
                <w:sz w:val="20"/>
                <w:szCs w:val="20"/>
                <w:color w:val="auto"/>
              </w:rPr>
            </w:pPr>
            <w:r>
              <w:rPr>
                <w:rFonts w:ascii="Times New Roman" w:cs="Times New Roman" w:eastAsia="Times New Roman" w:hAnsi="Times New Roman"/>
                <w:sz w:val="11"/>
                <w:szCs w:val="11"/>
                <w:color w:val="auto"/>
                <w:w w:val="90"/>
              </w:rPr>
              <w:t>—</w:t>
            </w:r>
          </w:p>
        </w:tc>
        <w:tc>
          <w:tcPr>
            <w:tcW w:w="260" w:type="dxa"/>
            <w:vAlign w:val="bottom"/>
          </w:tcPr>
          <w:p>
            <w:pPr>
              <w:spacing w:after="0"/>
              <w:rPr>
                <w:sz w:val="11"/>
                <w:szCs w:val="11"/>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Insurance</w:t>
            </w:r>
          </w:p>
        </w:tc>
        <w:tc>
          <w:tcPr>
            <w:tcW w:w="140" w:type="dxa"/>
            <w:vAlign w:val="bottom"/>
          </w:tcPr>
          <w:p>
            <w:pPr>
              <w:spacing w:after="0"/>
              <w:rPr>
                <w:sz w:val="11"/>
                <w:szCs w:val="11"/>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tcPr>
          <w:p>
            <w:pPr>
              <w:ind w:left="700"/>
              <w:spacing w:after="0"/>
              <w:rPr>
                <w:sz w:val="20"/>
                <w:szCs w:val="20"/>
                <w:color w:val="auto"/>
              </w:rPr>
            </w:pPr>
            <w:r>
              <w:rPr>
                <w:rFonts w:ascii="Times New Roman" w:cs="Times New Roman" w:eastAsia="Times New Roman" w:hAnsi="Times New Roman"/>
                <w:sz w:val="11"/>
                <w:szCs w:val="11"/>
                <w:color w:val="auto"/>
                <w:w w:val="90"/>
              </w:rPr>
              <w:t>—</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450,000</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450</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477</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HV Watterson Holdings, LLC</w:t>
            </w:r>
          </w:p>
        </w:tc>
        <w:tc>
          <w:tcPr>
            <w:tcW w:w="140" w:type="dxa"/>
            <w:vAlign w:val="bottom"/>
            <w:shd w:val="clear" w:color="auto" w:fill="CCECFF"/>
          </w:tcPr>
          <w:p>
            <w:pPr>
              <w:spacing w:after="0"/>
              <w:rPr>
                <w:sz w:val="11"/>
                <w:szCs w:val="11"/>
                <w:color w:val="auto"/>
              </w:rPr>
            </w:pPr>
          </w:p>
        </w:tc>
        <w:tc>
          <w:tcPr>
            <w:tcW w:w="740" w:type="dxa"/>
            <w:vAlign w:val="bottom"/>
            <w:shd w:val="clear" w:color="auto" w:fill="CCECFF"/>
          </w:tcPr>
          <w:p>
            <w:pPr>
              <w:ind w:left="620"/>
              <w:spacing w:after="0"/>
              <w:rPr>
                <w:sz w:val="20"/>
                <w:szCs w:val="20"/>
                <w:color w:val="auto"/>
              </w:rPr>
            </w:pPr>
            <w:r>
              <w:rPr>
                <w:rFonts w:ascii="Times New Roman" w:cs="Times New Roman" w:eastAsia="Times New Roman" w:hAnsi="Times New Roman"/>
                <w:sz w:val="11"/>
                <w:szCs w:val="11"/>
                <w:color w:val="auto"/>
                <w:w w:val="90"/>
              </w:rPr>
              <w:t>—</w:t>
            </w:r>
          </w:p>
        </w:tc>
        <w:tc>
          <w:tcPr>
            <w:tcW w:w="260" w:type="dxa"/>
            <w:vAlign w:val="bottom"/>
            <w:shd w:val="clear" w:color="auto" w:fill="CCECFF"/>
          </w:tcPr>
          <w:p>
            <w:pPr>
              <w:spacing w:after="0"/>
              <w:rPr>
                <w:sz w:val="11"/>
                <w:szCs w:val="11"/>
                <w:color w:val="auto"/>
              </w:rPr>
            </w:pPr>
          </w:p>
        </w:tc>
        <w:tc>
          <w:tcPr>
            <w:tcW w:w="2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Professional Services</w:t>
            </w:r>
          </w:p>
        </w:tc>
        <w:tc>
          <w:tcPr>
            <w:tcW w:w="140" w:type="dxa"/>
            <w:vAlign w:val="bottom"/>
            <w:shd w:val="clear" w:color="auto" w:fill="CCECFF"/>
          </w:tcPr>
          <w:p>
            <w:pPr>
              <w:spacing w:after="0"/>
              <w:rPr>
                <w:sz w:val="11"/>
                <w:szCs w:val="11"/>
                <w:color w:val="auto"/>
              </w:rPr>
            </w:pPr>
          </w:p>
        </w:tc>
        <w:tc>
          <w:tcPr>
            <w:tcW w:w="108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shd w:val="clear" w:color="auto" w:fill="CCECFF"/>
          </w:tcPr>
          <w:p>
            <w:pPr>
              <w:ind w:left="700"/>
              <w:spacing w:after="0"/>
              <w:rPr>
                <w:sz w:val="20"/>
                <w:szCs w:val="20"/>
                <w:color w:val="auto"/>
              </w:rPr>
            </w:pPr>
            <w:r>
              <w:rPr>
                <w:rFonts w:ascii="Times New Roman" w:cs="Times New Roman" w:eastAsia="Times New Roman" w:hAnsi="Times New Roman"/>
                <w:sz w:val="11"/>
                <w:szCs w:val="11"/>
                <w:color w:val="auto"/>
                <w:w w:val="90"/>
              </w:rPr>
              <w:t>—</w:t>
            </w:r>
          </w:p>
        </w:tc>
        <w:tc>
          <w:tcPr>
            <w:tcW w:w="106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100,000</w:t>
            </w:r>
          </w:p>
        </w:tc>
        <w:tc>
          <w:tcPr>
            <w:tcW w:w="22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100</w:t>
            </w:r>
          </w:p>
        </w:tc>
        <w:tc>
          <w:tcPr>
            <w:tcW w:w="22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7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87</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03"/>
        </w:trPr>
        <w:tc>
          <w:tcPr>
            <w:tcW w:w="2860" w:type="dxa"/>
            <w:vAlign w:val="bottom"/>
          </w:tcPr>
          <w:p>
            <w:pPr>
              <w:ind w:left="20"/>
              <w:spacing w:after="0" w:line="103" w:lineRule="exact"/>
              <w:rPr>
                <w:sz w:val="20"/>
                <w:szCs w:val="20"/>
                <w:color w:val="auto"/>
              </w:rPr>
            </w:pPr>
            <w:r>
              <w:rPr>
                <w:rFonts w:ascii="Times New Roman" w:cs="Times New Roman" w:eastAsia="Times New Roman" w:hAnsi="Times New Roman"/>
                <w:sz w:val="11"/>
                <w:szCs w:val="11"/>
                <w:color w:val="auto"/>
              </w:rPr>
              <w:t>Icon Partners V C, L.P.</w:t>
            </w:r>
          </w:p>
        </w:tc>
        <w:tc>
          <w:tcPr>
            <w:tcW w:w="140" w:type="dxa"/>
            <w:vAlign w:val="bottom"/>
          </w:tcPr>
          <w:p>
            <w:pPr>
              <w:spacing w:after="0"/>
              <w:rPr>
                <w:sz w:val="8"/>
                <w:szCs w:val="8"/>
                <w:color w:val="auto"/>
              </w:rPr>
            </w:pPr>
          </w:p>
        </w:tc>
        <w:tc>
          <w:tcPr>
            <w:tcW w:w="740" w:type="dxa"/>
            <w:vAlign w:val="bottom"/>
          </w:tcPr>
          <w:p>
            <w:pPr>
              <w:ind w:left="620"/>
              <w:spacing w:after="0" w:line="103" w:lineRule="exact"/>
              <w:rPr>
                <w:sz w:val="20"/>
                <w:szCs w:val="20"/>
                <w:color w:val="auto"/>
              </w:rPr>
            </w:pPr>
            <w:r>
              <w:rPr>
                <w:rFonts w:ascii="Times New Roman" w:cs="Times New Roman" w:eastAsia="Times New Roman" w:hAnsi="Times New Roman"/>
                <w:sz w:val="11"/>
                <w:szCs w:val="11"/>
                <w:color w:val="auto"/>
                <w:w w:val="90"/>
              </w:rPr>
              <w:t>—</w:t>
            </w:r>
          </w:p>
        </w:tc>
        <w:tc>
          <w:tcPr>
            <w:tcW w:w="260" w:type="dxa"/>
            <w:vAlign w:val="bottom"/>
          </w:tcPr>
          <w:p>
            <w:pPr>
              <w:spacing w:after="0"/>
              <w:rPr>
                <w:sz w:val="8"/>
                <w:szCs w:val="8"/>
                <w:color w:val="auto"/>
              </w:rPr>
            </w:pPr>
          </w:p>
        </w:tc>
        <w:tc>
          <w:tcPr>
            <w:tcW w:w="2020" w:type="dxa"/>
            <w:vAlign w:val="bottom"/>
          </w:tcPr>
          <w:p>
            <w:pPr>
              <w:jc w:val="center"/>
              <w:spacing w:after="0" w:line="103" w:lineRule="exact"/>
              <w:rPr>
                <w:sz w:val="20"/>
                <w:szCs w:val="20"/>
                <w:color w:val="auto"/>
              </w:rPr>
            </w:pPr>
            <w:r>
              <w:rPr>
                <w:rFonts w:ascii="Times New Roman" w:cs="Times New Roman" w:eastAsia="Times New Roman" w:hAnsi="Times New Roman"/>
                <w:sz w:val="11"/>
                <w:szCs w:val="11"/>
                <w:color w:val="auto"/>
                <w:w w:val="97"/>
              </w:rPr>
              <w:t>Internet Software and Services</w:t>
            </w:r>
          </w:p>
        </w:tc>
        <w:tc>
          <w:tcPr>
            <w:tcW w:w="140" w:type="dxa"/>
            <w:vAlign w:val="bottom"/>
          </w:tcPr>
          <w:p>
            <w:pPr>
              <w:spacing w:after="0"/>
              <w:rPr>
                <w:sz w:val="8"/>
                <w:szCs w:val="8"/>
                <w:color w:val="auto"/>
              </w:rPr>
            </w:pPr>
          </w:p>
        </w:tc>
        <w:tc>
          <w:tcPr>
            <w:tcW w:w="1080" w:type="dxa"/>
            <w:vAlign w:val="bottom"/>
            <w:gridSpan w:val="2"/>
          </w:tcPr>
          <w:p>
            <w:pPr>
              <w:jc w:val="right"/>
              <w:ind w:right="240"/>
              <w:spacing w:after="0" w:line="103" w:lineRule="exact"/>
              <w:rPr>
                <w:sz w:val="20"/>
                <w:szCs w:val="20"/>
                <w:color w:val="auto"/>
              </w:rPr>
            </w:pPr>
            <w:r>
              <w:rPr>
                <w:rFonts w:ascii="Times New Roman" w:cs="Times New Roman" w:eastAsia="Times New Roman" w:hAnsi="Times New Roman"/>
                <w:sz w:val="11"/>
                <w:szCs w:val="11"/>
                <w:color w:val="auto"/>
              </w:rPr>
              <w:t>—</w:t>
            </w:r>
          </w:p>
        </w:tc>
        <w:tc>
          <w:tcPr>
            <w:tcW w:w="820" w:type="dxa"/>
            <w:vAlign w:val="bottom"/>
          </w:tcPr>
          <w:p>
            <w:pPr>
              <w:ind w:left="700"/>
              <w:spacing w:after="0" w:line="103" w:lineRule="exact"/>
              <w:rPr>
                <w:sz w:val="20"/>
                <w:szCs w:val="20"/>
                <w:color w:val="auto"/>
              </w:rPr>
            </w:pPr>
            <w:r>
              <w:rPr>
                <w:rFonts w:ascii="Times New Roman" w:cs="Times New Roman" w:eastAsia="Times New Roman" w:hAnsi="Times New Roman"/>
                <w:sz w:val="11"/>
                <w:szCs w:val="11"/>
                <w:color w:val="auto"/>
                <w:w w:val="90"/>
              </w:rPr>
              <w:t>—</w:t>
            </w:r>
          </w:p>
        </w:tc>
        <w:tc>
          <w:tcPr>
            <w:tcW w:w="1060" w:type="dxa"/>
            <w:vAlign w:val="bottom"/>
            <w:gridSpan w:val="2"/>
          </w:tcPr>
          <w:p>
            <w:pPr>
              <w:jc w:val="right"/>
              <w:spacing w:after="0" w:line="103" w:lineRule="exact"/>
              <w:rPr>
                <w:sz w:val="20"/>
                <w:szCs w:val="20"/>
                <w:color w:val="auto"/>
              </w:rPr>
            </w:pPr>
            <w:r>
              <w:rPr>
                <w:rFonts w:ascii="Times New Roman" w:cs="Times New Roman" w:eastAsia="Times New Roman" w:hAnsi="Times New Roman"/>
                <w:sz w:val="11"/>
                <w:szCs w:val="11"/>
                <w:color w:val="auto"/>
              </w:rPr>
              <w:t>1,851,852</w:t>
            </w: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tcPr>
          <w:p>
            <w:pPr>
              <w:jc w:val="right"/>
              <w:spacing w:after="0" w:line="103" w:lineRule="exact"/>
              <w:rPr>
                <w:sz w:val="20"/>
                <w:szCs w:val="20"/>
                <w:color w:val="auto"/>
              </w:rPr>
            </w:pPr>
            <w:r>
              <w:rPr>
                <w:rFonts w:ascii="Times New Roman" w:cs="Times New Roman" w:eastAsia="Times New Roman" w:hAnsi="Times New Roman"/>
                <w:sz w:val="11"/>
                <w:szCs w:val="11"/>
                <w:color w:val="auto"/>
              </w:rPr>
              <w:t>1,852</w:t>
            </w: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jc w:val="right"/>
              <w:spacing w:after="0" w:line="103" w:lineRule="exact"/>
              <w:rPr>
                <w:sz w:val="20"/>
                <w:szCs w:val="20"/>
                <w:color w:val="auto"/>
              </w:rPr>
            </w:pPr>
            <w:r>
              <w:rPr>
                <w:rFonts w:ascii="Times New Roman" w:cs="Times New Roman" w:eastAsia="Times New Roman" w:hAnsi="Times New Roman"/>
                <w:sz w:val="11"/>
                <w:szCs w:val="11"/>
                <w:color w:val="auto"/>
              </w:rPr>
              <w:t>1,989</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3"/>
        </w:trPr>
        <w:tc>
          <w:tcPr>
            <w:tcW w:w="2860" w:type="dxa"/>
            <w:vAlign w:val="bottom"/>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Icon Partners V C, L.P. </w:t>
            </w:r>
            <w:r>
              <w:rPr>
                <w:rFonts w:ascii="Times New Roman" w:cs="Times New Roman" w:eastAsia="Times New Roman" w:hAnsi="Times New Roman"/>
                <w:sz w:val="14"/>
                <w:szCs w:val="14"/>
                <w:color w:val="auto"/>
                <w:vertAlign w:val="superscript"/>
              </w:rPr>
              <w:t>(7), (9)</w:t>
            </w:r>
          </w:p>
        </w:tc>
        <w:tc>
          <w:tcPr>
            <w:tcW w:w="140" w:type="dxa"/>
            <w:vAlign w:val="bottom"/>
          </w:tcPr>
          <w:p>
            <w:pPr>
              <w:spacing w:after="0"/>
              <w:rPr>
                <w:sz w:val="13"/>
                <w:szCs w:val="13"/>
                <w:color w:val="auto"/>
              </w:rPr>
            </w:pPr>
          </w:p>
        </w:tc>
        <w:tc>
          <w:tcPr>
            <w:tcW w:w="740" w:type="dxa"/>
            <w:vAlign w:val="bottom"/>
          </w:tcPr>
          <w:p>
            <w:pPr>
              <w:ind w:left="620"/>
              <w:spacing w:after="0"/>
              <w:rPr>
                <w:sz w:val="20"/>
                <w:szCs w:val="20"/>
                <w:color w:val="auto"/>
              </w:rPr>
            </w:pPr>
            <w:r>
              <w:rPr>
                <w:rFonts w:ascii="Times New Roman" w:cs="Times New Roman" w:eastAsia="Times New Roman" w:hAnsi="Times New Roman"/>
                <w:sz w:val="11"/>
                <w:szCs w:val="11"/>
                <w:color w:val="auto"/>
                <w:w w:val="90"/>
              </w:rPr>
              <w:t>—</w:t>
            </w:r>
          </w:p>
        </w:tc>
        <w:tc>
          <w:tcPr>
            <w:tcW w:w="260" w:type="dxa"/>
            <w:vAlign w:val="bottom"/>
          </w:tcPr>
          <w:p>
            <w:pPr>
              <w:spacing w:after="0"/>
              <w:rPr>
                <w:sz w:val="13"/>
                <w:szCs w:val="13"/>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Internet Software and Services</w:t>
            </w:r>
          </w:p>
        </w:tc>
        <w:tc>
          <w:tcPr>
            <w:tcW w:w="140" w:type="dxa"/>
            <w:vAlign w:val="bottom"/>
          </w:tcPr>
          <w:p>
            <w:pPr>
              <w:spacing w:after="0"/>
              <w:rPr>
                <w:sz w:val="13"/>
                <w:szCs w:val="13"/>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tcPr>
          <w:p>
            <w:pPr>
              <w:ind w:left="700"/>
              <w:spacing w:after="0"/>
              <w:rPr>
                <w:sz w:val="20"/>
                <w:szCs w:val="20"/>
                <w:color w:val="auto"/>
              </w:rPr>
            </w:pPr>
            <w:r>
              <w:rPr>
                <w:rFonts w:ascii="Times New Roman" w:cs="Times New Roman" w:eastAsia="Times New Roman" w:hAnsi="Times New Roman"/>
                <w:sz w:val="11"/>
                <w:szCs w:val="11"/>
                <w:color w:val="auto"/>
                <w:w w:val="90"/>
              </w:rPr>
              <w:t>—</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648,148</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17"/>
        </w:trPr>
        <w:tc>
          <w:tcPr>
            <w:tcW w:w="2860" w:type="dxa"/>
            <w:vAlign w:val="bottom"/>
          </w:tcPr>
          <w:p>
            <w:pPr>
              <w:ind w:left="20"/>
              <w:spacing w:after="0" w:line="117" w:lineRule="exact"/>
              <w:rPr>
                <w:sz w:val="20"/>
                <w:szCs w:val="20"/>
                <w:color w:val="auto"/>
              </w:rPr>
            </w:pPr>
            <w:r>
              <w:rPr>
                <w:rFonts w:ascii="Times New Roman" w:cs="Times New Roman" w:eastAsia="Times New Roman" w:hAnsi="Times New Roman"/>
                <w:sz w:val="11"/>
                <w:szCs w:val="11"/>
                <w:color w:val="auto"/>
              </w:rPr>
              <w:t>IIN Group Holdings, LLC</w:t>
            </w:r>
          </w:p>
        </w:tc>
        <w:tc>
          <w:tcPr>
            <w:tcW w:w="140" w:type="dxa"/>
            <w:vAlign w:val="bottom"/>
          </w:tcPr>
          <w:p>
            <w:pPr>
              <w:spacing w:after="0"/>
              <w:rPr>
                <w:sz w:val="10"/>
                <w:szCs w:val="10"/>
                <w:color w:val="auto"/>
              </w:rPr>
            </w:pPr>
          </w:p>
        </w:tc>
        <w:tc>
          <w:tcPr>
            <w:tcW w:w="740" w:type="dxa"/>
            <w:vAlign w:val="bottom"/>
          </w:tcPr>
          <w:p>
            <w:pPr>
              <w:ind w:left="620"/>
              <w:spacing w:after="0" w:line="117" w:lineRule="exact"/>
              <w:rPr>
                <w:sz w:val="20"/>
                <w:szCs w:val="20"/>
                <w:color w:val="auto"/>
              </w:rPr>
            </w:pPr>
            <w:r>
              <w:rPr>
                <w:rFonts w:ascii="Times New Roman" w:cs="Times New Roman" w:eastAsia="Times New Roman" w:hAnsi="Times New Roman"/>
                <w:sz w:val="11"/>
                <w:szCs w:val="11"/>
                <w:color w:val="auto"/>
                <w:w w:val="90"/>
              </w:rPr>
              <w:t>—</w:t>
            </w:r>
          </w:p>
        </w:tc>
        <w:tc>
          <w:tcPr>
            <w:tcW w:w="260" w:type="dxa"/>
            <w:vAlign w:val="bottom"/>
          </w:tcPr>
          <w:p>
            <w:pPr>
              <w:spacing w:after="0"/>
              <w:rPr>
                <w:sz w:val="10"/>
                <w:szCs w:val="10"/>
                <w:color w:val="auto"/>
              </w:rPr>
            </w:pPr>
          </w:p>
        </w:tc>
        <w:tc>
          <w:tcPr>
            <w:tcW w:w="202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color w:val="auto"/>
                <w:w w:val="98"/>
              </w:rPr>
              <w:t>Consumer Services</w:t>
            </w:r>
          </w:p>
        </w:tc>
        <w:tc>
          <w:tcPr>
            <w:tcW w:w="140" w:type="dxa"/>
            <w:vAlign w:val="bottom"/>
          </w:tcPr>
          <w:p>
            <w:pPr>
              <w:spacing w:after="0"/>
              <w:rPr>
                <w:sz w:val="10"/>
                <w:szCs w:val="10"/>
                <w:color w:val="auto"/>
              </w:rPr>
            </w:pPr>
          </w:p>
        </w:tc>
        <w:tc>
          <w:tcPr>
            <w:tcW w:w="1080" w:type="dxa"/>
            <w:vAlign w:val="bottom"/>
            <w:gridSpan w:val="2"/>
          </w:tcPr>
          <w:p>
            <w:pPr>
              <w:jc w:val="right"/>
              <w:ind w:right="240"/>
              <w:spacing w:after="0" w:line="117" w:lineRule="exact"/>
              <w:rPr>
                <w:sz w:val="20"/>
                <w:szCs w:val="20"/>
                <w:color w:val="auto"/>
              </w:rPr>
            </w:pPr>
            <w:r>
              <w:rPr>
                <w:rFonts w:ascii="Times New Roman" w:cs="Times New Roman" w:eastAsia="Times New Roman" w:hAnsi="Times New Roman"/>
                <w:sz w:val="11"/>
                <w:szCs w:val="11"/>
                <w:color w:val="auto"/>
              </w:rPr>
              <w:t>—</w:t>
            </w:r>
          </w:p>
        </w:tc>
        <w:tc>
          <w:tcPr>
            <w:tcW w:w="820" w:type="dxa"/>
            <w:vAlign w:val="bottom"/>
          </w:tcPr>
          <w:p>
            <w:pPr>
              <w:ind w:left="700"/>
              <w:spacing w:after="0" w:line="117" w:lineRule="exact"/>
              <w:rPr>
                <w:sz w:val="20"/>
                <w:szCs w:val="20"/>
                <w:color w:val="auto"/>
              </w:rPr>
            </w:pPr>
            <w:r>
              <w:rPr>
                <w:rFonts w:ascii="Times New Roman" w:cs="Times New Roman" w:eastAsia="Times New Roman" w:hAnsi="Times New Roman"/>
                <w:sz w:val="11"/>
                <w:szCs w:val="11"/>
                <w:color w:val="auto"/>
                <w:w w:val="90"/>
              </w:rPr>
              <w:t>—</w:t>
            </w:r>
          </w:p>
        </w:tc>
        <w:tc>
          <w:tcPr>
            <w:tcW w:w="106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1"/>
                <w:szCs w:val="11"/>
                <w:color w:val="auto"/>
              </w:rPr>
              <w:t>1,000</w:t>
            </w: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1,000</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54</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860" w:type="dxa"/>
            <w:vAlign w:val="bottom"/>
          </w:tcPr>
          <w:p>
            <w:pPr>
              <w:ind w:left="100"/>
              <w:spacing w:after="0" w:line="153" w:lineRule="exact"/>
              <w:rPr>
                <w:sz w:val="20"/>
                <w:szCs w:val="20"/>
                <w:color w:val="auto"/>
              </w:rPr>
            </w:pPr>
            <w:r>
              <w:rPr>
                <w:rFonts w:ascii="Times New Roman" w:cs="Times New Roman" w:eastAsia="Times New Roman" w:hAnsi="Times New Roman"/>
                <w:sz w:val="11"/>
                <w:szCs w:val="11"/>
                <w:color w:val="auto"/>
              </w:rPr>
              <w:t xml:space="preserve">(Integrative Nutrition, LLC) </w:t>
            </w:r>
            <w:r>
              <w:rPr>
                <w:rFonts w:ascii="Times New Roman" w:cs="Times New Roman" w:eastAsia="Times New Roman" w:hAnsi="Times New Roman"/>
                <w:sz w:val="14"/>
                <w:szCs w:val="14"/>
                <w:color w:val="auto"/>
                <w:vertAlign w:val="superscript"/>
              </w:rPr>
              <w:t>(7), (8)</w:t>
            </w: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2860" w:type="dxa"/>
            <w:vAlign w:val="bottom"/>
          </w:tcPr>
          <w:p>
            <w:pPr>
              <w:ind w:left="20"/>
              <w:spacing w:after="0" w:line="117" w:lineRule="exact"/>
              <w:rPr>
                <w:sz w:val="20"/>
                <w:szCs w:val="20"/>
                <w:color w:val="auto"/>
              </w:rPr>
            </w:pPr>
            <w:r>
              <w:rPr>
                <w:rFonts w:ascii="Times New Roman" w:cs="Times New Roman" w:eastAsia="Times New Roman" w:hAnsi="Times New Roman"/>
                <w:sz w:val="11"/>
                <w:szCs w:val="11"/>
                <w:color w:val="auto"/>
              </w:rPr>
              <w:t>Imagine Topco, LP (Common)</w:t>
            </w:r>
          </w:p>
        </w:tc>
        <w:tc>
          <w:tcPr>
            <w:tcW w:w="140" w:type="dxa"/>
            <w:vAlign w:val="bottom"/>
          </w:tcPr>
          <w:p>
            <w:pPr>
              <w:spacing w:after="0"/>
              <w:rPr>
                <w:sz w:val="10"/>
                <w:szCs w:val="10"/>
                <w:color w:val="auto"/>
              </w:rPr>
            </w:pPr>
          </w:p>
        </w:tc>
        <w:tc>
          <w:tcPr>
            <w:tcW w:w="740" w:type="dxa"/>
            <w:vAlign w:val="bottom"/>
          </w:tcPr>
          <w:p>
            <w:pPr>
              <w:ind w:left="620"/>
              <w:spacing w:after="0" w:line="117" w:lineRule="exact"/>
              <w:rPr>
                <w:sz w:val="20"/>
                <w:szCs w:val="20"/>
                <w:color w:val="auto"/>
              </w:rPr>
            </w:pPr>
            <w:r>
              <w:rPr>
                <w:rFonts w:ascii="Times New Roman" w:cs="Times New Roman" w:eastAsia="Times New Roman" w:hAnsi="Times New Roman"/>
                <w:sz w:val="11"/>
                <w:szCs w:val="11"/>
                <w:color w:val="auto"/>
                <w:w w:val="90"/>
              </w:rPr>
              <w:t>—</w:t>
            </w:r>
          </w:p>
        </w:tc>
        <w:tc>
          <w:tcPr>
            <w:tcW w:w="260" w:type="dxa"/>
            <w:vAlign w:val="bottom"/>
          </w:tcPr>
          <w:p>
            <w:pPr>
              <w:spacing w:after="0"/>
              <w:rPr>
                <w:sz w:val="10"/>
                <w:szCs w:val="10"/>
                <w:color w:val="auto"/>
              </w:rPr>
            </w:pPr>
          </w:p>
        </w:tc>
        <w:tc>
          <w:tcPr>
            <w:tcW w:w="202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color w:val="auto"/>
              </w:rPr>
              <w:t>Software</w:t>
            </w:r>
          </w:p>
        </w:tc>
        <w:tc>
          <w:tcPr>
            <w:tcW w:w="140" w:type="dxa"/>
            <w:vAlign w:val="bottom"/>
          </w:tcPr>
          <w:p>
            <w:pPr>
              <w:spacing w:after="0"/>
              <w:rPr>
                <w:sz w:val="10"/>
                <w:szCs w:val="10"/>
                <w:color w:val="auto"/>
              </w:rPr>
            </w:pPr>
          </w:p>
        </w:tc>
        <w:tc>
          <w:tcPr>
            <w:tcW w:w="1080" w:type="dxa"/>
            <w:vAlign w:val="bottom"/>
            <w:gridSpan w:val="2"/>
          </w:tcPr>
          <w:p>
            <w:pPr>
              <w:jc w:val="right"/>
              <w:ind w:right="240"/>
              <w:spacing w:after="0" w:line="117" w:lineRule="exact"/>
              <w:rPr>
                <w:sz w:val="20"/>
                <w:szCs w:val="20"/>
                <w:color w:val="auto"/>
              </w:rPr>
            </w:pPr>
            <w:r>
              <w:rPr>
                <w:rFonts w:ascii="Times New Roman" w:cs="Times New Roman" w:eastAsia="Times New Roman" w:hAnsi="Times New Roman"/>
                <w:sz w:val="11"/>
                <w:szCs w:val="11"/>
                <w:color w:val="auto"/>
              </w:rPr>
              <w:t>—</w:t>
            </w:r>
          </w:p>
        </w:tc>
        <w:tc>
          <w:tcPr>
            <w:tcW w:w="820" w:type="dxa"/>
            <w:vAlign w:val="bottom"/>
          </w:tcPr>
          <w:p>
            <w:pPr>
              <w:ind w:left="700"/>
              <w:spacing w:after="0" w:line="117" w:lineRule="exact"/>
              <w:rPr>
                <w:sz w:val="20"/>
                <w:szCs w:val="20"/>
                <w:color w:val="auto"/>
              </w:rPr>
            </w:pPr>
            <w:r>
              <w:rPr>
                <w:rFonts w:ascii="Times New Roman" w:cs="Times New Roman" w:eastAsia="Times New Roman" w:hAnsi="Times New Roman"/>
                <w:sz w:val="11"/>
                <w:szCs w:val="11"/>
                <w:color w:val="auto"/>
                <w:w w:val="90"/>
              </w:rPr>
              <w:t>—</w:t>
            </w:r>
          </w:p>
        </w:tc>
        <w:tc>
          <w:tcPr>
            <w:tcW w:w="106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1"/>
                <w:szCs w:val="11"/>
                <w:color w:val="auto"/>
              </w:rPr>
              <w:t>1,236,027</w:t>
            </w: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gridSpan w:val="2"/>
          </w:tcPr>
          <w:p>
            <w:pPr>
              <w:jc w:val="right"/>
              <w:ind w:right="120"/>
              <w:spacing w:after="0" w:line="117"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53"/>
        </w:trPr>
        <w:tc>
          <w:tcPr>
            <w:tcW w:w="2860" w:type="dxa"/>
            <w:vAlign w:val="bottom"/>
          </w:tcPr>
          <w:p>
            <w:pPr>
              <w:ind w:left="20"/>
              <w:spacing w:after="0" w:line="153" w:lineRule="exact"/>
              <w:rPr>
                <w:sz w:val="20"/>
                <w:szCs w:val="20"/>
                <w:color w:val="auto"/>
              </w:rPr>
            </w:pPr>
            <w:r>
              <w:rPr>
                <w:rFonts w:ascii="Times New Roman" w:cs="Times New Roman" w:eastAsia="Times New Roman" w:hAnsi="Times New Roman"/>
                <w:sz w:val="11"/>
                <w:szCs w:val="11"/>
                <w:color w:val="auto"/>
                <w:w w:val="98"/>
              </w:rPr>
              <w:t xml:space="preserve">Ironclad Holdco, LLC (Applied Technical Services, LLC) </w:t>
            </w:r>
            <w:r>
              <w:rPr>
                <w:rFonts w:ascii="Times New Roman" w:cs="Times New Roman" w:eastAsia="Times New Roman" w:hAnsi="Times New Roman"/>
                <w:sz w:val="14"/>
                <w:szCs w:val="14"/>
                <w:color w:val="auto"/>
                <w:w w:val="98"/>
                <w:vertAlign w:val="superscript"/>
              </w:rPr>
              <w:t>(7), (8)</w:t>
            </w:r>
          </w:p>
        </w:tc>
        <w:tc>
          <w:tcPr>
            <w:tcW w:w="140" w:type="dxa"/>
            <w:vAlign w:val="bottom"/>
          </w:tcPr>
          <w:p>
            <w:pPr>
              <w:spacing w:after="0"/>
              <w:rPr>
                <w:sz w:val="13"/>
                <w:szCs w:val="13"/>
                <w:color w:val="auto"/>
              </w:rPr>
            </w:pPr>
          </w:p>
        </w:tc>
        <w:tc>
          <w:tcPr>
            <w:tcW w:w="740" w:type="dxa"/>
            <w:vAlign w:val="bottom"/>
          </w:tcPr>
          <w:p>
            <w:pPr>
              <w:ind w:left="620"/>
              <w:spacing w:after="0"/>
              <w:rPr>
                <w:sz w:val="20"/>
                <w:szCs w:val="20"/>
                <w:color w:val="auto"/>
              </w:rPr>
            </w:pPr>
            <w:r>
              <w:rPr>
                <w:rFonts w:ascii="Times New Roman" w:cs="Times New Roman" w:eastAsia="Times New Roman" w:hAnsi="Times New Roman"/>
                <w:sz w:val="11"/>
                <w:szCs w:val="11"/>
                <w:color w:val="auto"/>
                <w:w w:val="90"/>
              </w:rPr>
              <w:t>—</w:t>
            </w:r>
          </w:p>
        </w:tc>
        <w:tc>
          <w:tcPr>
            <w:tcW w:w="260" w:type="dxa"/>
            <w:vAlign w:val="bottom"/>
          </w:tcPr>
          <w:p>
            <w:pPr>
              <w:spacing w:after="0"/>
              <w:rPr>
                <w:sz w:val="13"/>
                <w:szCs w:val="13"/>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Commercial Services &amp; Supplies</w:t>
            </w:r>
          </w:p>
        </w:tc>
        <w:tc>
          <w:tcPr>
            <w:tcW w:w="140" w:type="dxa"/>
            <w:vAlign w:val="bottom"/>
          </w:tcPr>
          <w:p>
            <w:pPr>
              <w:spacing w:after="0"/>
              <w:rPr>
                <w:sz w:val="13"/>
                <w:szCs w:val="13"/>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tcPr>
          <w:p>
            <w:pPr>
              <w:ind w:left="700"/>
              <w:spacing w:after="0"/>
              <w:rPr>
                <w:sz w:val="20"/>
                <w:szCs w:val="20"/>
                <w:color w:val="auto"/>
              </w:rPr>
            </w:pPr>
            <w:r>
              <w:rPr>
                <w:rFonts w:ascii="Times New Roman" w:cs="Times New Roman" w:eastAsia="Times New Roman" w:hAnsi="Times New Roman"/>
                <w:sz w:val="11"/>
                <w:szCs w:val="11"/>
                <w:color w:val="auto"/>
                <w:w w:val="90"/>
              </w:rPr>
              <w:t>—</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5,811</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573</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754</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2860" w:type="dxa"/>
            <w:vAlign w:val="bottom"/>
          </w:tcPr>
          <w:p>
            <w:pPr>
              <w:ind w:left="20"/>
              <w:spacing w:after="0" w:line="117" w:lineRule="exact"/>
              <w:rPr>
                <w:sz w:val="20"/>
                <w:szCs w:val="20"/>
                <w:color w:val="auto"/>
              </w:rPr>
            </w:pPr>
            <w:r>
              <w:rPr>
                <w:rFonts w:ascii="Times New Roman" w:cs="Times New Roman" w:eastAsia="Times New Roman" w:hAnsi="Times New Roman"/>
                <w:sz w:val="11"/>
                <w:szCs w:val="11"/>
                <w:color w:val="auto"/>
              </w:rPr>
              <w:t>ITC Infusion Co-invest, LP</w:t>
            </w:r>
          </w:p>
        </w:tc>
        <w:tc>
          <w:tcPr>
            <w:tcW w:w="140" w:type="dxa"/>
            <w:vAlign w:val="bottom"/>
          </w:tcPr>
          <w:p>
            <w:pPr>
              <w:spacing w:after="0"/>
              <w:rPr>
                <w:sz w:val="10"/>
                <w:szCs w:val="10"/>
                <w:color w:val="auto"/>
              </w:rPr>
            </w:pPr>
          </w:p>
        </w:tc>
        <w:tc>
          <w:tcPr>
            <w:tcW w:w="740" w:type="dxa"/>
            <w:vAlign w:val="bottom"/>
          </w:tcPr>
          <w:p>
            <w:pPr>
              <w:ind w:left="620"/>
              <w:spacing w:after="0" w:line="117" w:lineRule="exact"/>
              <w:rPr>
                <w:sz w:val="20"/>
                <w:szCs w:val="20"/>
                <w:color w:val="auto"/>
              </w:rPr>
            </w:pPr>
            <w:r>
              <w:rPr>
                <w:rFonts w:ascii="Times New Roman" w:cs="Times New Roman" w:eastAsia="Times New Roman" w:hAnsi="Times New Roman"/>
                <w:sz w:val="11"/>
                <w:szCs w:val="11"/>
                <w:color w:val="auto"/>
                <w:w w:val="90"/>
              </w:rPr>
              <w:t>—</w:t>
            </w:r>
          </w:p>
        </w:tc>
        <w:tc>
          <w:tcPr>
            <w:tcW w:w="260" w:type="dxa"/>
            <w:vAlign w:val="bottom"/>
          </w:tcPr>
          <w:p>
            <w:pPr>
              <w:spacing w:after="0"/>
              <w:rPr>
                <w:sz w:val="10"/>
                <w:szCs w:val="10"/>
                <w:color w:val="auto"/>
              </w:rPr>
            </w:pPr>
          </w:p>
        </w:tc>
        <w:tc>
          <w:tcPr>
            <w:tcW w:w="202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color w:val="auto"/>
                <w:w w:val="98"/>
              </w:rPr>
              <w:t>Healthcare Equipment and Supplies</w:t>
            </w:r>
          </w:p>
        </w:tc>
        <w:tc>
          <w:tcPr>
            <w:tcW w:w="140" w:type="dxa"/>
            <w:vAlign w:val="bottom"/>
          </w:tcPr>
          <w:p>
            <w:pPr>
              <w:spacing w:after="0"/>
              <w:rPr>
                <w:sz w:val="10"/>
                <w:szCs w:val="10"/>
                <w:color w:val="auto"/>
              </w:rPr>
            </w:pPr>
          </w:p>
        </w:tc>
        <w:tc>
          <w:tcPr>
            <w:tcW w:w="1080" w:type="dxa"/>
            <w:vAlign w:val="bottom"/>
            <w:gridSpan w:val="2"/>
          </w:tcPr>
          <w:p>
            <w:pPr>
              <w:jc w:val="right"/>
              <w:ind w:right="240"/>
              <w:spacing w:after="0" w:line="117" w:lineRule="exact"/>
              <w:rPr>
                <w:sz w:val="20"/>
                <w:szCs w:val="20"/>
                <w:color w:val="auto"/>
              </w:rPr>
            </w:pPr>
            <w:r>
              <w:rPr>
                <w:rFonts w:ascii="Times New Roman" w:cs="Times New Roman" w:eastAsia="Times New Roman" w:hAnsi="Times New Roman"/>
                <w:sz w:val="11"/>
                <w:szCs w:val="11"/>
                <w:color w:val="auto"/>
              </w:rPr>
              <w:t>—</w:t>
            </w:r>
          </w:p>
        </w:tc>
        <w:tc>
          <w:tcPr>
            <w:tcW w:w="820" w:type="dxa"/>
            <w:vAlign w:val="bottom"/>
          </w:tcPr>
          <w:p>
            <w:pPr>
              <w:ind w:left="700"/>
              <w:spacing w:after="0" w:line="117" w:lineRule="exact"/>
              <w:rPr>
                <w:sz w:val="20"/>
                <w:szCs w:val="20"/>
                <w:color w:val="auto"/>
              </w:rPr>
            </w:pPr>
            <w:r>
              <w:rPr>
                <w:rFonts w:ascii="Times New Roman" w:cs="Times New Roman" w:eastAsia="Times New Roman" w:hAnsi="Times New Roman"/>
                <w:sz w:val="11"/>
                <w:szCs w:val="11"/>
                <w:color w:val="auto"/>
                <w:w w:val="90"/>
              </w:rPr>
              <w:t>—</w:t>
            </w:r>
          </w:p>
        </w:tc>
        <w:tc>
          <w:tcPr>
            <w:tcW w:w="106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1"/>
                <w:szCs w:val="11"/>
                <w:color w:val="auto"/>
              </w:rPr>
              <w:t>81,313</w:t>
            </w: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813</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857</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860" w:type="dxa"/>
            <w:vAlign w:val="bottom"/>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ITC Rumba, LLC (Cano Health, LLC) </w:t>
            </w:r>
            <w:r>
              <w:rPr>
                <w:rFonts w:ascii="Times New Roman" w:cs="Times New Roman" w:eastAsia="Times New Roman" w:hAnsi="Times New Roman"/>
                <w:sz w:val="14"/>
                <w:szCs w:val="14"/>
                <w:color w:val="auto"/>
                <w:vertAlign w:val="superscript"/>
              </w:rPr>
              <w:t>(7),(8)</w:t>
            </w:r>
          </w:p>
        </w:tc>
        <w:tc>
          <w:tcPr>
            <w:tcW w:w="140" w:type="dxa"/>
            <w:vAlign w:val="bottom"/>
          </w:tcPr>
          <w:p>
            <w:pPr>
              <w:spacing w:after="0"/>
              <w:rPr>
                <w:sz w:val="13"/>
                <w:szCs w:val="13"/>
                <w:color w:val="auto"/>
              </w:rPr>
            </w:pPr>
          </w:p>
        </w:tc>
        <w:tc>
          <w:tcPr>
            <w:tcW w:w="740" w:type="dxa"/>
            <w:vAlign w:val="bottom"/>
          </w:tcPr>
          <w:p>
            <w:pPr>
              <w:ind w:left="620"/>
              <w:spacing w:after="0"/>
              <w:rPr>
                <w:sz w:val="20"/>
                <w:szCs w:val="20"/>
                <w:color w:val="auto"/>
              </w:rPr>
            </w:pPr>
            <w:r>
              <w:rPr>
                <w:rFonts w:ascii="Times New Roman" w:cs="Times New Roman" w:eastAsia="Times New Roman" w:hAnsi="Times New Roman"/>
                <w:sz w:val="11"/>
                <w:szCs w:val="11"/>
                <w:color w:val="auto"/>
                <w:w w:val="90"/>
              </w:rPr>
              <w:t>—</w:t>
            </w:r>
          </w:p>
        </w:tc>
        <w:tc>
          <w:tcPr>
            <w:tcW w:w="260" w:type="dxa"/>
            <w:vAlign w:val="bottom"/>
          </w:tcPr>
          <w:p>
            <w:pPr>
              <w:spacing w:after="0"/>
              <w:rPr>
                <w:sz w:val="13"/>
                <w:szCs w:val="13"/>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Healthcare and Pharmaceuticals</w:t>
            </w:r>
          </w:p>
        </w:tc>
        <w:tc>
          <w:tcPr>
            <w:tcW w:w="140" w:type="dxa"/>
            <w:vAlign w:val="bottom"/>
          </w:tcPr>
          <w:p>
            <w:pPr>
              <w:spacing w:after="0"/>
              <w:rPr>
                <w:sz w:val="13"/>
                <w:szCs w:val="13"/>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tcPr>
          <w:p>
            <w:pPr>
              <w:ind w:left="700"/>
              <w:spacing w:after="0"/>
              <w:rPr>
                <w:sz w:val="20"/>
                <w:szCs w:val="20"/>
                <w:color w:val="auto"/>
              </w:rPr>
            </w:pPr>
            <w:r>
              <w:rPr>
                <w:rFonts w:ascii="Times New Roman" w:cs="Times New Roman" w:eastAsia="Times New Roman" w:hAnsi="Times New Roman"/>
                <w:sz w:val="11"/>
                <w:szCs w:val="11"/>
                <w:color w:val="auto"/>
                <w:w w:val="90"/>
              </w:rPr>
              <w:t>—</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46,763</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117</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5,232</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2860" w:type="dxa"/>
            <w:vAlign w:val="bottom"/>
            <w:shd w:val="clear" w:color="auto" w:fill="CCECFF"/>
          </w:tcPr>
          <w:p>
            <w:pPr>
              <w:ind w:left="20"/>
              <w:spacing w:after="0" w:line="117" w:lineRule="exact"/>
              <w:rPr>
                <w:sz w:val="20"/>
                <w:szCs w:val="20"/>
                <w:color w:val="auto"/>
              </w:rPr>
            </w:pPr>
            <w:r>
              <w:rPr>
                <w:rFonts w:ascii="Times New Roman" w:cs="Times New Roman" w:eastAsia="Times New Roman" w:hAnsi="Times New Roman"/>
                <w:sz w:val="11"/>
                <w:szCs w:val="11"/>
                <w:color w:val="auto"/>
              </w:rPr>
              <w:t>JWC-WE Holdings, L.P.</w:t>
            </w:r>
          </w:p>
        </w:tc>
        <w:tc>
          <w:tcPr>
            <w:tcW w:w="140" w:type="dxa"/>
            <w:vAlign w:val="bottom"/>
          </w:tcPr>
          <w:p>
            <w:pPr>
              <w:spacing w:after="0"/>
              <w:rPr>
                <w:sz w:val="10"/>
                <w:szCs w:val="10"/>
                <w:color w:val="auto"/>
              </w:rPr>
            </w:pPr>
          </w:p>
        </w:tc>
        <w:tc>
          <w:tcPr>
            <w:tcW w:w="740" w:type="dxa"/>
            <w:vAlign w:val="bottom"/>
          </w:tcPr>
          <w:p>
            <w:pPr>
              <w:ind w:left="620"/>
              <w:spacing w:after="0" w:line="117" w:lineRule="exact"/>
              <w:rPr>
                <w:sz w:val="20"/>
                <w:szCs w:val="20"/>
                <w:color w:val="auto"/>
              </w:rPr>
            </w:pPr>
            <w:r>
              <w:rPr>
                <w:rFonts w:ascii="Times New Roman" w:cs="Times New Roman" w:eastAsia="Times New Roman" w:hAnsi="Times New Roman"/>
                <w:sz w:val="11"/>
                <w:szCs w:val="11"/>
                <w:color w:val="auto"/>
                <w:w w:val="90"/>
              </w:rPr>
              <w:t>—</w:t>
            </w:r>
          </w:p>
        </w:tc>
        <w:tc>
          <w:tcPr>
            <w:tcW w:w="260" w:type="dxa"/>
            <w:vAlign w:val="bottom"/>
          </w:tcPr>
          <w:p>
            <w:pPr>
              <w:spacing w:after="0"/>
              <w:rPr>
                <w:sz w:val="10"/>
                <w:szCs w:val="10"/>
                <w:color w:val="auto"/>
              </w:rPr>
            </w:pPr>
          </w:p>
        </w:tc>
        <w:tc>
          <w:tcPr>
            <w:tcW w:w="202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color w:val="auto"/>
                <w:w w:val="98"/>
              </w:rPr>
              <w:t>Wholesale</w:t>
            </w:r>
          </w:p>
        </w:tc>
        <w:tc>
          <w:tcPr>
            <w:tcW w:w="140" w:type="dxa"/>
            <w:vAlign w:val="bottom"/>
          </w:tcPr>
          <w:p>
            <w:pPr>
              <w:spacing w:after="0"/>
              <w:rPr>
                <w:sz w:val="10"/>
                <w:szCs w:val="10"/>
                <w:color w:val="auto"/>
              </w:rPr>
            </w:pPr>
          </w:p>
        </w:tc>
        <w:tc>
          <w:tcPr>
            <w:tcW w:w="1080" w:type="dxa"/>
            <w:vAlign w:val="bottom"/>
            <w:gridSpan w:val="2"/>
          </w:tcPr>
          <w:p>
            <w:pPr>
              <w:jc w:val="right"/>
              <w:ind w:right="240"/>
              <w:spacing w:after="0" w:line="117" w:lineRule="exact"/>
              <w:rPr>
                <w:sz w:val="20"/>
                <w:szCs w:val="20"/>
                <w:color w:val="auto"/>
              </w:rPr>
            </w:pPr>
            <w:r>
              <w:rPr>
                <w:rFonts w:ascii="Times New Roman" w:cs="Times New Roman" w:eastAsia="Times New Roman" w:hAnsi="Times New Roman"/>
                <w:sz w:val="11"/>
                <w:szCs w:val="11"/>
                <w:color w:val="auto"/>
              </w:rPr>
              <w:t>—</w:t>
            </w:r>
          </w:p>
        </w:tc>
        <w:tc>
          <w:tcPr>
            <w:tcW w:w="820" w:type="dxa"/>
            <w:vAlign w:val="bottom"/>
          </w:tcPr>
          <w:p>
            <w:pPr>
              <w:ind w:left="700"/>
              <w:spacing w:after="0" w:line="117" w:lineRule="exact"/>
              <w:rPr>
                <w:sz w:val="20"/>
                <w:szCs w:val="20"/>
                <w:color w:val="auto"/>
              </w:rPr>
            </w:pPr>
            <w:r>
              <w:rPr>
                <w:rFonts w:ascii="Times New Roman" w:cs="Times New Roman" w:eastAsia="Times New Roman" w:hAnsi="Times New Roman"/>
                <w:sz w:val="11"/>
                <w:szCs w:val="11"/>
                <w:color w:val="auto"/>
                <w:w w:val="90"/>
              </w:rPr>
              <w:t>—</w:t>
            </w:r>
          </w:p>
        </w:tc>
        <w:tc>
          <w:tcPr>
            <w:tcW w:w="106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1"/>
                <w:szCs w:val="11"/>
                <w:color w:val="auto"/>
              </w:rPr>
              <w:t>1,948</w:t>
            </w: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568</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gridSpan w:val="2"/>
          </w:tcPr>
          <w:p>
            <w:pPr>
              <w:jc w:val="right"/>
              <w:ind w:right="120"/>
              <w:spacing w:after="0" w:line="117"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32"/>
        </w:trPr>
        <w:tc>
          <w:tcPr>
            <w:tcW w:w="2860" w:type="dxa"/>
            <w:vAlign w:val="bottom"/>
            <w:vMerge w:val="restart"/>
            <w:shd w:val="clear" w:color="auto" w:fill="CCECFF"/>
          </w:tcPr>
          <w:p>
            <w:pPr>
              <w:ind w:left="100"/>
              <w:spacing w:after="0"/>
              <w:rPr>
                <w:sz w:val="20"/>
                <w:szCs w:val="20"/>
                <w:color w:val="auto"/>
              </w:rPr>
            </w:pPr>
            <w:r>
              <w:rPr>
                <w:rFonts w:ascii="Times New Roman" w:cs="Times New Roman" w:eastAsia="Times New Roman" w:hAnsi="Times New Roman"/>
                <w:sz w:val="11"/>
                <w:szCs w:val="11"/>
                <w:color w:val="auto"/>
              </w:rPr>
              <w:t xml:space="preserve">(Walker Edison Furniture Company LLC) </w:t>
            </w:r>
            <w:r>
              <w:rPr>
                <w:rFonts w:ascii="Times New Roman" w:cs="Times New Roman" w:eastAsia="Times New Roman" w:hAnsi="Times New Roman"/>
                <w:sz w:val="14"/>
                <w:szCs w:val="14"/>
                <w:color w:val="auto"/>
                <w:vertAlign w:val="superscript"/>
              </w:rPr>
              <w:t>(7), (8)</w:t>
            </w: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2860" w:type="dxa"/>
            <w:vAlign w:val="bottom"/>
            <w:vMerge w:val="continue"/>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740" w:type="dxa"/>
            <w:vAlign w:val="bottom"/>
            <w:shd w:val="clear" w:color="auto" w:fill="CCECFF"/>
          </w:tcPr>
          <w:p>
            <w:pPr>
              <w:spacing w:after="0"/>
              <w:rPr>
                <w:sz w:val="11"/>
                <w:szCs w:val="11"/>
                <w:color w:val="auto"/>
              </w:rPr>
            </w:pPr>
          </w:p>
        </w:tc>
        <w:tc>
          <w:tcPr>
            <w:tcW w:w="260" w:type="dxa"/>
            <w:vAlign w:val="bottom"/>
            <w:shd w:val="clear" w:color="auto" w:fill="CCECFF"/>
          </w:tcPr>
          <w:p>
            <w:pPr>
              <w:spacing w:after="0"/>
              <w:rPr>
                <w:sz w:val="11"/>
                <w:szCs w:val="11"/>
                <w:color w:val="auto"/>
              </w:rPr>
            </w:pPr>
          </w:p>
        </w:tc>
        <w:tc>
          <w:tcPr>
            <w:tcW w:w="20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86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820" w:type="dxa"/>
            <w:vAlign w:val="bottom"/>
            <w:shd w:val="clear" w:color="auto" w:fill="CCECFF"/>
          </w:tcPr>
          <w:p>
            <w:pPr>
              <w:spacing w:after="0"/>
              <w:rPr>
                <w:sz w:val="11"/>
                <w:szCs w:val="11"/>
                <w:color w:val="auto"/>
              </w:rPr>
            </w:pPr>
          </w:p>
        </w:tc>
        <w:tc>
          <w:tcPr>
            <w:tcW w:w="200" w:type="dxa"/>
            <w:vAlign w:val="bottom"/>
            <w:shd w:val="clear" w:color="auto" w:fill="CCECFF"/>
          </w:tcPr>
          <w:p>
            <w:pPr>
              <w:spacing w:after="0"/>
              <w:rPr>
                <w:sz w:val="11"/>
                <w:szCs w:val="11"/>
                <w:color w:val="auto"/>
              </w:rPr>
            </w:pPr>
          </w:p>
        </w:tc>
        <w:tc>
          <w:tcPr>
            <w:tcW w:w="86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60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7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03"/>
        </w:trPr>
        <w:tc>
          <w:tcPr>
            <w:tcW w:w="2860" w:type="dxa"/>
            <w:vAlign w:val="bottom"/>
          </w:tcPr>
          <w:p>
            <w:pPr>
              <w:ind w:left="20"/>
              <w:spacing w:after="0" w:line="103" w:lineRule="exact"/>
              <w:rPr>
                <w:sz w:val="20"/>
                <w:szCs w:val="20"/>
                <w:color w:val="auto"/>
              </w:rPr>
            </w:pPr>
            <w:r>
              <w:rPr>
                <w:rFonts w:ascii="Times New Roman" w:cs="Times New Roman" w:eastAsia="Times New Roman" w:hAnsi="Times New Roman"/>
                <w:sz w:val="11"/>
                <w:szCs w:val="11"/>
                <w:color w:val="auto"/>
              </w:rPr>
              <w:t>Kinetic Purchaser, LLC</w:t>
            </w:r>
          </w:p>
        </w:tc>
        <w:tc>
          <w:tcPr>
            <w:tcW w:w="140" w:type="dxa"/>
            <w:vAlign w:val="bottom"/>
          </w:tcPr>
          <w:p>
            <w:pPr>
              <w:spacing w:after="0"/>
              <w:rPr>
                <w:sz w:val="8"/>
                <w:szCs w:val="8"/>
                <w:color w:val="auto"/>
              </w:rPr>
            </w:pPr>
          </w:p>
        </w:tc>
        <w:tc>
          <w:tcPr>
            <w:tcW w:w="740" w:type="dxa"/>
            <w:vAlign w:val="bottom"/>
          </w:tcPr>
          <w:p>
            <w:pPr>
              <w:ind w:left="620"/>
              <w:spacing w:after="0" w:line="103" w:lineRule="exact"/>
              <w:rPr>
                <w:sz w:val="20"/>
                <w:szCs w:val="20"/>
                <w:color w:val="auto"/>
              </w:rPr>
            </w:pPr>
            <w:r>
              <w:rPr>
                <w:rFonts w:ascii="Times New Roman" w:cs="Times New Roman" w:eastAsia="Times New Roman" w:hAnsi="Times New Roman"/>
                <w:sz w:val="11"/>
                <w:szCs w:val="11"/>
                <w:color w:val="auto"/>
                <w:w w:val="90"/>
              </w:rPr>
              <w:t>—</w:t>
            </w:r>
          </w:p>
        </w:tc>
        <w:tc>
          <w:tcPr>
            <w:tcW w:w="260" w:type="dxa"/>
            <w:vAlign w:val="bottom"/>
          </w:tcPr>
          <w:p>
            <w:pPr>
              <w:spacing w:after="0"/>
              <w:rPr>
                <w:sz w:val="8"/>
                <w:szCs w:val="8"/>
                <w:color w:val="auto"/>
              </w:rPr>
            </w:pPr>
          </w:p>
        </w:tc>
        <w:tc>
          <w:tcPr>
            <w:tcW w:w="2020" w:type="dxa"/>
            <w:vAlign w:val="bottom"/>
          </w:tcPr>
          <w:p>
            <w:pPr>
              <w:jc w:val="center"/>
              <w:spacing w:after="0" w:line="103" w:lineRule="exact"/>
              <w:rPr>
                <w:sz w:val="20"/>
                <w:szCs w:val="20"/>
                <w:color w:val="auto"/>
              </w:rPr>
            </w:pPr>
            <w:r>
              <w:rPr>
                <w:rFonts w:ascii="Times New Roman" w:cs="Times New Roman" w:eastAsia="Times New Roman" w:hAnsi="Times New Roman"/>
                <w:sz w:val="11"/>
                <w:szCs w:val="11"/>
                <w:color w:val="auto"/>
                <w:w w:val="98"/>
              </w:rPr>
              <w:t>Personal Products</w:t>
            </w:r>
          </w:p>
        </w:tc>
        <w:tc>
          <w:tcPr>
            <w:tcW w:w="140" w:type="dxa"/>
            <w:vAlign w:val="bottom"/>
          </w:tcPr>
          <w:p>
            <w:pPr>
              <w:spacing w:after="0"/>
              <w:rPr>
                <w:sz w:val="8"/>
                <w:szCs w:val="8"/>
                <w:color w:val="auto"/>
              </w:rPr>
            </w:pPr>
          </w:p>
        </w:tc>
        <w:tc>
          <w:tcPr>
            <w:tcW w:w="1080" w:type="dxa"/>
            <w:vAlign w:val="bottom"/>
            <w:gridSpan w:val="2"/>
          </w:tcPr>
          <w:p>
            <w:pPr>
              <w:jc w:val="right"/>
              <w:ind w:right="240"/>
              <w:spacing w:after="0" w:line="103" w:lineRule="exact"/>
              <w:rPr>
                <w:sz w:val="20"/>
                <w:szCs w:val="20"/>
                <w:color w:val="auto"/>
              </w:rPr>
            </w:pPr>
            <w:r>
              <w:rPr>
                <w:rFonts w:ascii="Times New Roman" w:cs="Times New Roman" w:eastAsia="Times New Roman" w:hAnsi="Times New Roman"/>
                <w:sz w:val="11"/>
                <w:szCs w:val="11"/>
                <w:color w:val="auto"/>
              </w:rPr>
              <w:t>—</w:t>
            </w:r>
          </w:p>
        </w:tc>
        <w:tc>
          <w:tcPr>
            <w:tcW w:w="820" w:type="dxa"/>
            <w:vAlign w:val="bottom"/>
          </w:tcPr>
          <w:p>
            <w:pPr>
              <w:ind w:left="700"/>
              <w:spacing w:after="0" w:line="103" w:lineRule="exact"/>
              <w:rPr>
                <w:sz w:val="20"/>
                <w:szCs w:val="20"/>
                <w:color w:val="auto"/>
              </w:rPr>
            </w:pPr>
            <w:r>
              <w:rPr>
                <w:rFonts w:ascii="Times New Roman" w:cs="Times New Roman" w:eastAsia="Times New Roman" w:hAnsi="Times New Roman"/>
                <w:sz w:val="11"/>
                <w:szCs w:val="11"/>
                <w:color w:val="auto"/>
                <w:w w:val="90"/>
              </w:rPr>
              <w:t>—</w:t>
            </w:r>
          </w:p>
        </w:tc>
        <w:tc>
          <w:tcPr>
            <w:tcW w:w="1060" w:type="dxa"/>
            <w:vAlign w:val="bottom"/>
            <w:gridSpan w:val="2"/>
          </w:tcPr>
          <w:p>
            <w:pPr>
              <w:jc w:val="right"/>
              <w:spacing w:after="0" w:line="103" w:lineRule="exact"/>
              <w:rPr>
                <w:sz w:val="20"/>
                <w:szCs w:val="20"/>
                <w:color w:val="auto"/>
              </w:rPr>
            </w:pPr>
            <w:r>
              <w:rPr>
                <w:rFonts w:ascii="Times New Roman" w:cs="Times New Roman" w:eastAsia="Times New Roman" w:hAnsi="Times New Roman"/>
                <w:sz w:val="11"/>
                <w:szCs w:val="11"/>
                <w:color w:val="auto"/>
              </w:rPr>
              <w:t>1,734,775</w:t>
            </w: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tcPr>
          <w:p>
            <w:pPr>
              <w:jc w:val="right"/>
              <w:spacing w:after="0" w:line="103" w:lineRule="exact"/>
              <w:rPr>
                <w:sz w:val="20"/>
                <w:szCs w:val="20"/>
                <w:color w:val="auto"/>
              </w:rPr>
            </w:pPr>
            <w:r>
              <w:rPr>
                <w:rFonts w:ascii="Times New Roman" w:cs="Times New Roman" w:eastAsia="Times New Roman" w:hAnsi="Times New Roman"/>
                <w:sz w:val="11"/>
                <w:szCs w:val="11"/>
                <w:color w:val="auto"/>
              </w:rPr>
              <w:t>1,735</w:t>
            </w: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jc w:val="right"/>
              <w:spacing w:after="0" w:line="103" w:lineRule="exact"/>
              <w:rPr>
                <w:sz w:val="20"/>
                <w:szCs w:val="20"/>
                <w:color w:val="auto"/>
              </w:rPr>
            </w:pPr>
            <w:r>
              <w:rPr>
                <w:rFonts w:ascii="Times New Roman" w:cs="Times New Roman" w:eastAsia="Times New Roman" w:hAnsi="Times New Roman"/>
                <w:sz w:val="11"/>
                <w:szCs w:val="11"/>
                <w:color w:val="auto"/>
              </w:rPr>
              <w:t>2,458</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286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KL Stockton Co-Invest LP (Any Hour Services) </w:t>
            </w:r>
            <w:r>
              <w:rPr>
                <w:rFonts w:ascii="Times New Roman" w:cs="Times New Roman" w:eastAsia="Times New Roman" w:hAnsi="Times New Roman"/>
                <w:sz w:val="14"/>
                <w:szCs w:val="14"/>
                <w:color w:val="auto"/>
                <w:vertAlign w:val="superscript"/>
              </w:rPr>
              <w:t>(7),(8)</w:t>
            </w:r>
          </w:p>
        </w:tc>
        <w:tc>
          <w:tcPr>
            <w:tcW w:w="140" w:type="dxa"/>
            <w:vAlign w:val="bottom"/>
          </w:tcPr>
          <w:p>
            <w:pPr>
              <w:spacing w:after="0"/>
              <w:rPr>
                <w:sz w:val="11"/>
                <w:szCs w:val="11"/>
                <w:color w:val="auto"/>
              </w:rPr>
            </w:pPr>
          </w:p>
        </w:tc>
        <w:tc>
          <w:tcPr>
            <w:tcW w:w="740" w:type="dxa"/>
            <w:vAlign w:val="bottom"/>
          </w:tcPr>
          <w:p>
            <w:pPr>
              <w:ind w:left="620"/>
              <w:spacing w:after="0"/>
              <w:rPr>
                <w:sz w:val="20"/>
                <w:szCs w:val="20"/>
                <w:color w:val="auto"/>
              </w:rPr>
            </w:pPr>
            <w:r>
              <w:rPr>
                <w:rFonts w:ascii="Times New Roman" w:cs="Times New Roman" w:eastAsia="Times New Roman" w:hAnsi="Times New Roman"/>
                <w:sz w:val="11"/>
                <w:szCs w:val="11"/>
                <w:color w:val="auto"/>
                <w:w w:val="90"/>
              </w:rPr>
              <w:t>—</w:t>
            </w:r>
          </w:p>
        </w:tc>
        <w:tc>
          <w:tcPr>
            <w:tcW w:w="260" w:type="dxa"/>
            <w:vAlign w:val="bottom"/>
          </w:tcPr>
          <w:p>
            <w:pPr>
              <w:spacing w:after="0"/>
              <w:rPr>
                <w:sz w:val="11"/>
                <w:szCs w:val="11"/>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Energy Equipment and Services</w:t>
            </w:r>
          </w:p>
        </w:tc>
        <w:tc>
          <w:tcPr>
            <w:tcW w:w="140" w:type="dxa"/>
            <w:vAlign w:val="bottom"/>
          </w:tcPr>
          <w:p>
            <w:pPr>
              <w:spacing w:after="0"/>
              <w:rPr>
                <w:sz w:val="11"/>
                <w:szCs w:val="11"/>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tcPr>
          <w:p>
            <w:pPr>
              <w:ind w:left="700"/>
              <w:spacing w:after="0"/>
              <w:rPr>
                <w:sz w:val="20"/>
                <w:szCs w:val="20"/>
                <w:color w:val="auto"/>
              </w:rPr>
            </w:pPr>
            <w:r>
              <w:rPr>
                <w:rFonts w:ascii="Times New Roman" w:cs="Times New Roman" w:eastAsia="Times New Roman" w:hAnsi="Times New Roman"/>
                <w:sz w:val="11"/>
                <w:szCs w:val="11"/>
                <w:color w:val="auto"/>
                <w:w w:val="90"/>
              </w:rPr>
              <w:t>—</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382,353</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382</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643</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6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Kentucky Racing Holdco, LLC (Warrants) </w:t>
            </w:r>
            <w:r>
              <w:rPr>
                <w:rFonts w:ascii="Times New Roman" w:cs="Times New Roman" w:eastAsia="Times New Roman" w:hAnsi="Times New Roman"/>
                <w:sz w:val="14"/>
                <w:szCs w:val="14"/>
                <w:color w:val="auto"/>
                <w:vertAlign w:val="superscript"/>
              </w:rPr>
              <w:t>(7), (8)</w:t>
            </w:r>
          </w:p>
        </w:tc>
        <w:tc>
          <w:tcPr>
            <w:tcW w:w="140" w:type="dxa"/>
            <w:vAlign w:val="bottom"/>
          </w:tcPr>
          <w:p>
            <w:pPr>
              <w:spacing w:after="0"/>
              <w:rPr>
                <w:sz w:val="11"/>
                <w:szCs w:val="11"/>
                <w:color w:val="auto"/>
              </w:rPr>
            </w:pPr>
          </w:p>
        </w:tc>
        <w:tc>
          <w:tcPr>
            <w:tcW w:w="740" w:type="dxa"/>
            <w:vAlign w:val="bottom"/>
          </w:tcPr>
          <w:p>
            <w:pPr>
              <w:ind w:left="620"/>
              <w:spacing w:after="0"/>
              <w:rPr>
                <w:sz w:val="20"/>
                <w:szCs w:val="20"/>
                <w:color w:val="auto"/>
              </w:rPr>
            </w:pPr>
            <w:r>
              <w:rPr>
                <w:rFonts w:ascii="Times New Roman" w:cs="Times New Roman" w:eastAsia="Times New Roman" w:hAnsi="Times New Roman"/>
                <w:sz w:val="11"/>
                <w:szCs w:val="11"/>
                <w:color w:val="auto"/>
                <w:w w:val="90"/>
              </w:rPr>
              <w:t>—</w:t>
            </w:r>
          </w:p>
        </w:tc>
        <w:tc>
          <w:tcPr>
            <w:tcW w:w="260" w:type="dxa"/>
            <w:vAlign w:val="bottom"/>
          </w:tcPr>
          <w:p>
            <w:pPr>
              <w:spacing w:after="0"/>
              <w:rPr>
                <w:sz w:val="11"/>
                <w:szCs w:val="11"/>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Hotels, Restaurants and Leisure</w:t>
            </w:r>
          </w:p>
        </w:tc>
        <w:tc>
          <w:tcPr>
            <w:tcW w:w="140" w:type="dxa"/>
            <w:vAlign w:val="bottom"/>
          </w:tcPr>
          <w:p>
            <w:pPr>
              <w:spacing w:after="0"/>
              <w:rPr>
                <w:sz w:val="11"/>
                <w:szCs w:val="11"/>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tcPr>
          <w:p>
            <w:pPr>
              <w:ind w:left="700"/>
              <w:spacing w:after="0"/>
              <w:rPr>
                <w:sz w:val="20"/>
                <w:szCs w:val="20"/>
                <w:color w:val="auto"/>
              </w:rPr>
            </w:pPr>
            <w:r>
              <w:rPr>
                <w:rFonts w:ascii="Times New Roman" w:cs="Times New Roman" w:eastAsia="Times New Roman" w:hAnsi="Times New Roman"/>
                <w:sz w:val="11"/>
                <w:szCs w:val="11"/>
                <w:color w:val="auto"/>
                <w:w w:val="90"/>
              </w:rPr>
              <w:t>—</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87,345</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961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6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Lightspeed Investment Holdco LLC </w:t>
            </w:r>
            <w:r>
              <w:rPr>
                <w:rFonts w:ascii="Times New Roman" w:cs="Times New Roman" w:eastAsia="Times New Roman" w:hAnsi="Times New Roman"/>
                <w:sz w:val="14"/>
                <w:szCs w:val="14"/>
                <w:color w:val="auto"/>
                <w:vertAlign w:val="superscript"/>
              </w:rPr>
              <w:t>(7)</w:t>
            </w:r>
          </w:p>
        </w:tc>
        <w:tc>
          <w:tcPr>
            <w:tcW w:w="140" w:type="dxa"/>
            <w:vAlign w:val="bottom"/>
          </w:tcPr>
          <w:p>
            <w:pPr>
              <w:spacing w:after="0"/>
              <w:rPr>
                <w:sz w:val="11"/>
                <w:szCs w:val="11"/>
                <w:color w:val="auto"/>
              </w:rPr>
            </w:pPr>
          </w:p>
        </w:tc>
        <w:tc>
          <w:tcPr>
            <w:tcW w:w="740" w:type="dxa"/>
            <w:vAlign w:val="bottom"/>
          </w:tcPr>
          <w:p>
            <w:pPr>
              <w:ind w:left="620"/>
              <w:spacing w:after="0"/>
              <w:rPr>
                <w:sz w:val="20"/>
                <w:szCs w:val="20"/>
                <w:color w:val="auto"/>
              </w:rPr>
            </w:pPr>
            <w:r>
              <w:rPr>
                <w:rFonts w:ascii="Times New Roman" w:cs="Times New Roman" w:eastAsia="Times New Roman" w:hAnsi="Times New Roman"/>
                <w:sz w:val="11"/>
                <w:szCs w:val="11"/>
                <w:color w:val="auto"/>
                <w:w w:val="90"/>
              </w:rPr>
              <w:t>—</w:t>
            </w:r>
          </w:p>
        </w:tc>
        <w:tc>
          <w:tcPr>
            <w:tcW w:w="260" w:type="dxa"/>
            <w:vAlign w:val="bottom"/>
          </w:tcPr>
          <w:p>
            <w:pPr>
              <w:spacing w:after="0"/>
              <w:rPr>
                <w:sz w:val="11"/>
                <w:szCs w:val="11"/>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Healthcare Technology</w:t>
            </w:r>
          </w:p>
        </w:tc>
        <w:tc>
          <w:tcPr>
            <w:tcW w:w="140" w:type="dxa"/>
            <w:vAlign w:val="bottom"/>
          </w:tcPr>
          <w:p>
            <w:pPr>
              <w:spacing w:after="0"/>
              <w:rPr>
                <w:sz w:val="11"/>
                <w:szCs w:val="11"/>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tcPr>
          <w:p>
            <w:pPr>
              <w:ind w:left="700"/>
              <w:spacing w:after="0"/>
              <w:rPr>
                <w:sz w:val="20"/>
                <w:szCs w:val="20"/>
                <w:color w:val="auto"/>
              </w:rPr>
            </w:pPr>
            <w:r>
              <w:rPr>
                <w:rFonts w:ascii="Times New Roman" w:cs="Times New Roman" w:eastAsia="Times New Roman" w:hAnsi="Times New Roman"/>
                <w:sz w:val="11"/>
                <w:szCs w:val="11"/>
                <w:color w:val="auto"/>
                <w:w w:val="90"/>
              </w:rPr>
              <w:t>—</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585,587</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586</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800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8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 xml:space="preserve">Mars Intermediate Holdings II, Inc. </w:t>
            </w:r>
            <w:r>
              <w:rPr>
                <w:rFonts w:ascii="Times New Roman" w:cs="Times New Roman" w:eastAsia="Times New Roman" w:hAnsi="Times New Roman"/>
                <w:sz w:val="14"/>
                <w:szCs w:val="14"/>
                <w:color w:val="auto"/>
                <w:vertAlign w:val="superscript"/>
              </w:rPr>
              <w:t>(7)</w:t>
            </w:r>
          </w:p>
        </w:tc>
        <w:tc>
          <w:tcPr>
            <w:tcW w:w="140" w:type="dxa"/>
            <w:vAlign w:val="bottom"/>
          </w:tcPr>
          <w:p>
            <w:pPr>
              <w:spacing w:after="0"/>
              <w:rPr>
                <w:sz w:val="14"/>
                <w:szCs w:val="14"/>
                <w:color w:val="auto"/>
              </w:rPr>
            </w:pPr>
          </w:p>
        </w:tc>
        <w:tc>
          <w:tcPr>
            <w:tcW w:w="740" w:type="dxa"/>
            <w:vAlign w:val="bottom"/>
          </w:tcPr>
          <w:p>
            <w:pPr>
              <w:ind w:left="620"/>
              <w:spacing w:after="0"/>
              <w:rPr>
                <w:sz w:val="20"/>
                <w:szCs w:val="20"/>
                <w:color w:val="auto"/>
              </w:rPr>
            </w:pPr>
            <w:r>
              <w:rPr>
                <w:rFonts w:ascii="Times New Roman" w:cs="Times New Roman" w:eastAsia="Times New Roman" w:hAnsi="Times New Roman"/>
                <w:sz w:val="11"/>
                <w:szCs w:val="11"/>
                <w:color w:val="auto"/>
                <w:w w:val="90"/>
              </w:rPr>
              <w:t>—</w:t>
            </w:r>
          </w:p>
        </w:tc>
        <w:tc>
          <w:tcPr>
            <w:tcW w:w="260" w:type="dxa"/>
            <w:vAlign w:val="bottom"/>
          </w:tcPr>
          <w:p>
            <w:pPr>
              <w:spacing w:after="0"/>
              <w:rPr>
                <w:sz w:val="14"/>
                <w:szCs w:val="14"/>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Media</w:t>
            </w:r>
          </w:p>
        </w:tc>
        <w:tc>
          <w:tcPr>
            <w:tcW w:w="140" w:type="dxa"/>
            <w:vAlign w:val="bottom"/>
          </w:tcPr>
          <w:p>
            <w:pPr>
              <w:spacing w:after="0"/>
              <w:rPr>
                <w:sz w:val="14"/>
                <w:szCs w:val="14"/>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tcPr>
          <w:p>
            <w:pPr>
              <w:ind w:left="700"/>
              <w:spacing w:after="0"/>
              <w:rPr>
                <w:sz w:val="20"/>
                <w:szCs w:val="20"/>
                <w:color w:val="auto"/>
              </w:rPr>
            </w:pPr>
            <w:r>
              <w:rPr>
                <w:rFonts w:ascii="Times New Roman" w:cs="Times New Roman" w:eastAsia="Times New Roman" w:hAnsi="Times New Roman"/>
                <w:sz w:val="11"/>
                <w:szCs w:val="11"/>
                <w:color w:val="auto"/>
                <w:w w:val="90"/>
              </w:rPr>
              <w:t>—</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835</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255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8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MDI Aggregator, LP</w:t>
            </w:r>
          </w:p>
        </w:tc>
        <w:tc>
          <w:tcPr>
            <w:tcW w:w="140" w:type="dxa"/>
            <w:vAlign w:val="bottom"/>
            <w:shd w:val="clear" w:color="auto" w:fill="CCECFF"/>
          </w:tcPr>
          <w:p>
            <w:pPr>
              <w:spacing w:after="0"/>
              <w:rPr>
                <w:sz w:val="11"/>
                <w:szCs w:val="11"/>
                <w:color w:val="auto"/>
              </w:rPr>
            </w:pPr>
          </w:p>
        </w:tc>
        <w:tc>
          <w:tcPr>
            <w:tcW w:w="740" w:type="dxa"/>
            <w:vAlign w:val="bottom"/>
            <w:shd w:val="clear" w:color="auto" w:fill="CCECFF"/>
          </w:tcPr>
          <w:p>
            <w:pPr>
              <w:ind w:left="620"/>
              <w:spacing w:after="0"/>
              <w:rPr>
                <w:sz w:val="20"/>
                <w:szCs w:val="20"/>
                <w:color w:val="auto"/>
              </w:rPr>
            </w:pPr>
            <w:r>
              <w:rPr>
                <w:rFonts w:ascii="Times New Roman" w:cs="Times New Roman" w:eastAsia="Times New Roman" w:hAnsi="Times New Roman"/>
                <w:sz w:val="11"/>
                <w:szCs w:val="11"/>
                <w:color w:val="auto"/>
                <w:w w:val="90"/>
              </w:rPr>
              <w:t>—</w:t>
            </w:r>
          </w:p>
        </w:tc>
        <w:tc>
          <w:tcPr>
            <w:tcW w:w="260" w:type="dxa"/>
            <w:vAlign w:val="bottom"/>
            <w:shd w:val="clear" w:color="auto" w:fill="CCECFF"/>
          </w:tcPr>
          <w:p>
            <w:pPr>
              <w:spacing w:after="0"/>
              <w:rPr>
                <w:sz w:val="11"/>
                <w:szCs w:val="11"/>
                <w:color w:val="auto"/>
              </w:rPr>
            </w:pPr>
          </w:p>
        </w:tc>
        <w:tc>
          <w:tcPr>
            <w:tcW w:w="2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Commodity Chemicals</w:t>
            </w:r>
          </w:p>
        </w:tc>
        <w:tc>
          <w:tcPr>
            <w:tcW w:w="140" w:type="dxa"/>
            <w:vAlign w:val="bottom"/>
            <w:shd w:val="clear" w:color="auto" w:fill="CCECFF"/>
          </w:tcPr>
          <w:p>
            <w:pPr>
              <w:spacing w:after="0"/>
              <w:rPr>
                <w:sz w:val="11"/>
                <w:szCs w:val="11"/>
                <w:color w:val="auto"/>
              </w:rPr>
            </w:pPr>
          </w:p>
        </w:tc>
        <w:tc>
          <w:tcPr>
            <w:tcW w:w="108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shd w:val="clear" w:color="auto" w:fill="CCECFF"/>
          </w:tcPr>
          <w:p>
            <w:pPr>
              <w:ind w:left="700"/>
              <w:spacing w:after="0"/>
              <w:rPr>
                <w:sz w:val="20"/>
                <w:szCs w:val="20"/>
                <w:color w:val="auto"/>
              </w:rPr>
            </w:pPr>
            <w:r>
              <w:rPr>
                <w:rFonts w:ascii="Times New Roman" w:cs="Times New Roman" w:eastAsia="Times New Roman" w:hAnsi="Times New Roman"/>
                <w:sz w:val="11"/>
                <w:szCs w:val="11"/>
                <w:color w:val="auto"/>
                <w:w w:val="90"/>
              </w:rPr>
              <w:t>—</w:t>
            </w:r>
          </w:p>
        </w:tc>
        <w:tc>
          <w:tcPr>
            <w:tcW w:w="106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668,747</w:t>
            </w:r>
          </w:p>
        </w:tc>
        <w:tc>
          <w:tcPr>
            <w:tcW w:w="22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670</w:t>
            </w:r>
          </w:p>
        </w:tc>
        <w:tc>
          <w:tcPr>
            <w:tcW w:w="22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7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669</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860" w:type="dxa"/>
            <w:vAlign w:val="bottom"/>
          </w:tcPr>
          <w:p>
            <w:pPr>
              <w:ind w:left="20"/>
              <w:spacing w:after="0" w:line="122" w:lineRule="exact"/>
              <w:rPr>
                <w:sz w:val="20"/>
                <w:szCs w:val="20"/>
                <w:color w:val="auto"/>
              </w:rPr>
            </w:pPr>
            <w:r>
              <w:rPr>
                <w:rFonts w:ascii="Times New Roman" w:cs="Times New Roman" w:eastAsia="Times New Roman" w:hAnsi="Times New Roman"/>
                <w:sz w:val="11"/>
                <w:szCs w:val="11"/>
                <w:color w:val="auto"/>
              </w:rPr>
              <w:t>Meadowlark Title, LLC</w:t>
            </w:r>
          </w:p>
        </w:tc>
        <w:tc>
          <w:tcPr>
            <w:tcW w:w="140" w:type="dxa"/>
            <w:vAlign w:val="bottom"/>
          </w:tcPr>
          <w:p>
            <w:pPr>
              <w:spacing w:after="0"/>
              <w:rPr>
                <w:sz w:val="10"/>
                <w:szCs w:val="10"/>
                <w:color w:val="auto"/>
              </w:rPr>
            </w:pPr>
          </w:p>
        </w:tc>
        <w:tc>
          <w:tcPr>
            <w:tcW w:w="740" w:type="dxa"/>
            <w:vAlign w:val="bottom"/>
          </w:tcPr>
          <w:p>
            <w:pPr>
              <w:ind w:left="620"/>
              <w:spacing w:after="0" w:line="122" w:lineRule="exact"/>
              <w:rPr>
                <w:sz w:val="20"/>
                <w:szCs w:val="20"/>
                <w:color w:val="auto"/>
              </w:rPr>
            </w:pPr>
            <w:r>
              <w:rPr>
                <w:rFonts w:ascii="Times New Roman" w:cs="Times New Roman" w:eastAsia="Times New Roman" w:hAnsi="Times New Roman"/>
                <w:sz w:val="11"/>
                <w:szCs w:val="11"/>
                <w:color w:val="auto"/>
                <w:w w:val="90"/>
              </w:rPr>
              <w:t>—</w:t>
            </w:r>
          </w:p>
        </w:tc>
        <w:tc>
          <w:tcPr>
            <w:tcW w:w="260" w:type="dxa"/>
            <w:vAlign w:val="bottom"/>
          </w:tcPr>
          <w:p>
            <w:pPr>
              <w:spacing w:after="0"/>
              <w:rPr>
                <w:sz w:val="10"/>
                <w:szCs w:val="10"/>
                <w:color w:val="auto"/>
              </w:rPr>
            </w:pPr>
          </w:p>
        </w:tc>
        <w:tc>
          <w:tcPr>
            <w:tcW w:w="202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7"/>
              </w:rPr>
              <w:t>Professional Services</w:t>
            </w:r>
          </w:p>
        </w:tc>
        <w:tc>
          <w:tcPr>
            <w:tcW w:w="140" w:type="dxa"/>
            <w:vAlign w:val="bottom"/>
          </w:tcPr>
          <w:p>
            <w:pPr>
              <w:spacing w:after="0"/>
              <w:rPr>
                <w:sz w:val="10"/>
                <w:szCs w:val="10"/>
                <w:color w:val="auto"/>
              </w:rPr>
            </w:pPr>
          </w:p>
        </w:tc>
        <w:tc>
          <w:tcPr>
            <w:tcW w:w="1080" w:type="dxa"/>
            <w:vAlign w:val="bottom"/>
            <w:gridSpan w:val="2"/>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20" w:type="dxa"/>
            <w:vAlign w:val="bottom"/>
          </w:tcPr>
          <w:p>
            <w:pPr>
              <w:ind w:left="700"/>
              <w:spacing w:after="0" w:line="122" w:lineRule="exact"/>
              <w:rPr>
                <w:sz w:val="20"/>
                <w:szCs w:val="20"/>
                <w:color w:val="auto"/>
              </w:rPr>
            </w:pPr>
            <w:r>
              <w:rPr>
                <w:rFonts w:ascii="Times New Roman" w:cs="Times New Roman" w:eastAsia="Times New Roman" w:hAnsi="Times New Roman"/>
                <w:sz w:val="11"/>
                <w:szCs w:val="11"/>
                <w:color w:val="auto"/>
                <w:w w:val="90"/>
              </w:rPr>
              <w:t>—</w:t>
            </w:r>
          </w:p>
        </w:tc>
        <w:tc>
          <w:tcPr>
            <w:tcW w:w="106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819,231</w:t>
            </w: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819</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901</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860" w:type="dxa"/>
            <w:vAlign w:val="bottom"/>
          </w:tcPr>
          <w:p>
            <w:pPr>
              <w:ind w:left="20"/>
              <w:spacing w:after="0" w:line="117" w:lineRule="exact"/>
              <w:rPr>
                <w:sz w:val="20"/>
                <w:szCs w:val="20"/>
                <w:color w:val="auto"/>
              </w:rPr>
            </w:pPr>
            <w:r>
              <w:rPr>
                <w:rFonts w:ascii="Times New Roman" w:cs="Times New Roman" w:eastAsia="Times New Roman" w:hAnsi="Times New Roman"/>
                <w:sz w:val="11"/>
                <w:szCs w:val="11"/>
                <w:color w:val="auto"/>
              </w:rPr>
              <w:t>MSpark, LLC</w:t>
            </w:r>
          </w:p>
        </w:tc>
        <w:tc>
          <w:tcPr>
            <w:tcW w:w="140" w:type="dxa"/>
            <w:vAlign w:val="bottom"/>
          </w:tcPr>
          <w:p>
            <w:pPr>
              <w:spacing w:after="0"/>
              <w:rPr>
                <w:sz w:val="10"/>
                <w:szCs w:val="10"/>
                <w:color w:val="auto"/>
              </w:rPr>
            </w:pPr>
          </w:p>
        </w:tc>
        <w:tc>
          <w:tcPr>
            <w:tcW w:w="740" w:type="dxa"/>
            <w:vAlign w:val="bottom"/>
          </w:tcPr>
          <w:p>
            <w:pPr>
              <w:ind w:left="620"/>
              <w:spacing w:after="0" w:line="117" w:lineRule="exact"/>
              <w:rPr>
                <w:sz w:val="20"/>
                <w:szCs w:val="20"/>
                <w:color w:val="auto"/>
              </w:rPr>
            </w:pPr>
            <w:r>
              <w:rPr>
                <w:rFonts w:ascii="Times New Roman" w:cs="Times New Roman" w:eastAsia="Times New Roman" w:hAnsi="Times New Roman"/>
                <w:sz w:val="11"/>
                <w:szCs w:val="11"/>
                <w:color w:val="auto"/>
                <w:w w:val="90"/>
              </w:rPr>
              <w:t>—</w:t>
            </w:r>
          </w:p>
        </w:tc>
        <w:tc>
          <w:tcPr>
            <w:tcW w:w="260" w:type="dxa"/>
            <w:vAlign w:val="bottom"/>
          </w:tcPr>
          <w:p>
            <w:pPr>
              <w:spacing w:after="0"/>
              <w:rPr>
                <w:sz w:val="10"/>
                <w:szCs w:val="10"/>
                <w:color w:val="auto"/>
              </w:rPr>
            </w:pPr>
          </w:p>
        </w:tc>
        <w:tc>
          <w:tcPr>
            <w:tcW w:w="202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color w:val="auto"/>
                <w:w w:val="98"/>
              </w:rPr>
              <w:t>Media: Advertising, Printing and Publishing</w:t>
            </w:r>
          </w:p>
        </w:tc>
        <w:tc>
          <w:tcPr>
            <w:tcW w:w="140" w:type="dxa"/>
            <w:vAlign w:val="bottom"/>
          </w:tcPr>
          <w:p>
            <w:pPr>
              <w:spacing w:after="0"/>
              <w:rPr>
                <w:sz w:val="10"/>
                <w:szCs w:val="10"/>
                <w:color w:val="auto"/>
              </w:rPr>
            </w:pPr>
          </w:p>
        </w:tc>
        <w:tc>
          <w:tcPr>
            <w:tcW w:w="1080" w:type="dxa"/>
            <w:vAlign w:val="bottom"/>
            <w:gridSpan w:val="2"/>
          </w:tcPr>
          <w:p>
            <w:pPr>
              <w:jc w:val="right"/>
              <w:ind w:right="240"/>
              <w:spacing w:after="0" w:line="117" w:lineRule="exact"/>
              <w:rPr>
                <w:sz w:val="20"/>
                <w:szCs w:val="20"/>
                <w:color w:val="auto"/>
              </w:rPr>
            </w:pPr>
            <w:r>
              <w:rPr>
                <w:rFonts w:ascii="Times New Roman" w:cs="Times New Roman" w:eastAsia="Times New Roman" w:hAnsi="Times New Roman"/>
                <w:sz w:val="11"/>
                <w:szCs w:val="11"/>
                <w:color w:val="auto"/>
              </w:rPr>
              <w:t>—</w:t>
            </w:r>
          </w:p>
        </w:tc>
        <w:tc>
          <w:tcPr>
            <w:tcW w:w="820" w:type="dxa"/>
            <w:vAlign w:val="bottom"/>
          </w:tcPr>
          <w:p>
            <w:pPr>
              <w:ind w:left="700"/>
              <w:spacing w:after="0" w:line="117" w:lineRule="exact"/>
              <w:rPr>
                <w:sz w:val="20"/>
                <w:szCs w:val="20"/>
                <w:color w:val="auto"/>
              </w:rPr>
            </w:pPr>
            <w:r>
              <w:rPr>
                <w:rFonts w:ascii="Times New Roman" w:cs="Times New Roman" w:eastAsia="Times New Roman" w:hAnsi="Times New Roman"/>
                <w:sz w:val="11"/>
                <w:szCs w:val="11"/>
                <w:color w:val="auto"/>
                <w:w w:val="90"/>
              </w:rPr>
              <w:t>—</w:t>
            </w:r>
          </w:p>
        </w:tc>
        <w:tc>
          <w:tcPr>
            <w:tcW w:w="106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1"/>
                <w:szCs w:val="11"/>
                <w:color w:val="auto"/>
              </w:rPr>
              <w:t>3,988</w:t>
            </w: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1,288</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gridSpan w:val="2"/>
          </w:tcPr>
          <w:p>
            <w:pPr>
              <w:jc w:val="right"/>
              <w:ind w:right="120"/>
              <w:spacing w:after="0" w:line="117"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35"/>
        </w:trPr>
        <w:tc>
          <w:tcPr>
            <w:tcW w:w="286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Municipal Emergency Services, Inc. </w:t>
            </w:r>
            <w:r>
              <w:rPr>
                <w:rFonts w:ascii="Times New Roman" w:cs="Times New Roman" w:eastAsia="Times New Roman" w:hAnsi="Times New Roman"/>
                <w:sz w:val="14"/>
                <w:szCs w:val="14"/>
                <w:color w:val="auto"/>
                <w:vertAlign w:val="superscript"/>
              </w:rPr>
              <w:t>(7)</w:t>
            </w:r>
          </w:p>
        </w:tc>
        <w:tc>
          <w:tcPr>
            <w:tcW w:w="140" w:type="dxa"/>
            <w:vAlign w:val="bottom"/>
          </w:tcPr>
          <w:p>
            <w:pPr>
              <w:spacing w:after="0"/>
              <w:rPr>
                <w:sz w:val="11"/>
                <w:szCs w:val="11"/>
                <w:color w:val="auto"/>
              </w:rPr>
            </w:pPr>
          </w:p>
        </w:tc>
        <w:tc>
          <w:tcPr>
            <w:tcW w:w="740" w:type="dxa"/>
            <w:vAlign w:val="bottom"/>
          </w:tcPr>
          <w:p>
            <w:pPr>
              <w:ind w:left="620"/>
              <w:spacing w:after="0"/>
              <w:rPr>
                <w:sz w:val="20"/>
                <w:szCs w:val="20"/>
                <w:color w:val="auto"/>
              </w:rPr>
            </w:pPr>
            <w:r>
              <w:rPr>
                <w:rFonts w:ascii="Times New Roman" w:cs="Times New Roman" w:eastAsia="Times New Roman" w:hAnsi="Times New Roman"/>
                <w:sz w:val="11"/>
                <w:szCs w:val="11"/>
                <w:color w:val="auto"/>
                <w:w w:val="90"/>
              </w:rPr>
              <w:t>—</w:t>
            </w:r>
          </w:p>
        </w:tc>
        <w:tc>
          <w:tcPr>
            <w:tcW w:w="260" w:type="dxa"/>
            <w:vAlign w:val="bottom"/>
          </w:tcPr>
          <w:p>
            <w:pPr>
              <w:spacing w:after="0"/>
              <w:rPr>
                <w:sz w:val="11"/>
                <w:szCs w:val="11"/>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Distributors</w:t>
            </w:r>
          </w:p>
        </w:tc>
        <w:tc>
          <w:tcPr>
            <w:tcW w:w="140" w:type="dxa"/>
            <w:vAlign w:val="bottom"/>
          </w:tcPr>
          <w:p>
            <w:pPr>
              <w:spacing w:after="0"/>
              <w:rPr>
                <w:sz w:val="11"/>
                <w:szCs w:val="11"/>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tcPr>
          <w:p>
            <w:pPr>
              <w:ind w:left="700"/>
              <w:spacing w:after="0"/>
              <w:rPr>
                <w:sz w:val="20"/>
                <w:szCs w:val="20"/>
                <w:color w:val="auto"/>
              </w:rPr>
            </w:pPr>
            <w:r>
              <w:rPr>
                <w:rFonts w:ascii="Times New Roman" w:cs="Times New Roman" w:eastAsia="Times New Roman" w:hAnsi="Times New Roman"/>
                <w:sz w:val="11"/>
                <w:szCs w:val="11"/>
                <w:color w:val="auto"/>
                <w:w w:val="90"/>
              </w:rPr>
              <w:t>—</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1,973,370</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2,005</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1,505</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860" w:type="dxa"/>
            <w:vAlign w:val="bottom"/>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NEPRT Parent Holdings, LLC (Recteq, LLC) </w:t>
            </w:r>
            <w:r>
              <w:rPr>
                <w:rFonts w:ascii="Times New Roman" w:cs="Times New Roman" w:eastAsia="Times New Roman" w:hAnsi="Times New Roman"/>
                <w:sz w:val="14"/>
                <w:szCs w:val="14"/>
                <w:color w:val="auto"/>
                <w:vertAlign w:val="superscript"/>
              </w:rPr>
              <w:t>(7), (8)</w:t>
            </w:r>
          </w:p>
        </w:tc>
        <w:tc>
          <w:tcPr>
            <w:tcW w:w="140" w:type="dxa"/>
            <w:vAlign w:val="bottom"/>
          </w:tcPr>
          <w:p>
            <w:pPr>
              <w:spacing w:after="0"/>
              <w:rPr>
                <w:sz w:val="13"/>
                <w:szCs w:val="13"/>
                <w:color w:val="auto"/>
              </w:rPr>
            </w:pPr>
          </w:p>
        </w:tc>
        <w:tc>
          <w:tcPr>
            <w:tcW w:w="740" w:type="dxa"/>
            <w:vAlign w:val="bottom"/>
          </w:tcPr>
          <w:p>
            <w:pPr>
              <w:ind w:left="620"/>
              <w:spacing w:after="0"/>
              <w:rPr>
                <w:sz w:val="20"/>
                <w:szCs w:val="20"/>
                <w:color w:val="auto"/>
              </w:rPr>
            </w:pPr>
            <w:r>
              <w:rPr>
                <w:rFonts w:ascii="Times New Roman" w:cs="Times New Roman" w:eastAsia="Times New Roman" w:hAnsi="Times New Roman"/>
                <w:sz w:val="11"/>
                <w:szCs w:val="11"/>
                <w:color w:val="auto"/>
                <w:w w:val="90"/>
              </w:rPr>
              <w:t>—</w:t>
            </w:r>
          </w:p>
        </w:tc>
        <w:tc>
          <w:tcPr>
            <w:tcW w:w="260" w:type="dxa"/>
            <w:vAlign w:val="bottom"/>
          </w:tcPr>
          <w:p>
            <w:pPr>
              <w:spacing w:after="0"/>
              <w:rPr>
                <w:sz w:val="13"/>
                <w:szCs w:val="13"/>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6"/>
              </w:rPr>
              <w:t>Leisure Products</w:t>
            </w:r>
          </w:p>
        </w:tc>
        <w:tc>
          <w:tcPr>
            <w:tcW w:w="140" w:type="dxa"/>
            <w:vAlign w:val="bottom"/>
          </w:tcPr>
          <w:p>
            <w:pPr>
              <w:spacing w:after="0"/>
              <w:rPr>
                <w:sz w:val="13"/>
                <w:szCs w:val="13"/>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tcPr>
          <w:p>
            <w:pPr>
              <w:ind w:left="700"/>
              <w:spacing w:after="0"/>
              <w:rPr>
                <w:sz w:val="20"/>
                <w:szCs w:val="20"/>
                <w:color w:val="auto"/>
              </w:rPr>
            </w:pPr>
            <w:r>
              <w:rPr>
                <w:rFonts w:ascii="Times New Roman" w:cs="Times New Roman" w:eastAsia="Times New Roman" w:hAnsi="Times New Roman"/>
                <w:sz w:val="11"/>
                <w:szCs w:val="11"/>
                <w:color w:val="auto"/>
                <w:w w:val="90"/>
              </w:rPr>
              <w:t>—</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1,494</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1,450</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279</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2860" w:type="dxa"/>
            <w:vAlign w:val="bottom"/>
          </w:tcPr>
          <w:p>
            <w:pPr>
              <w:ind w:left="20"/>
              <w:spacing w:after="0" w:line="117" w:lineRule="exact"/>
              <w:rPr>
                <w:sz w:val="20"/>
                <w:szCs w:val="20"/>
                <w:color w:val="auto"/>
              </w:rPr>
            </w:pPr>
            <w:r>
              <w:rPr>
                <w:rFonts w:ascii="Times New Roman" w:cs="Times New Roman" w:eastAsia="Times New Roman" w:hAnsi="Times New Roman"/>
                <w:sz w:val="11"/>
                <w:szCs w:val="11"/>
                <w:color w:val="auto"/>
              </w:rPr>
              <w:t>North Haven Saints Equity Holdings, LP</w:t>
            </w:r>
          </w:p>
        </w:tc>
        <w:tc>
          <w:tcPr>
            <w:tcW w:w="140" w:type="dxa"/>
            <w:vAlign w:val="bottom"/>
          </w:tcPr>
          <w:p>
            <w:pPr>
              <w:spacing w:after="0"/>
              <w:rPr>
                <w:sz w:val="10"/>
                <w:szCs w:val="10"/>
                <w:color w:val="auto"/>
              </w:rPr>
            </w:pPr>
          </w:p>
        </w:tc>
        <w:tc>
          <w:tcPr>
            <w:tcW w:w="740" w:type="dxa"/>
            <w:vAlign w:val="bottom"/>
          </w:tcPr>
          <w:p>
            <w:pPr>
              <w:ind w:left="620"/>
              <w:spacing w:after="0" w:line="117" w:lineRule="exact"/>
              <w:rPr>
                <w:sz w:val="20"/>
                <w:szCs w:val="20"/>
                <w:color w:val="auto"/>
              </w:rPr>
            </w:pPr>
            <w:r>
              <w:rPr>
                <w:rFonts w:ascii="Times New Roman" w:cs="Times New Roman" w:eastAsia="Times New Roman" w:hAnsi="Times New Roman"/>
                <w:sz w:val="11"/>
                <w:szCs w:val="11"/>
                <w:color w:val="auto"/>
                <w:w w:val="90"/>
              </w:rPr>
              <w:t>—</w:t>
            </w:r>
          </w:p>
        </w:tc>
        <w:tc>
          <w:tcPr>
            <w:tcW w:w="260" w:type="dxa"/>
            <w:vAlign w:val="bottom"/>
          </w:tcPr>
          <w:p>
            <w:pPr>
              <w:spacing w:after="0"/>
              <w:rPr>
                <w:sz w:val="10"/>
                <w:szCs w:val="10"/>
                <w:color w:val="auto"/>
              </w:rPr>
            </w:pPr>
          </w:p>
        </w:tc>
        <w:tc>
          <w:tcPr>
            <w:tcW w:w="202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color w:val="auto"/>
                <w:w w:val="97"/>
              </w:rPr>
              <w:t>Healthcare Technology</w:t>
            </w:r>
          </w:p>
        </w:tc>
        <w:tc>
          <w:tcPr>
            <w:tcW w:w="140" w:type="dxa"/>
            <w:vAlign w:val="bottom"/>
          </w:tcPr>
          <w:p>
            <w:pPr>
              <w:spacing w:after="0"/>
              <w:rPr>
                <w:sz w:val="10"/>
                <w:szCs w:val="10"/>
                <w:color w:val="auto"/>
              </w:rPr>
            </w:pPr>
          </w:p>
        </w:tc>
        <w:tc>
          <w:tcPr>
            <w:tcW w:w="1080" w:type="dxa"/>
            <w:vAlign w:val="bottom"/>
            <w:gridSpan w:val="2"/>
          </w:tcPr>
          <w:p>
            <w:pPr>
              <w:jc w:val="right"/>
              <w:ind w:right="240"/>
              <w:spacing w:after="0" w:line="117" w:lineRule="exact"/>
              <w:rPr>
                <w:sz w:val="20"/>
                <w:szCs w:val="20"/>
                <w:color w:val="auto"/>
              </w:rPr>
            </w:pPr>
            <w:r>
              <w:rPr>
                <w:rFonts w:ascii="Times New Roman" w:cs="Times New Roman" w:eastAsia="Times New Roman" w:hAnsi="Times New Roman"/>
                <w:sz w:val="11"/>
                <w:szCs w:val="11"/>
                <w:color w:val="auto"/>
              </w:rPr>
              <w:t>—</w:t>
            </w:r>
          </w:p>
        </w:tc>
        <w:tc>
          <w:tcPr>
            <w:tcW w:w="820" w:type="dxa"/>
            <w:vAlign w:val="bottom"/>
          </w:tcPr>
          <w:p>
            <w:pPr>
              <w:ind w:left="700"/>
              <w:spacing w:after="0" w:line="117" w:lineRule="exact"/>
              <w:rPr>
                <w:sz w:val="20"/>
                <w:szCs w:val="20"/>
                <w:color w:val="auto"/>
              </w:rPr>
            </w:pPr>
            <w:r>
              <w:rPr>
                <w:rFonts w:ascii="Times New Roman" w:cs="Times New Roman" w:eastAsia="Times New Roman" w:hAnsi="Times New Roman"/>
                <w:sz w:val="11"/>
                <w:szCs w:val="11"/>
                <w:color w:val="auto"/>
                <w:w w:val="90"/>
              </w:rPr>
              <w:t>—</w:t>
            </w:r>
          </w:p>
        </w:tc>
        <w:tc>
          <w:tcPr>
            <w:tcW w:w="106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1"/>
                <w:szCs w:val="11"/>
                <w:color w:val="auto"/>
              </w:rPr>
              <w:t>223,602</w:t>
            </w: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224</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237</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860" w:type="dxa"/>
            <w:vAlign w:val="bottom"/>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NXOF Holdings, Inc. (Tyto Athene, LLC) </w:t>
            </w:r>
            <w:r>
              <w:rPr>
                <w:rFonts w:ascii="Times New Roman" w:cs="Times New Roman" w:eastAsia="Times New Roman" w:hAnsi="Times New Roman"/>
                <w:sz w:val="14"/>
                <w:szCs w:val="14"/>
                <w:color w:val="auto"/>
                <w:vertAlign w:val="superscript"/>
              </w:rPr>
              <w:t>(7)</w:t>
            </w:r>
          </w:p>
        </w:tc>
        <w:tc>
          <w:tcPr>
            <w:tcW w:w="140" w:type="dxa"/>
            <w:vAlign w:val="bottom"/>
          </w:tcPr>
          <w:p>
            <w:pPr>
              <w:spacing w:after="0"/>
              <w:rPr>
                <w:sz w:val="13"/>
                <w:szCs w:val="13"/>
                <w:color w:val="auto"/>
              </w:rPr>
            </w:pPr>
          </w:p>
        </w:tc>
        <w:tc>
          <w:tcPr>
            <w:tcW w:w="740" w:type="dxa"/>
            <w:vAlign w:val="bottom"/>
          </w:tcPr>
          <w:p>
            <w:pPr>
              <w:ind w:left="620"/>
              <w:spacing w:after="0"/>
              <w:rPr>
                <w:sz w:val="20"/>
                <w:szCs w:val="20"/>
                <w:color w:val="auto"/>
              </w:rPr>
            </w:pPr>
            <w:r>
              <w:rPr>
                <w:rFonts w:ascii="Times New Roman" w:cs="Times New Roman" w:eastAsia="Times New Roman" w:hAnsi="Times New Roman"/>
                <w:sz w:val="11"/>
                <w:szCs w:val="11"/>
                <w:color w:val="auto"/>
                <w:w w:val="90"/>
              </w:rPr>
              <w:t>—</w:t>
            </w:r>
          </w:p>
        </w:tc>
        <w:tc>
          <w:tcPr>
            <w:tcW w:w="260" w:type="dxa"/>
            <w:vAlign w:val="bottom"/>
          </w:tcPr>
          <w:p>
            <w:pPr>
              <w:spacing w:after="0"/>
              <w:rPr>
                <w:sz w:val="13"/>
                <w:szCs w:val="13"/>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IT Services</w:t>
            </w:r>
          </w:p>
        </w:tc>
        <w:tc>
          <w:tcPr>
            <w:tcW w:w="140" w:type="dxa"/>
            <w:vAlign w:val="bottom"/>
          </w:tcPr>
          <w:p>
            <w:pPr>
              <w:spacing w:after="0"/>
              <w:rPr>
                <w:sz w:val="13"/>
                <w:szCs w:val="13"/>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tcPr>
          <w:p>
            <w:pPr>
              <w:ind w:left="700"/>
              <w:spacing w:after="0"/>
              <w:rPr>
                <w:sz w:val="20"/>
                <w:szCs w:val="20"/>
                <w:color w:val="auto"/>
              </w:rPr>
            </w:pPr>
            <w:r>
              <w:rPr>
                <w:rFonts w:ascii="Times New Roman" w:cs="Times New Roman" w:eastAsia="Times New Roman" w:hAnsi="Times New Roman"/>
                <w:sz w:val="11"/>
                <w:szCs w:val="11"/>
                <w:color w:val="auto"/>
                <w:w w:val="90"/>
              </w:rPr>
              <w:t>—</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14,960</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310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2860" w:type="dxa"/>
            <w:vAlign w:val="bottom"/>
          </w:tcPr>
          <w:p>
            <w:pPr>
              <w:ind w:left="20"/>
              <w:spacing w:after="0" w:line="109" w:lineRule="exact"/>
              <w:rPr>
                <w:sz w:val="20"/>
                <w:szCs w:val="20"/>
                <w:color w:val="auto"/>
              </w:rPr>
            </w:pPr>
            <w:r>
              <w:rPr>
                <w:rFonts w:ascii="Times New Roman" w:cs="Times New Roman" w:eastAsia="Times New Roman" w:hAnsi="Times New Roman"/>
                <w:sz w:val="11"/>
                <w:szCs w:val="11"/>
                <w:color w:val="auto"/>
                <w:w w:val="99"/>
              </w:rPr>
              <w:t>OceanSound Discovery Equity, LP (Holdco Sands Intermediate,</w:t>
            </w:r>
          </w:p>
        </w:tc>
        <w:tc>
          <w:tcPr>
            <w:tcW w:w="140" w:type="dxa"/>
            <w:vAlign w:val="bottom"/>
          </w:tcPr>
          <w:p>
            <w:pPr>
              <w:spacing w:after="0"/>
              <w:rPr>
                <w:sz w:val="9"/>
                <w:szCs w:val="9"/>
                <w:color w:val="auto"/>
              </w:rPr>
            </w:pPr>
          </w:p>
        </w:tc>
        <w:tc>
          <w:tcPr>
            <w:tcW w:w="740" w:type="dxa"/>
            <w:vAlign w:val="bottom"/>
          </w:tcPr>
          <w:p>
            <w:pPr>
              <w:ind w:left="620"/>
              <w:spacing w:after="0" w:line="109" w:lineRule="exact"/>
              <w:rPr>
                <w:sz w:val="20"/>
                <w:szCs w:val="20"/>
                <w:color w:val="auto"/>
              </w:rPr>
            </w:pPr>
            <w:r>
              <w:rPr>
                <w:rFonts w:ascii="Times New Roman" w:cs="Times New Roman" w:eastAsia="Times New Roman" w:hAnsi="Times New Roman"/>
                <w:sz w:val="11"/>
                <w:szCs w:val="11"/>
                <w:color w:val="auto"/>
                <w:w w:val="90"/>
              </w:rPr>
              <w:t>—</w:t>
            </w:r>
          </w:p>
        </w:tc>
        <w:tc>
          <w:tcPr>
            <w:tcW w:w="260" w:type="dxa"/>
            <w:vAlign w:val="bottom"/>
          </w:tcPr>
          <w:p>
            <w:pPr>
              <w:spacing w:after="0"/>
              <w:rPr>
                <w:sz w:val="9"/>
                <w:szCs w:val="9"/>
                <w:color w:val="auto"/>
              </w:rPr>
            </w:pPr>
          </w:p>
        </w:tc>
        <w:tc>
          <w:tcPr>
            <w:tcW w:w="2020" w:type="dxa"/>
            <w:vAlign w:val="bottom"/>
          </w:tcPr>
          <w:p>
            <w:pPr>
              <w:jc w:val="center"/>
              <w:spacing w:after="0" w:line="109" w:lineRule="exact"/>
              <w:rPr>
                <w:sz w:val="20"/>
                <w:szCs w:val="20"/>
                <w:color w:val="auto"/>
              </w:rPr>
            </w:pPr>
            <w:r>
              <w:rPr>
                <w:rFonts w:ascii="Times New Roman" w:cs="Times New Roman" w:eastAsia="Times New Roman" w:hAnsi="Times New Roman"/>
                <w:sz w:val="11"/>
                <w:szCs w:val="11"/>
                <w:color w:val="auto"/>
                <w:w w:val="98"/>
              </w:rPr>
              <w:t>Aerospace and Defense</w:t>
            </w:r>
          </w:p>
        </w:tc>
        <w:tc>
          <w:tcPr>
            <w:tcW w:w="140" w:type="dxa"/>
            <w:vAlign w:val="bottom"/>
          </w:tcPr>
          <w:p>
            <w:pPr>
              <w:spacing w:after="0"/>
              <w:rPr>
                <w:sz w:val="9"/>
                <w:szCs w:val="9"/>
                <w:color w:val="auto"/>
              </w:rPr>
            </w:pPr>
          </w:p>
        </w:tc>
        <w:tc>
          <w:tcPr>
            <w:tcW w:w="1080" w:type="dxa"/>
            <w:vAlign w:val="bottom"/>
            <w:gridSpan w:val="2"/>
          </w:tcPr>
          <w:p>
            <w:pPr>
              <w:jc w:val="right"/>
              <w:ind w:right="240"/>
              <w:spacing w:after="0" w:line="109" w:lineRule="exact"/>
              <w:rPr>
                <w:sz w:val="20"/>
                <w:szCs w:val="20"/>
                <w:color w:val="auto"/>
              </w:rPr>
            </w:pPr>
            <w:r>
              <w:rPr>
                <w:rFonts w:ascii="Times New Roman" w:cs="Times New Roman" w:eastAsia="Times New Roman" w:hAnsi="Times New Roman"/>
                <w:sz w:val="11"/>
                <w:szCs w:val="11"/>
                <w:color w:val="auto"/>
              </w:rPr>
              <w:t>—</w:t>
            </w:r>
          </w:p>
        </w:tc>
        <w:tc>
          <w:tcPr>
            <w:tcW w:w="820" w:type="dxa"/>
            <w:vAlign w:val="bottom"/>
          </w:tcPr>
          <w:p>
            <w:pPr>
              <w:ind w:left="700"/>
              <w:spacing w:after="0" w:line="109" w:lineRule="exact"/>
              <w:rPr>
                <w:sz w:val="20"/>
                <w:szCs w:val="20"/>
                <w:color w:val="auto"/>
              </w:rPr>
            </w:pPr>
            <w:r>
              <w:rPr>
                <w:rFonts w:ascii="Times New Roman" w:cs="Times New Roman" w:eastAsia="Times New Roman" w:hAnsi="Times New Roman"/>
                <w:sz w:val="11"/>
                <w:szCs w:val="11"/>
                <w:color w:val="auto"/>
                <w:w w:val="90"/>
              </w:rPr>
              <w:t>—</w:t>
            </w:r>
          </w:p>
        </w:tc>
        <w:tc>
          <w:tcPr>
            <w:tcW w:w="1060" w:type="dxa"/>
            <w:vAlign w:val="bottom"/>
            <w:gridSpan w:val="2"/>
          </w:tcPr>
          <w:p>
            <w:pPr>
              <w:jc w:val="right"/>
              <w:spacing w:after="0" w:line="109" w:lineRule="exact"/>
              <w:rPr>
                <w:sz w:val="20"/>
                <w:szCs w:val="20"/>
                <w:color w:val="auto"/>
              </w:rPr>
            </w:pPr>
            <w:r>
              <w:rPr>
                <w:rFonts w:ascii="Times New Roman" w:cs="Times New Roman" w:eastAsia="Times New Roman" w:hAnsi="Times New Roman"/>
                <w:sz w:val="11"/>
                <w:szCs w:val="11"/>
                <w:color w:val="auto"/>
              </w:rPr>
              <w:t>173,638</w:t>
            </w: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tcPr>
          <w:p>
            <w:pPr>
              <w:jc w:val="right"/>
              <w:spacing w:after="0" w:line="109" w:lineRule="exact"/>
              <w:rPr>
                <w:sz w:val="20"/>
                <w:szCs w:val="20"/>
                <w:color w:val="auto"/>
              </w:rPr>
            </w:pPr>
            <w:r>
              <w:rPr>
                <w:rFonts w:ascii="Times New Roman" w:cs="Times New Roman" w:eastAsia="Times New Roman" w:hAnsi="Times New Roman"/>
                <w:sz w:val="11"/>
                <w:szCs w:val="11"/>
                <w:color w:val="auto"/>
              </w:rPr>
              <w:t>1,729</w:t>
            </w: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jc w:val="right"/>
              <w:spacing w:after="0" w:line="109" w:lineRule="exact"/>
              <w:rPr>
                <w:sz w:val="20"/>
                <w:szCs w:val="20"/>
                <w:color w:val="auto"/>
              </w:rPr>
            </w:pPr>
            <w:r>
              <w:rPr>
                <w:rFonts w:ascii="Times New Roman" w:cs="Times New Roman" w:eastAsia="Times New Roman" w:hAnsi="Times New Roman"/>
                <w:sz w:val="11"/>
                <w:szCs w:val="11"/>
                <w:color w:val="auto"/>
              </w:rPr>
              <w:t>2,917</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2860" w:type="dxa"/>
            <w:vAlign w:val="bottom"/>
          </w:tcPr>
          <w:p>
            <w:pPr>
              <w:ind w:left="20"/>
              <w:spacing w:after="0" w:line="149" w:lineRule="exact"/>
              <w:rPr>
                <w:sz w:val="20"/>
                <w:szCs w:val="20"/>
                <w:color w:val="auto"/>
              </w:rPr>
            </w:pPr>
            <w:r>
              <w:rPr>
                <w:rFonts w:ascii="Times New Roman" w:cs="Times New Roman" w:eastAsia="Times New Roman" w:hAnsi="Times New Roman"/>
                <w:sz w:val="17"/>
                <w:szCs w:val="17"/>
                <w:color w:val="auto"/>
                <w:vertAlign w:val="subscript"/>
              </w:rPr>
              <w:t>LLC)</w:t>
            </w:r>
            <w:r>
              <w:rPr>
                <w:rFonts w:ascii="Times New Roman" w:cs="Times New Roman" w:eastAsia="Times New Roman" w:hAnsi="Times New Roman"/>
                <w:sz w:val="6"/>
                <w:szCs w:val="6"/>
                <w:color w:val="auto"/>
              </w:rPr>
              <w:t xml:space="preserve"> (7), (8)</w:t>
            </w: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2860" w:type="dxa"/>
            <w:vAlign w:val="bottom"/>
          </w:tcPr>
          <w:p>
            <w:pPr>
              <w:ind w:left="20"/>
              <w:spacing w:after="0" w:line="117" w:lineRule="exact"/>
              <w:rPr>
                <w:sz w:val="20"/>
                <w:szCs w:val="20"/>
                <w:color w:val="auto"/>
              </w:rPr>
            </w:pPr>
            <w:r>
              <w:rPr>
                <w:rFonts w:ascii="Times New Roman" w:cs="Times New Roman" w:eastAsia="Times New Roman" w:hAnsi="Times New Roman"/>
                <w:sz w:val="11"/>
                <w:szCs w:val="11"/>
                <w:color w:val="auto"/>
              </w:rPr>
              <w:t>OHCP V BC COI, L.P.</w:t>
            </w:r>
          </w:p>
        </w:tc>
        <w:tc>
          <w:tcPr>
            <w:tcW w:w="140" w:type="dxa"/>
            <w:vAlign w:val="bottom"/>
          </w:tcPr>
          <w:p>
            <w:pPr>
              <w:spacing w:after="0"/>
              <w:rPr>
                <w:sz w:val="10"/>
                <w:szCs w:val="10"/>
                <w:color w:val="auto"/>
              </w:rPr>
            </w:pPr>
          </w:p>
        </w:tc>
        <w:tc>
          <w:tcPr>
            <w:tcW w:w="740" w:type="dxa"/>
            <w:vAlign w:val="bottom"/>
          </w:tcPr>
          <w:p>
            <w:pPr>
              <w:ind w:left="620"/>
              <w:spacing w:after="0" w:line="117" w:lineRule="exact"/>
              <w:rPr>
                <w:sz w:val="20"/>
                <w:szCs w:val="20"/>
                <w:color w:val="auto"/>
              </w:rPr>
            </w:pPr>
            <w:r>
              <w:rPr>
                <w:rFonts w:ascii="Times New Roman" w:cs="Times New Roman" w:eastAsia="Times New Roman" w:hAnsi="Times New Roman"/>
                <w:sz w:val="11"/>
                <w:szCs w:val="11"/>
                <w:color w:val="auto"/>
                <w:w w:val="90"/>
              </w:rPr>
              <w:t>—</w:t>
            </w:r>
          </w:p>
        </w:tc>
        <w:tc>
          <w:tcPr>
            <w:tcW w:w="260" w:type="dxa"/>
            <w:vAlign w:val="bottom"/>
          </w:tcPr>
          <w:p>
            <w:pPr>
              <w:spacing w:after="0"/>
              <w:rPr>
                <w:sz w:val="10"/>
                <w:szCs w:val="10"/>
                <w:color w:val="auto"/>
              </w:rPr>
            </w:pPr>
          </w:p>
        </w:tc>
        <w:tc>
          <w:tcPr>
            <w:tcW w:w="202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color w:val="auto"/>
                <w:w w:val="98"/>
              </w:rPr>
              <w:t>Distributors</w:t>
            </w:r>
          </w:p>
        </w:tc>
        <w:tc>
          <w:tcPr>
            <w:tcW w:w="140" w:type="dxa"/>
            <w:vAlign w:val="bottom"/>
          </w:tcPr>
          <w:p>
            <w:pPr>
              <w:spacing w:after="0"/>
              <w:rPr>
                <w:sz w:val="10"/>
                <w:szCs w:val="10"/>
                <w:color w:val="auto"/>
              </w:rPr>
            </w:pPr>
          </w:p>
        </w:tc>
        <w:tc>
          <w:tcPr>
            <w:tcW w:w="1080" w:type="dxa"/>
            <w:vAlign w:val="bottom"/>
            <w:gridSpan w:val="2"/>
          </w:tcPr>
          <w:p>
            <w:pPr>
              <w:jc w:val="right"/>
              <w:ind w:right="240"/>
              <w:spacing w:after="0" w:line="117" w:lineRule="exact"/>
              <w:rPr>
                <w:sz w:val="20"/>
                <w:szCs w:val="20"/>
                <w:color w:val="auto"/>
              </w:rPr>
            </w:pPr>
            <w:r>
              <w:rPr>
                <w:rFonts w:ascii="Times New Roman" w:cs="Times New Roman" w:eastAsia="Times New Roman" w:hAnsi="Times New Roman"/>
                <w:sz w:val="11"/>
                <w:szCs w:val="11"/>
                <w:color w:val="auto"/>
              </w:rPr>
              <w:t>—</w:t>
            </w:r>
          </w:p>
        </w:tc>
        <w:tc>
          <w:tcPr>
            <w:tcW w:w="820" w:type="dxa"/>
            <w:vAlign w:val="bottom"/>
          </w:tcPr>
          <w:p>
            <w:pPr>
              <w:ind w:left="700"/>
              <w:spacing w:after="0" w:line="117" w:lineRule="exact"/>
              <w:rPr>
                <w:sz w:val="20"/>
                <w:szCs w:val="20"/>
                <w:color w:val="auto"/>
              </w:rPr>
            </w:pPr>
            <w:r>
              <w:rPr>
                <w:rFonts w:ascii="Times New Roman" w:cs="Times New Roman" w:eastAsia="Times New Roman" w:hAnsi="Times New Roman"/>
                <w:sz w:val="11"/>
                <w:szCs w:val="11"/>
                <w:color w:val="auto"/>
                <w:w w:val="90"/>
              </w:rPr>
              <w:t>—</w:t>
            </w:r>
          </w:p>
        </w:tc>
        <w:tc>
          <w:tcPr>
            <w:tcW w:w="106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1"/>
                <w:szCs w:val="11"/>
                <w:color w:val="auto"/>
              </w:rPr>
              <w:t>743,750</w:t>
            </w: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744</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636</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86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OHCP V BC COI, L.P. </w:t>
            </w:r>
            <w:r>
              <w:rPr>
                <w:rFonts w:ascii="Times New Roman" w:cs="Times New Roman" w:eastAsia="Times New Roman" w:hAnsi="Times New Roman"/>
                <w:sz w:val="14"/>
                <w:szCs w:val="14"/>
                <w:color w:val="auto"/>
                <w:vertAlign w:val="superscript"/>
              </w:rPr>
              <w:t>(8) (9)</w:t>
            </w:r>
          </w:p>
        </w:tc>
        <w:tc>
          <w:tcPr>
            <w:tcW w:w="140" w:type="dxa"/>
            <w:vAlign w:val="bottom"/>
          </w:tcPr>
          <w:p>
            <w:pPr>
              <w:spacing w:after="0"/>
              <w:rPr>
                <w:sz w:val="11"/>
                <w:szCs w:val="11"/>
                <w:color w:val="auto"/>
              </w:rPr>
            </w:pPr>
          </w:p>
        </w:tc>
        <w:tc>
          <w:tcPr>
            <w:tcW w:w="740" w:type="dxa"/>
            <w:vAlign w:val="bottom"/>
          </w:tcPr>
          <w:p>
            <w:pPr>
              <w:ind w:left="620"/>
              <w:spacing w:after="0"/>
              <w:rPr>
                <w:sz w:val="20"/>
                <w:szCs w:val="20"/>
                <w:color w:val="auto"/>
              </w:rPr>
            </w:pPr>
            <w:r>
              <w:rPr>
                <w:rFonts w:ascii="Times New Roman" w:cs="Times New Roman" w:eastAsia="Times New Roman" w:hAnsi="Times New Roman"/>
                <w:sz w:val="11"/>
                <w:szCs w:val="11"/>
                <w:color w:val="auto"/>
                <w:w w:val="90"/>
              </w:rPr>
              <w:t>—</w:t>
            </w:r>
          </w:p>
        </w:tc>
        <w:tc>
          <w:tcPr>
            <w:tcW w:w="260" w:type="dxa"/>
            <w:vAlign w:val="bottom"/>
          </w:tcPr>
          <w:p>
            <w:pPr>
              <w:spacing w:after="0"/>
              <w:rPr>
                <w:sz w:val="11"/>
                <w:szCs w:val="11"/>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Distributors</w:t>
            </w:r>
          </w:p>
        </w:tc>
        <w:tc>
          <w:tcPr>
            <w:tcW w:w="140" w:type="dxa"/>
            <w:vAlign w:val="bottom"/>
          </w:tcPr>
          <w:p>
            <w:pPr>
              <w:spacing w:after="0"/>
              <w:rPr>
                <w:sz w:val="11"/>
                <w:szCs w:val="11"/>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tcPr>
          <w:p>
            <w:pPr>
              <w:ind w:left="700"/>
              <w:spacing w:after="0"/>
              <w:rPr>
                <w:sz w:val="20"/>
                <w:szCs w:val="20"/>
                <w:color w:val="auto"/>
              </w:rPr>
            </w:pPr>
            <w:r>
              <w:rPr>
                <w:rFonts w:ascii="Times New Roman" w:cs="Times New Roman" w:eastAsia="Times New Roman" w:hAnsi="Times New Roman"/>
                <w:sz w:val="11"/>
                <w:szCs w:val="11"/>
                <w:color w:val="auto"/>
                <w:w w:val="90"/>
              </w:rPr>
              <w:t>—</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506,250</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(73 )</w:t>
            </w:r>
          </w:p>
        </w:tc>
        <w:tc>
          <w:tcPr>
            <w:tcW w:w="0" w:type="dxa"/>
            <w:vAlign w:val="bottom"/>
          </w:tcPr>
          <w:p>
            <w:pPr>
              <w:spacing w:after="0"/>
              <w:rPr>
                <w:sz w:val="1"/>
                <w:szCs w:val="1"/>
                <w:color w:val="auto"/>
              </w:rPr>
            </w:pPr>
          </w:p>
        </w:tc>
      </w:tr>
      <w:tr>
        <w:trPr>
          <w:trHeight w:val="135"/>
        </w:trPr>
        <w:tc>
          <w:tcPr>
            <w:tcW w:w="286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Oral Surgery (ITC) Holdings, LLC </w:t>
            </w:r>
            <w:r>
              <w:rPr>
                <w:rFonts w:ascii="Times New Roman" w:cs="Times New Roman" w:eastAsia="Times New Roman" w:hAnsi="Times New Roman"/>
                <w:sz w:val="14"/>
                <w:szCs w:val="14"/>
                <w:color w:val="auto"/>
                <w:vertAlign w:val="superscript"/>
              </w:rPr>
              <w:t>(7),(8)</w:t>
            </w:r>
          </w:p>
        </w:tc>
        <w:tc>
          <w:tcPr>
            <w:tcW w:w="140" w:type="dxa"/>
            <w:vAlign w:val="bottom"/>
          </w:tcPr>
          <w:p>
            <w:pPr>
              <w:spacing w:after="0"/>
              <w:rPr>
                <w:sz w:val="11"/>
                <w:szCs w:val="11"/>
                <w:color w:val="auto"/>
              </w:rPr>
            </w:pPr>
          </w:p>
        </w:tc>
        <w:tc>
          <w:tcPr>
            <w:tcW w:w="740" w:type="dxa"/>
            <w:vAlign w:val="bottom"/>
          </w:tcPr>
          <w:p>
            <w:pPr>
              <w:ind w:left="620"/>
              <w:spacing w:after="0"/>
              <w:rPr>
                <w:sz w:val="20"/>
                <w:szCs w:val="20"/>
                <w:color w:val="auto"/>
              </w:rPr>
            </w:pPr>
            <w:r>
              <w:rPr>
                <w:rFonts w:ascii="Times New Roman" w:cs="Times New Roman" w:eastAsia="Times New Roman" w:hAnsi="Times New Roman"/>
                <w:sz w:val="11"/>
                <w:szCs w:val="11"/>
                <w:color w:val="auto"/>
                <w:w w:val="90"/>
              </w:rPr>
              <w:t>—</w:t>
            </w:r>
          </w:p>
        </w:tc>
        <w:tc>
          <w:tcPr>
            <w:tcW w:w="260" w:type="dxa"/>
            <w:vAlign w:val="bottom"/>
          </w:tcPr>
          <w:p>
            <w:pPr>
              <w:spacing w:after="0"/>
              <w:rPr>
                <w:sz w:val="11"/>
                <w:szCs w:val="11"/>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Healthcare Equipment and Supplies</w:t>
            </w:r>
          </w:p>
        </w:tc>
        <w:tc>
          <w:tcPr>
            <w:tcW w:w="140" w:type="dxa"/>
            <w:vAlign w:val="bottom"/>
          </w:tcPr>
          <w:p>
            <w:pPr>
              <w:spacing w:after="0"/>
              <w:rPr>
                <w:sz w:val="11"/>
                <w:szCs w:val="11"/>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tcPr>
          <w:p>
            <w:pPr>
              <w:ind w:left="700"/>
              <w:spacing w:after="0"/>
              <w:rPr>
                <w:sz w:val="20"/>
                <w:szCs w:val="20"/>
                <w:color w:val="auto"/>
              </w:rPr>
            </w:pPr>
            <w:r>
              <w:rPr>
                <w:rFonts w:ascii="Times New Roman" w:cs="Times New Roman" w:eastAsia="Times New Roman" w:hAnsi="Times New Roman"/>
                <w:sz w:val="11"/>
                <w:szCs w:val="11"/>
                <w:color w:val="auto"/>
                <w:w w:val="90"/>
              </w:rPr>
              <w:t>—</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3,872</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83</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231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6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ORL Holdco, Inc. </w:t>
            </w:r>
            <w:r>
              <w:rPr>
                <w:rFonts w:ascii="Times New Roman" w:cs="Times New Roman" w:eastAsia="Times New Roman" w:hAnsi="Times New Roman"/>
                <w:sz w:val="14"/>
                <w:szCs w:val="14"/>
                <w:color w:val="auto"/>
                <w:vertAlign w:val="superscript"/>
              </w:rPr>
              <w:t>(7)</w:t>
            </w:r>
          </w:p>
        </w:tc>
        <w:tc>
          <w:tcPr>
            <w:tcW w:w="140" w:type="dxa"/>
            <w:vAlign w:val="bottom"/>
          </w:tcPr>
          <w:p>
            <w:pPr>
              <w:spacing w:after="0"/>
              <w:rPr>
                <w:sz w:val="11"/>
                <w:szCs w:val="11"/>
                <w:color w:val="auto"/>
              </w:rPr>
            </w:pPr>
          </w:p>
        </w:tc>
        <w:tc>
          <w:tcPr>
            <w:tcW w:w="740" w:type="dxa"/>
            <w:vAlign w:val="bottom"/>
          </w:tcPr>
          <w:p>
            <w:pPr>
              <w:ind w:left="620"/>
              <w:spacing w:after="0"/>
              <w:rPr>
                <w:sz w:val="20"/>
                <w:szCs w:val="20"/>
                <w:color w:val="auto"/>
              </w:rPr>
            </w:pPr>
            <w:r>
              <w:rPr>
                <w:rFonts w:ascii="Times New Roman" w:cs="Times New Roman" w:eastAsia="Times New Roman" w:hAnsi="Times New Roman"/>
                <w:sz w:val="11"/>
                <w:szCs w:val="11"/>
                <w:color w:val="auto"/>
                <w:w w:val="90"/>
              </w:rPr>
              <w:t>—</w:t>
            </w:r>
          </w:p>
        </w:tc>
        <w:tc>
          <w:tcPr>
            <w:tcW w:w="260" w:type="dxa"/>
            <w:vAlign w:val="bottom"/>
          </w:tcPr>
          <w:p>
            <w:pPr>
              <w:spacing w:after="0"/>
              <w:rPr>
                <w:sz w:val="11"/>
                <w:szCs w:val="11"/>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6"/>
              </w:rPr>
              <w:t>Consumer Finance</w:t>
            </w:r>
          </w:p>
        </w:tc>
        <w:tc>
          <w:tcPr>
            <w:tcW w:w="140" w:type="dxa"/>
            <w:vAlign w:val="bottom"/>
          </w:tcPr>
          <w:p>
            <w:pPr>
              <w:spacing w:after="0"/>
              <w:rPr>
                <w:sz w:val="11"/>
                <w:szCs w:val="11"/>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tcPr>
          <w:p>
            <w:pPr>
              <w:ind w:left="700"/>
              <w:spacing w:after="0"/>
              <w:rPr>
                <w:sz w:val="20"/>
                <w:szCs w:val="20"/>
                <w:color w:val="auto"/>
              </w:rPr>
            </w:pPr>
            <w:r>
              <w:rPr>
                <w:rFonts w:ascii="Times New Roman" w:cs="Times New Roman" w:eastAsia="Times New Roman" w:hAnsi="Times New Roman"/>
                <w:sz w:val="11"/>
                <w:szCs w:val="11"/>
                <w:color w:val="auto"/>
                <w:w w:val="90"/>
              </w:rPr>
              <w:t>—</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1,474</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261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860" w:type="dxa"/>
            <w:vAlign w:val="bottom"/>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PennantPark-TSO Senior Loan Fund, LP </w:t>
            </w:r>
            <w:r>
              <w:rPr>
                <w:rFonts w:ascii="Times New Roman" w:cs="Times New Roman" w:eastAsia="Times New Roman" w:hAnsi="Times New Roman"/>
                <w:sz w:val="14"/>
                <w:szCs w:val="14"/>
                <w:color w:val="auto"/>
                <w:vertAlign w:val="superscript"/>
              </w:rPr>
              <w:t>(7)</w:t>
            </w:r>
          </w:p>
        </w:tc>
        <w:tc>
          <w:tcPr>
            <w:tcW w:w="140" w:type="dxa"/>
            <w:vAlign w:val="bottom"/>
          </w:tcPr>
          <w:p>
            <w:pPr>
              <w:spacing w:after="0"/>
              <w:rPr>
                <w:sz w:val="13"/>
                <w:szCs w:val="13"/>
                <w:color w:val="auto"/>
              </w:rPr>
            </w:pPr>
          </w:p>
        </w:tc>
        <w:tc>
          <w:tcPr>
            <w:tcW w:w="740" w:type="dxa"/>
            <w:vAlign w:val="bottom"/>
          </w:tcPr>
          <w:p>
            <w:pPr>
              <w:ind w:left="620"/>
              <w:spacing w:after="0"/>
              <w:rPr>
                <w:sz w:val="20"/>
                <w:szCs w:val="20"/>
                <w:color w:val="auto"/>
              </w:rPr>
            </w:pPr>
            <w:r>
              <w:rPr>
                <w:rFonts w:ascii="Times New Roman" w:cs="Times New Roman" w:eastAsia="Times New Roman" w:hAnsi="Times New Roman"/>
                <w:sz w:val="11"/>
                <w:szCs w:val="11"/>
                <w:color w:val="auto"/>
                <w:w w:val="90"/>
              </w:rPr>
              <w:t>—</w:t>
            </w:r>
          </w:p>
        </w:tc>
        <w:tc>
          <w:tcPr>
            <w:tcW w:w="260" w:type="dxa"/>
            <w:vAlign w:val="bottom"/>
          </w:tcPr>
          <w:p>
            <w:pPr>
              <w:spacing w:after="0"/>
              <w:rPr>
                <w:sz w:val="13"/>
                <w:szCs w:val="13"/>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Financial Services</w:t>
            </w:r>
          </w:p>
        </w:tc>
        <w:tc>
          <w:tcPr>
            <w:tcW w:w="140" w:type="dxa"/>
            <w:vAlign w:val="bottom"/>
          </w:tcPr>
          <w:p>
            <w:pPr>
              <w:spacing w:after="0"/>
              <w:rPr>
                <w:sz w:val="13"/>
                <w:szCs w:val="13"/>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tcPr>
          <w:p>
            <w:pPr>
              <w:ind w:left="700"/>
              <w:spacing w:after="0"/>
              <w:rPr>
                <w:sz w:val="20"/>
                <w:szCs w:val="20"/>
                <w:color w:val="auto"/>
              </w:rPr>
            </w:pPr>
            <w:r>
              <w:rPr>
                <w:rFonts w:ascii="Times New Roman" w:cs="Times New Roman" w:eastAsia="Times New Roman" w:hAnsi="Times New Roman"/>
                <w:sz w:val="11"/>
                <w:szCs w:val="11"/>
                <w:color w:val="auto"/>
                <w:w w:val="90"/>
              </w:rPr>
              <w:t>—</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11,167,847</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11,168</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9,892</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0"/>
        </w:trPr>
        <w:tc>
          <w:tcPr>
            <w:tcW w:w="28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Pink Lily Holdco, LLC (PL Acquisitions, LLC)</w:t>
            </w:r>
          </w:p>
        </w:tc>
        <w:tc>
          <w:tcPr>
            <w:tcW w:w="140" w:type="dxa"/>
            <w:vAlign w:val="bottom"/>
          </w:tcPr>
          <w:p>
            <w:pPr>
              <w:spacing w:after="0"/>
              <w:rPr>
                <w:sz w:val="12"/>
                <w:szCs w:val="12"/>
                <w:color w:val="auto"/>
              </w:rPr>
            </w:pPr>
          </w:p>
        </w:tc>
        <w:tc>
          <w:tcPr>
            <w:tcW w:w="740" w:type="dxa"/>
            <w:vAlign w:val="bottom"/>
          </w:tcPr>
          <w:p>
            <w:pPr>
              <w:ind w:left="620"/>
              <w:spacing w:after="0"/>
              <w:rPr>
                <w:sz w:val="20"/>
                <w:szCs w:val="20"/>
                <w:color w:val="auto"/>
              </w:rPr>
            </w:pPr>
            <w:r>
              <w:rPr>
                <w:rFonts w:ascii="Times New Roman" w:cs="Times New Roman" w:eastAsia="Times New Roman" w:hAnsi="Times New Roman"/>
                <w:sz w:val="11"/>
                <w:szCs w:val="11"/>
                <w:color w:val="auto"/>
                <w:w w:val="90"/>
              </w:rPr>
              <w:t>—</w:t>
            </w:r>
          </w:p>
        </w:tc>
        <w:tc>
          <w:tcPr>
            <w:tcW w:w="260" w:type="dxa"/>
            <w:vAlign w:val="bottom"/>
          </w:tcPr>
          <w:p>
            <w:pPr>
              <w:spacing w:after="0"/>
              <w:rPr>
                <w:sz w:val="12"/>
                <w:szCs w:val="12"/>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Textiles, Apparel and Luxury Goods</w:t>
            </w:r>
          </w:p>
        </w:tc>
        <w:tc>
          <w:tcPr>
            <w:tcW w:w="140" w:type="dxa"/>
            <w:vAlign w:val="bottom"/>
          </w:tcPr>
          <w:p>
            <w:pPr>
              <w:spacing w:after="0"/>
              <w:rPr>
                <w:sz w:val="12"/>
                <w:szCs w:val="12"/>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tcPr>
          <w:p>
            <w:pPr>
              <w:ind w:left="700"/>
              <w:spacing w:after="0"/>
              <w:rPr>
                <w:sz w:val="20"/>
                <w:szCs w:val="20"/>
                <w:color w:val="auto"/>
              </w:rPr>
            </w:pPr>
            <w:r>
              <w:rPr>
                <w:rFonts w:ascii="Times New Roman" w:cs="Times New Roman" w:eastAsia="Times New Roman" w:hAnsi="Times New Roman"/>
                <w:sz w:val="11"/>
                <w:szCs w:val="11"/>
                <w:color w:val="auto"/>
                <w:w w:val="90"/>
              </w:rPr>
              <w:t>—</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1,735</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1,735</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914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42"/>
        </w:trPr>
        <w:tc>
          <w:tcPr>
            <w:tcW w:w="28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0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-7217410</wp:posOffset>
            </wp:positionV>
            <wp:extent cx="7132320" cy="9461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323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-7037070</wp:posOffset>
            </wp:positionV>
            <wp:extent cx="7132320" cy="8572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-6865620</wp:posOffset>
            </wp:positionV>
            <wp:extent cx="7132320" cy="8572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-6694170</wp:posOffset>
            </wp:positionV>
            <wp:extent cx="7132320" cy="8572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-6522720</wp:posOffset>
            </wp:positionV>
            <wp:extent cx="7132320" cy="8572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-6351270</wp:posOffset>
            </wp:positionV>
            <wp:extent cx="7132320" cy="17145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-6094095</wp:posOffset>
            </wp:positionV>
            <wp:extent cx="7132320" cy="27432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32320" cy="2743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-5734050</wp:posOffset>
            </wp:positionV>
            <wp:extent cx="7132320" cy="8572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-5562600</wp:posOffset>
            </wp:positionV>
            <wp:extent cx="7132320" cy="8572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-5391150</wp:posOffset>
            </wp:positionV>
            <wp:extent cx="7132320" cy="8572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-5219700</wp:posOffset>
            </wp:positionV>
            <wp:extent cx="7132320" cy="8572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-5048250</wp:posOffset>
            </wp:positionV>
            <wp:extent cx="7132320" cy="8572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-4876800</wp:posOffset>
            </wp:positionV>
            <wp:extent cx="7132320" cy="17145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-4619625</wp:posOffset>
            </wp:positionV>
            <wp:extent cx="7132320" cy="8572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-4448175</wp:posOffset>
            </wp:positionV>
            <wp:extent cx="7132320" cy="8572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-4199890</wp:posOffset>
            </wp:positionV>
            <wp:extent cx="7132320" cy="8572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-4028440</wp:posOffset>
            </wp:positionV>
            <wp:extent cx="7132320" cy="8572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-3856990</wp:posOffset>
            </wp:positionV>
            <wp:extent cx="7132320" cy="8572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-3599815</wp:posOffset>
            </wp:positionV>
            <wp:extent cx="7132320" cy="8572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-3428365</wp:posOffset>
            </wp:positionV>
            <wp:extent cx="7132320" cy="8572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-3256915</wp:posOffset>
            </wp:positionV>
            <wp:extent cx="7132320" cy="17145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-2828290</wp:posOffset>
            </wp:positionV>
            <wp:extent cx="7132320" cy="8572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-2571115</wp:posOffset>
            </wp:positionV>
            <wp:extent cx="7132320" cy="8572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-2399665</wp:posOffset>
            </wp:positionV>
            <wp:extent cx="7132320" cy="8572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-2228215</wp:posOffset>
            </wp:positionV>
            <wp:extent cx="7132320" cy="8572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-1971040</wp:posOffset>
            </wp:positionV>
            <wp:extent cx="7132320" cy="8572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-1799590</wp:posOffset>
            </wp:positionV>
            <wp:extent cx="7132320" cy="8572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-1456690</wp:posOffset>
            </wp:positionV>
            <wp:extent cx="7132320" cy="8572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-1285240</wp:posOffset>
            </wp:positionV>
            <wp:extent cx="7132320" cy="8572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-1113790</wp:posOffset>
            </wp:positionV>
            <wp:extent cx="7132320" cy="8572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-865505</wp:posOffset>
            </wp:positionV>
            <wp:extent cx="7132320" cy="8572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-694055</wp:posOffset>
            </wp:positionV>
            <wp:extent cx="7132320" cy="8572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-521970</wp:posOffset>
            </wp:positionV>
            <wp:extent cx="7132320" cy="8572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4"/>
          <w:szCs w:val="14"/>
          <w:b w:val="1"/>
          <w:bCs w:val="1"/>
          <w:color w:val="auto"/>
        </w:rPr>
        <w:t>PENNANTPARK FLOATING RATE CAPITAL LTD. AND SUBSIDIARIES</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CONSOLIDATED SCHEDULE OF INVESTMENTS—(CONTINUED)</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SEPTEMBER 30, 2022</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(in thousands, except share data)</w:t>
      </w:r>
    </w:p>
    <w:tbl>
      <w:tblPr>
        <w:tblLayout w:type="fixed"/>
        <w:tblInd w:w="0" w:type="dxa"/>
        <w:tblCellMar>
          <w:top w:w="0" w:type="dxa"/>
          <w:left w:w="0" w:type="dxa"/>
          <w:bottom w:w="0" w:type="dxa"/>
          <w:right w:w="0" w:type="dxa"/>
        </w:tblCellMar>
      </w:tblPr>
      <w:tr>
        <w:trPr>
          <w:trHeight w:val="102"/>
        </w:trPr>
        <w:tc>
          <w:tcPr>
            <w:tcW w:w="28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20" w:type="dxa"/>
            <w:vAlign w:val="bottom"/>
          </w:tcPr>
          <w:p>
            <w:pPr>
              <w:jc w:val="center"/>
              <w:spacing w:after="0" w:line="102" w:lineRule="exact"/>
              <w:rPr>
                <w:sz w:val="20"/>
                <w:szCs w:val="20"/>
                <w:color w:val="auto"/>
              </w:rPr>
            </w:pPr>
            <w:r>
              <w:rPr>
                <w:rFonts w:ascii="Times New Roman" w:cs="Times New Roman" w:eastAsia="Times New Roman" w:hAnsi="Times New Roman"/>
                <w:sz w:val="11"/>
                <w:szCs w:val="11"/>
                <w:b w:val="1"/>
                <w:bCs w:val="1"/>
                <w:color w:val="auto"/>
                <w:w w:val="99"/>
              </w:rPr>
              <w:t>Basis Point</w:t>
            </w:r>
          </w:p>
        </w:tc>
        <w:tc>
          <w:tcPr>
            <w:tcW w:w="220" w:type="dxa"/>
            <w:vAlign w:val="bottom"/>
          </w:tcPr>
          <w:p>
            <w:pPr>
              <w:spacing w:after="0"/>
              <w:rPr>
                <w:sz w:val="8"/>
                <w:szCs w:val="8"/>
                <w:color w:val="auto"/>
              </w:rPr>
            </w:pPr>
          </w:p>
        </w:tc>
        <w:tc>
          <w:tcPr>
            <w:tcW w:w="8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9"/>
        </w:trPr>
        <w:tc>
          <w:tcPr>
            <w:tcW w:w="2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20" w:type="dxa"/>
            <w:vAlign w:val="bottom"/>
          </w:tcPr>
          <w:p>
            <w:pPr>
              <w:jc w:val="center"/>
              <w:spacing w:after="0" w:line="120" w:lineRule="exact"/>
              <w:rPr>
                <w:sz w:val="20"/>
                <w:szCs w:val="20"/>
                <w:color w:val="auto"/>
              </w:rPr>
            </w:pPr>
            <w:r>
              <w:rPr>
                <w:rFonts w:ascii="Times New Roman" w:cs="Times New Roman" w:eastAsia="Times New Roman" w:hAnsi="Times New Roman"/>
                <w:sz w:val="11"/>
                <w:szCs w:val="11"/>
                <w:b w:val="1"/>
                <w:bCs w:val="1"/>
                <w:color w:val="auto"/>
              </w:rPr>
              <w:t>Spread</w:t>
            </w:r>
          </w:p>
        </w:tc>
        <w:tc>
          <w:tcPr>
            <w:tcW w:w="2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0"/>
        </w:trPr>
        <w:tc>
          <w:tcPr>
            <w:tcW w:w="28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80" w:type="dxa"/>
            <w:vAlign w:val="bottom"/>
            <w:gridSpan w:val="2"/>
          </w:tcPr>
          <w:p>
            <w:pPr>
              <w:jc w:val="right"/>
              <w:ind w:right="440"/>
              <w:spacing w:after="0" w:line="111" w:lineRule="exact"/>
              <w:rPr>
                <w:sz w:val="20"/>
                <w:szCs w:val="20"/>
                <w:color w:val="auto"/>
              </w:rPr>
            </w:pPr>
            <w:r>
              <w:rPr>
                <w:rFonts w:ascii="Times New Roman" w:cs="Times New Roman" w:eastAsia="Times New Roman" w:hAnsi="Times New Roman"/>
                <w:sz w:val="11"/>
                <w:szCs w:val="11"/>
                <w:b w:val="1"/>
                <w:bCs w:val="1"/>
                <w:color w:val="auto"/>
              </w:rPr>
              <w:t>Current</w:t>
            </w:r>
          </w:p>
        </w:tc>
        <w:tc>
          <w:tcPr>
            <w:tcW w:w="820" w:type="dxa"/>
            <w:vAlign w:val="bottom"/>
          </w:tcPr>
          <w:p>
            <w:pPr>
              <w:jc w:val="center"/>
              <w:spacing w:after="0" w:line="111" w:lineRule="exact"/>
              <w:rPr>
                <w:sz w:val="20"/>
                <w:szCs w:val="20"/>
                <w:color w:val="auto"/>
              </w:rPr>
            </w:pPr>
            <w:r>
              <w:rPr>
                <w:rFonts w:ascii="Times New Roman" w:cs="Times New Roman" w:eastAsia="Times New Roman" w:hAnsi="Times New Roman"/>
                <w:sz w:val="11"/>
                <w:szCs w:val="11"/>
                <w:b w:val="1"/>
                <w:bCs w:val="1"/>
                <w:color w:val="auto"/>
              </w:rPr>
              <w:t>Above</w:t>
            </w:r>
          </w:p>
        </w:tc>
        <w:tc>
          <w:tcPr>
            <w:tcW w:w="220" w:type="dxa"/>
            <w:vAlign w:val="bottom"/>
          </w:tcPr>
          <w:p>
            <w:pPr>
              <w:spacing w:after="0"/>
              <w:rPr>
                <w:sz w:val="9"/>
                <w:szCs w:val="9"/>
                <w:color w:val="auto"/>
              </w:rPr>
            </w:pPr>
          </w:p>
        </w:tc>
        <w:tc>
          <w:tcPr>
            <w:tcW w:w="840" w:type="dxa"/>
            <w:vAlign w:val="bottom"/>
          </w:tcPr>
          <w:p>
            <w:pPr>
              <w:jc w:val="right"/>
              <w:ind w:right="246"/>
              <w:spacing w:after="0" w:line="111" w:lineRule="exact"/>
              <w:rPr>
                <w:sz w:val="20"/>
                <w:szCs w:val="20"/>
                <w:color w:val="auto"/>
              </w:rPr>
            </w:pPr>
            <w:r>
              <w:rPr>
                <w:rFonts w:ascii="Times New Roman" w:cs="Times New Roman" w:eastAsia="Times New Roman" w:hAnsi="Times New Roman"/>
                <w:sz w:val="11"/>
                <w:szCs w:val="11"/>
                <w:b w:val="1"/>
                <w:bCs w:val="1"/>
                <w:color w:val="auto"/>
              </w:rPr>
              <w:t>Par /</w:t>
            </w: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1"/>
                <w:szCs w:val="11"/>
                <w:b w:val="1"/>
                <w:bCs w:val="1"/>
                <w:color w:val="auto"/>
                <w:w w:val="93"/>
              </w:rPr>
              <w:t xml:space="preserve">Fair Value </w:t>
            </w:r>
            <w:r>
              <w:rPr>
                <w:rFonts w:ascii="Times New Roman" w:cs="Times New Roman" w:eastAsia="Times New Roman" w:hAnsi="Times New Roman"/>
                <w:sz w:val="14"/>
                <w:szCs w:val="14"/>
                <w:b w:val="1"/>
                <w:bCs w:val="1"/>
                <w:color w:val="auto"/>
                <w:w w:val="93"/>
                <w:vertAlign w:val="superscript"/>
              </w:rPr>
              <w:t>(2)</w:t>
            </w:r>
          </w:p>
        </w:tc>
        <w:tc>
          <w:tcPr>
            <w:tcW w:w="0" w:type="dxa"/>
            <w:vAlign w:val="bottom"/>
          </w:tcPr>
          <w:p>
            <w:pPr>
              <w:spacing w:after="0"/>
              <w:rPr>
                <w:sz w:val="1"/>
                <w:szCs w:val="1"/>
                <w:color w:val="auto"/>
              </w:rPr>
            </w:pPr>
          </w:p>
        </w:tc>
      </w:tr>
      <w:tr>
        <w:trPr>
          <w:trHeight w:val="162"/>
        </w:trPr>
        <w:tc>
          <w:tcPr>
            <w:tcW w:w="296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Issuer Name</w:t>
            </w:r>
          </w:p>
        </w:tc>
        <w:tc>
          <w:tcPr>
            <w:tcW w:w="620" w:type="dxa"/>
            <w:vAlign w:val="bottom"/>
          </w:tcPr>
          <w:p>
            <w:pPr>
              <w:jc w:val="center"/>
              <w:ind w:left="67"/>
              <w:spacing w:after="0"/>
              <w:rPr>
                <w:sz w:val="20"/>
                <w:szCs w:val="20"/>
                <w:color w:val="auto"/>
              </w:rPr>
            </w:pPr>
            <w:r>
              <w:rPr>
                <w:rFonts w:ascii="Times New Roman" w:cs="Times New Roman" w:eastAsia="Times New Roman" w:hAnsi="Times New Roman"/>
                <w:sz w:val="11"/>
                <w:szCs w:val="11"/>
                <w:b w:val="1"/>
                <w:bCs w:val="1"/>
                <w:color w:val="auto"/>
                <w:w w:val="98"/>
              </w:rPr>
              <w:t>Maturity</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Industry</w:t>
            </w:r>
          </w:p>
        </w:tc>
        <w:tc>
          <w:tcPr>
            <w:tcW w:w="120" w:type="dxa"/>
            <w:vAlign w:val="bottom"/>
          </w:tcPr>
          <w:p>
            <w:pPr>
              <w:spacing w:after="0"/>
              <w:rPr>
                <w:sz w:val="14"/>
                <w:szCs w:val="14"/>
                <w:color w:val="auto"/>
              </w:rPr>
            </w:pPr>
          </w:p>
        </w:tc>
        <w:tc>
          <w:tcPr>
            <w:tcW w:w="1080" w:type="dxa"/>
            <w:vAlign w:val="bottom"/>
            <w:gridSpan w:val="2"/>
          </w:tcPr>
          <w:p>
            <w:pPr>
              <w:jc w:val="right"/>
              <w:ind w:right="440"/>
              <w:spacing w:after="0"/>
              <w:rPr>
                <w:sz w:val="20"/>
                <w:szCs w:val="20"/>
                <w:color w:val="auto"/>
              </w:rPr>
            </w:pPr>
            <w:r>
              <w:rPr>
                <w:rFonts w:ascii="Times New Roman" w:cs="Times New Roman" w:eastAsia="Times New Roman" w:hAnsi="Times New Roman"/>
                <w:sz w:val="11"/>
                <w:szCs w:val="11"/>
                <w:b w:val="1"/>
                <w:bCs w:val="1"/>
                <w:color w:val="auto"/>
              </w:rPr>
              <w:t>Coupon</w:t>
            </w:r>
          </w:p>
        </w:tc>
        <w:tc>
          <w:tcPr>
            <w:tcW w:w="8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3"/>
              </w:rPr>
              <w:t xml:space="preserve">Index </w:t>
            </w:r>
            <w:r>
              <w:rPr>
                <w:rFonts w:ascii="Times New Roman" w:cs="Times New Roman" w:eastAsia="Times New Roman" w:hAnsi="Times New Roman"/>
                <w:sz w:val="14"/>
                <w:szCs w:val="14"/>
                <w:b w:val="1"/>
                <w:bCs w:val="1"/>
                <w:color w:val="auto"/>
                <w:w w:val="93"/>
                <w:vertAlign w:val="superscript"/>
              </w:rPr>
              <w:t>(1)</w:t>
            </w:r>
          </w:p>
        </w:tc>
        <w:tc>
          <w:tcPr>
            <w:tcW w:w="220" w:type="dxa"/>
            <w:vAlign w:val="bottom"/>
          </w:tcPr>
          <w:p>
            <w:pPr>
              <w:spacing w:after="0"/>
              <w:rPr>
                <w:sz w:val="14"/>
                <w:szCs w:val="14"/>
                <w:color w:val="auto"/>
              </w:rPr>
            </w:pPr>
          </w:p>
        </w:tc>
        <w:tc>
          <w:tcPr>
            <w:tcW w:w="840" w:type="dxa"/>
            <w:vAlign w:val="bottom"/>
          </w:tcPr>
          <w:p>
            <w:pPr>
              <w:jc w:val="right"/>
              <w:ind w:right="206"/>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ind w:right="246"/>
              <w:spacing w:after="0"/>
              <w:rPr>
                <w:sz w:val="20"/>
                <w:szCs w:val="20"/>
                <w:color w:val="auto"/>
              </w:rPr>
            </w:pPr>
            <w:r>
              <w:rPr>
                <w:rFonts w:ascii="Times New Roman" w:cs="Times New Roman" w:eastAsia="Times New Roman" w:hAnsi="Times New Roman"/>
                <w:sz w:val="11"/>
                <w:szCs w:val="11"/>
                <w:b w:val="1"/>
                <w:bCs w:val="1"/>
                <w:color w:val="auto"/>
              </w:rPr>
              <w:t>Cost</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97"/>
        </w:trPr>
        <w:tc>
          <w:tcPr>
            <w:tcW w:w="2840" w:type="dxa"/>
            <w:vAlign w:val="bottom"/>
            <w:tcBorders>
              <w:top w:val="single" w:sz="8" w:color="auto"/>
            </w:tcBorders>
          </w:tcPr>
          <w:p>
            <w:pPr>
              <w:ind w:left="20"/>
              <w:spacing w:after="0" w:line="97" w:lineRule="exact"/>
              <w:rPr>
                <w:sz w:val="20"/>
                <w:szCs w:val="20"/>
                <w:color w:val="auto"/>
              </w:rPr>
            </w:pPr>
            <w:r>
              <w:rPr>
                <w:rFonts w:ascii="Times New Roman" w:cs="Times New Roman" w:eastAsia="Times New Roman" w:hAnsi="Times New Roman"/>
                <w:sz w:val="11"/>
                <w:szCs w:val="11"/>
                <w:color w:val="auto"/>
              </w:rPr>
              <w:t>Pragmatic Institute, LLC (</w:t>
            </w:r>
          </w:p>
        </w:tc>
        <w:tc>
          <w:tcPr>
            <w:tcW w:w="120" w:type="dxa"/>
            <w:vAlign w:val="bottom"/>
          </w:tcPr>
          <w:p>
            <w:pPr>
              <w:spacing w:after="0"/>
              <w:rPr>
                <w:sz w:val="8"/>
                <w:szCs w:val="8"/>
                <w:color w:val="auto"/>
              </w:rPr>
            </w:pPr>
          </w:p>
        </w:tc>
        <w:tc>
          <w:tcPr>
            <w:tcW w:w="62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spacing w:after="0" w:line="97" w:lineRule="exact"/>
              <w:rPr>
                <w:sz w:val="20"/>
                <w:szCs w:val="20"/>
                <w:color w:val="auto"/>
              </w:rPr>
            </w:pPr>
            <w:r>
              <w:rPr>
                <w:rFonts w:ascii="Times New Roman" w:cs="Times New Roman" w:eastAsia="Times New Roman" w:hAnsi="Times New Roman"/>
                <w:sz w:val="11"/>
                <w:szCs w:val="11"/>
                <w:color w:val="auto"/>
                <w:w w:val="90"/>
              </w:rPr>
              <w:t>—</w:t>
            </w:r>
          </w:p>
        </w:tc>
        <w:tc>
          <w:tcPr>
            <w:tcW w:w="280" w:type="dxa"/>
            <w:vAlign w:val="bottom"/>
          </w:tcPr>
          <w:p>
            <w:pPr>
              <w:spacing w:after="0"/>
              <w:rPr>
                <w:sz w:val="8"/>
                <w:szCs w:val="8"/>
                <w:color w:val="auto"/>
              </w:rPr>
            </w:pPr>
          </w:p>
        </w:tc>
        <w:tc>
          <w:tcPr>
            <w:tcW w:w="2000" w:type="dxa"/>
            <w:vAlign w:val="bottom"/>
            <w:tcBorders>
              <w:top w:val="single" w:sz="8" w:color="auto"/>
            </w:tcBorders>
          </w:tcPr>
          <w:p>
            <w:pPr>
              <w:jc w:val="center"/>
              <w:spacing w:after="0" w:line="97" w:lineRule="exact"/>
              <w:rPr>
                <w:sz w:val="20"/>
                <w:szCs w:val="20"/>
                <w:color w:val="auto"/>
              </w:rPr>
            </w:pPr>
            <w:r>
              <w:rPr>
                <w:rFonts w:ascii="Times New Roman" w:cs="Times New Roman" w:eastAsia="Times New Roman" w:hAnsi="Times New Roman"/>
                <w:sz w:val="11"/>
                <w:szCs w:val="11"/>
                <w:color w:val="auto"/>
                <w:w w:val="97"/>
              </w:rPr>
              <w:t>Professional Services</w:t>
            </w:r>
          </w:p>
        </w:tc>
        <w:tc>
          <w:tcPr>
            <w:tcW w:w="120" w:type="dxa"/>
            <w:vAlign w:val="bottom"/>
          </w:tcPr>
          <w:p>
            <w:pPr>
              <w:spacing w:after="0"/>
              <w:rPr>
                <w:sz w:val="8"/>
                <w:szCs w:val="8"/>
                <w:color w:val="auto"/>
              </w:rPr>
            </w:pPr>
          </w:p>
        </w:tc>
        <w:tc>
          <w:tcPr>
            <w:tcW w:w="880" w:type="dxa"/>
            <w:vAlign w:val="bottom"/>
            <w:tcBorders>
              <w:top w:val="single" w:sz="8" w:color="auto"/>
            </w:tcBorders>
          </w:tcPr>
          <w:p>
            <w:pPr>
              <w:jc w:val="right"/>
              <w:spacing w:after="0" w:line="97" w:lineRule="exact"/>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8"/>
                <w:szCs w:val="8"/>
                <w:color w:val="auto"/>
              </w:rPr>
            </w:pPr>
          </w:p>
        </w:tc>
        <w:tc>
          <w:tcPr>
            <w:tcW w:w="820" w:type="dxa"/>
            <w:vAlign w:val="bottom"/>
            <w:tcBorders>
              <w:top w:val="single" w:sz="8" w:color="auto"/>
            </w:tcBorders>
          </w:tcPr>
          <w:p>
            <w:pPr>
              <w:jc w:val="right"/>
              <w:spacing w:after="0" w:line="97"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8"/>
                <w:szCs w:val="8"/>
                <w:color w:val="auto"/>
              </w:rPr>
            </w:pPr>
          </w:p>
        </w:tc>
        <w:tc>
          <w:tcPr>
            <w:tcW w:w="840" w:type="dxa"/>
            <w:vAlign w:val="bottom"/>
            <w:tcBorders>
              <w:top w:val="single" w:sz="8" w:color="auto"/>
            </w:tcBorders>
          </w:tcPr>
          <w:p>
            <w:pPr>
              <w:jc w:val="right"/>
              <w:spacing w:after="0" w:line="97" w:lineRule="exact"/>
              <w:rPr>
                <w:sz w:val="20"/>
                <w:szCs w:val="20"/>
                <w:color w:val="auto"/>
              </w:rPr>
            </w:pPr>
            <w:r>
              <w:rPr>
                <w:rFonts w:ascii="Times New Roman" w:cs="Times New Roman" w:eastAsia="Times New Roman" w:hAnsi="Times New Roman"/>
                <w:sz w:val="11"/>
                <w:szCs w:val="11"/>
                <w:color w:val="auto"/>
              </w:rPr>
              <w:t>610,583</w:t>
            </w:r>
          </w:p>
        </w:tc>
        <w:tc>
          <w:tcPr>
            <w:tcW w:w="220" w:type="dxa"/>
            <w:vAlign w:val="bottom"/>
          </w:tcPr>
          <w:p>
            <w:pPr>
              <w:spacing w:after="0"/>
              <w:rPr>
                <w:sz w:val="8"/>
                <w:szCs w:val="8"/>
                <w:color w:val="auto"/>
              </w:rPr>
            </w:pPr>
          </w:p>
        </w:tc>
        <w:tc>
          <w:tcPr>
            <w:tcW w:w="180" w:type="dxa"/>
            <w:vAlign w:val="bottom"/>
            <w:tcBorders>
              <w:top w:val="single" w:sz="8" w:color="auto"/>
            </w:tcBorders>
          </w:tcPr>
          <w:p>
            <w:pPr>
              <w:jc w:val="right"/>
              <w:ind w:right="46"/>
              <w:spacing w:after="0" w:line="97" w:lineRule="exact"/>
              <w:rPr>
                <w:sz w:val="20"/>
                <w:szCs w:val="20"/>
                <w:color w:val="auto"/>
              </w:rPr>
            </w:pPr>
            <w:r>
              <w:rPr>
                <w:rFonts w:ascii="Times New Roman" w:cs="Times New Roman" w:eastAsia="Times New Roman" w:hAnsi="Times New Roman"/>
                <w:sz w:val="11"/>
                <w:szCs w:val="11"/>
                <w:color w:val="auto"/>
              </w:rPr>
              <w:t>$</w:t>
            </w:r>
          </w:p>
        </w:tc>
        <w:tc>
          <w:tcPr>
            <w:tcW w:w="640" w:type="dxa"/>
            <w:vAlign w:val="bottom"/>
            <w:tcBorders>
              <w:top w:val="single" w:sz="8" w:color="auto"/>
            </w:tcBorders>
          </w:tcPr>
          <w:p>
            <w:pPr>
              <w:jc w:val="right"/>
              <w:spacing w:after="0" w:line="97" w:lineRule="exact"/>
              <w:rPr>
                <w:sz w:val="20"/>
                <w:szCs w:val="20"/>
                <w:color w:val="auto"/>
              </w:rPr>
            </w:pPr>
            <w:r>
              <w:rPr>
                <w:rFonts w:ascii="Times New Roman" w:cs="Times New Roman" w:eastAsia="Times New Roman" w:hAnsi="Times New Roman"/>
                <w:sz w:val="11"/>
                <w:szCs w:val="11"/>
                <w:color w:val="auto"/>
              </w:rPr>
              <w:t>611</w:t>
            </w:r>
          </w:p>
        </w:tc>
        <w:tc>
          <w:tcPr>
            <w:tcW w:w="200" w:type="dxa"/>
            <w:vAlign w:val="bottom"/>
          </w:tcPr>
          <w:p>
            <w:pPr>
              <w:spacing w:after="0"/>
              <w:rPr>
                <w:sz w:val="8"/>
                <w:szCs w:val="8"/>
                <w:color w:val="auto"/>
              </w:rPr>
            </w:pPr>
          </w:p>
        </w:tc>
        <w:tc>
          <w:tcPr>
            <w:tcW w:w="100" w:type="dxa"/>
            <w:vAlign w:val="bottom"/>
            <w:tcBorders>
              <w:top w:val="single" w:sz="8" w:color="auto"/>
            </w:tcBorders>
          </w:tcPr>
          <w:p>
            <w:pPr>
              <w:jc w:val="right"/>
              <w:spacing w:after="0" w:line="97" w:lineRule="exact"/>
              <w:rPr>
                <w:sz w:val="20"/>
                <w:szCs w:val="20"/>
                <w:color w:val="auto"/>
              </w:rPr>
            </w:pPr>
            <w:r>
              <w:rPr>
                <w:rFonts w:ascii="Times New Roman" w:cs="Times New Roman" w:eastAsia="Times New Roman" w:hAnsi="Times New Roman"/>
                <w:sz w:val="11"/>
                <w:szCs w:val="11"/>
                <w:color w:val="auto"/>
              </w:rPr>
              <w:t>$</w:t>
            </w:r>
          </w:p>
        </w:tc>
        <w:tc>
          <w:tcPr>
            <w:tcW w:w="740" w:type="dxa"/>
            <w:vAlign w:val="bottom"/>
            <w:tcBorders>
              <w:top w:val="single" w:sz="8" w:color="auto"/>
            </w:tcBorders>
          </w:tcPr>
          <w:p>
            <w:pPr>
              <w:jc w:val="right"/>
              <w:spacing w:after="0" w:line="97" w:lineRule="exact"/>
              <w:rPr>
                <w:sz w:val="20"/>
                <w:szCs w:val="20"/>
                <w:color w:val="auto"/>
              </w:rPr>
            </w:pPr>
            <w:r>
              <w:rPr>
                <w:rFonts w:ascii="Times New Roman" w:cs="Times New Roman" w:eastAsia="Times New Roman" w:hAnsi="Times New Roman"/>
                <w:sz w:val="11"/>
                <w:szCs w:val="11"/>
                <w:color w:val="auto"/>
              </w:rPr>
              <w:t>611</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296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QuantiTech InvestCo LP </w:t>
            </w:r>
            <w:r>
              <w:rPr>
                <w:rFonts w:ascii="Times New Roman" w:cs="Times New Roman" w:eastAsia="Times New Roman" w:hAnsi="Times New Roman"/>
                <w:sz w:val="14"/>
                <w:szCs w:val="14"/>
                <w:color w:val="auto"/>
                <w:vertAlign w:val="superscript"/>
              </w:rPr>
              <w:t>(7), (8)</w:t>
            </w:r>
          </w:p>
        </w:tc>
        <w:tc>
          <w:tcPr>
            <w:tcW w:w="620" w:type="dxa"/>
            <w:vAlign w:val="bottom"/>
          </w:tcPr>
          <w:p>
            <w:pPr>
              <w:spacing w:after="0"/>
              <w:rPr>
                <w:sz w:val="11"/>
                <w:szCs w:val="11"/>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1"/>
                <w:szCs w:val="11"/>
                <w:color w:val="auto"/>
                <w:w w:val="90"/>
              </w:rPr>
              <w:t>—</w:t>
            </w:r>
          </w:p>
        </w:tc>
        <w:tc>
          <w:tcPr>
            <w:tcW w:w="280" w:type="dxa"/>
            <w:vAlign w:val="bottom"/>
          </w:tcPr>
          <w:p>
            <w:pPr>
              <w:spacing w:after="0"/>
              <w:rPr>
                <w:sz w:val="11"/>
                <w:szCs w:val="11"/>
                <w:color w:val="auto"/>
              </w:rPr>
            </w:pPr>
          </w:p>
        </w:tc>
        <w:tc>
          <w:tcPr>
            <w:tcW w:w="20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120" w:type="dxa"/>
            <w:vAlign w:val="bottom"/>
          </w:tcPr>
          <w:p>
            <w:pPr>
              <w:spacing w:after="0"/>
              <w:rPr>
                <w:sz w:val="11"/>
                <w:szCs w:val="11"/>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712</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68</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352</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6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QuantiTech InvestCo LP </w:t>
            </w:r>
            <w:r>
              <w:rPr>
                <w:rFonts w:ascii="Times New Roman" w:cs="Times New Roman" w:eastAsia="Times New Roman" w:hAnsi="Times New Roman"/>
                <w:sz w:val="14"/>
                <w:szCs w:val="14"/>
                <w:color w:val="auto"/>
                <w:vertAlign w:val="superscript"/>
              </w:rPr>
              <w:t>(7), (8), (9)</w:t>
            </w:r>
          </w:p>
        </w:tc>
        <w:tc>
          <w:tcPr>
            <w:tcW w:w="620" w:type="dxa"/>
            <w:vAlign w:val="bottom"/>
          </w:tcPr>
          <w:p>
            <w:pPr>
              <w:spacing w:after="0"/>
              <w:rPr>
                <w:sz w:val="11"/>
                <w:szCs w:val="11"/>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1"/>
                <w:szCs w:val="11"/>
                <w:color w:val="auto"/>
                <w:w w:val="90"/>
              </w:rPr>
              <w:t>—</w:t>
            </w:r>
          </w:p>
        </w:tc>
        <w:tc>
          <w:tcPr>
            <w:tcW w:w="280" w:type="dxa"/>
            <w:vAlign w:val="bottom"/>
          </w:tcPr>
          <w:p>
            <w:pPr>
              <w:spacing w:after="0"/>
              <w:rPr>
                <w:sz w:val="11"/>
                <w:szCs w:val="11"/>
                <w:color w:val="auto"/>
              </w:rPr>
            </w:pPr>
          </w:p>
        </w:tc>
        <w:tc>
          <w:tcPr>
            <w:tcW w:w="20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120" w:type="dxa"/>
            <w:vAlign w:val="bottom"/>
          </w:tcPr>
          <w:p>
            <w:pPr>
              <w:spacing w:after="0"/>
              <w:rPr>
                <w:sz w:val="11"/>
                <w:szCs w:val="11"/>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955</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35"/>
        </w:trPr>
        <w:tc>
          <w:tcPr>
            <w:tcW w:w="296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QuantiTech InvestCo II LP </w:t>
            </w:r>
            <w:r>
              <w:rPr>
                <w:rFonts w:ascii="Times New Roman" w:cs="Times New Roman" w:eastAsia="Times New Roman" w:hAnsi="Times New Roman"/>
                <w:sz w:val="14"/>
                <w:szCs w:val="14"/>
                <w:color w:val="auto"/>
                <w:vertAlign w:val="superscript"/>
              </w:rPr>
              <w:t>(7), (8),</w:t>
            </w:r>
          </w:p>
        </w:tc>
        <w:tc>
          <w:tcPr>
            <w:tcW w:w="620" w:type="dxa"/>
            <w:vAlign w:val="bottom"/>
          </w:tcPr>
          <w:p>
            <w:pPr>
              <w:spacing w:after="0"/>
              <w:rPr>
                <w:sz w:val="11"/>
                <w:szCs w:val="11"/>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1"/>
                <w:szCs w:val="11"/>
                <w:color w:val="auto"/>
                <w:w w:val="90"/>
              </w:rPr>
              <w:t>—</w:t>
            </w:r>
          </w:p>
        </w:tc>
        <w:tc>
          <w:tcPr>
            <w:tcW w:w="280" w:type="dxa"/>
            <w:vAlign w:val="bottom"/>
          </w:tcPr>
          <w:p>
            <w:pPr>
              <w:spacing w:after="0"/>
              <w:rPr>
                <w:sz w:val="11"/>
                <w:szCs w:val="11"/>
                <w:color w:val="auto"/>
              </w:rPr>
            </w:pPr>
          </w:p>
        </w:tc>
        <w:tc>
          <w:tcPr>
            <w:tcW w:w="20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120" w:type="dxa"/>
            <w:vAlign w:val="bottom"/>
          </w:tcPr>
          <w:p>
            <w:pPr>
              <w:spacing w:after="0"/>
              <w:rPr>
                <w:sz w:val="11"/>
                <w:szCs w:val="11"/>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40</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25</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960" w:type="dxa"/>
            <w:vAlign w:val="bottom"/>
            <w:gridSpan w:val="2"/>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RFMG Parent, LP (Rancho Health MSO, Inc.) </w:t>
            </w:r>
            <w:r>
              <w:rPr>
                <w:rFonts w:ascii="Times New Roman" w:cs="Times New Roman" w:eastAsia="Times New Roman" w:hAnsi="Times New Roman"/>
                <w:sz w:val="14"/>
                <w:szCs w:val="14"/>
                <w:color w:val="auto"/>
                <w:vertAlign w:val="superscript"/>
              </w:rPr>
              <w:t>(7)</w:t>
            </w:r>
          </w:p>
        </w:tc>
        <w:tc>
          <w:tcPr>
            <w:tcW w:w="620" w:type="dxa"/>
            <w:vAlign w:val="bottom"/>
          </w:tcPr>
          <w:p>
            <w:pPr>
              <w:spacing w:after="0"/>
              <w:rPr>
                <w:sz w:val="13"/>
                <w:szCs w:val="13"/>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1"/>
                <w:szCs w:val="11"/>
                <w:color w:val="auto"/>
                <w:w w:val="90"/>
              </w:rPr>
              <w:t>—</w:t>
            </w:r>
          </w:p>
        </w:tc>
        <w:tc>
          <w:tcPr>
            <w:tcW w:w="280" w:type="dxa"/>
            <w:vAlign w:val="bottom"/>
          </w:tcPr>
          <w:p>
            <w:pPr>
              <w:spacing w:after="0"/>
              <w:rPr>
                <w:sz w:val="13"/>
                <w:szCs w:val="13"/>
                <w:color w:val="auto"/>
              </w:rPr>
            </w:pPr>
          </w:p>
        </w:tc>
        <w:tc>
          <w:tcPr>
            <w:tcW w:w="20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Healthcare Equipment and Supplies</w:t>
            </w:r>
          </w:p>
        </w:tc>
        <w:tc>
          <w:tcPr>
            <w:tcW w:w="120" w:type="dxa"/>
            <w:vAlign w:val="bottom"/>
          </w:tcPr>
          <w:p>
            <w:pPr>
              <w:spacing w:after="0"/>
              <w:rPr>
                <w:sz w:val="13"/>
                <w:szCs w:val="13"/>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1,050,000</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1,050</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1,091</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2960" w:type="dxa"/>
            <w:vAlign w:val="bottom"/>
            <w:gridSpan w:val="2"/>
          </w:tcPr>
          <w:p>
            <w:pPr>
              <w:ind w:left="20"/>
              <w:spacing w:after="0" w:line="109" w:lineRule="exact"/>
              <w:rPr>
                <w:sz w:val="20"/>
                <w:szCs w:val="20"/>
                <w:color w:val="auto"/>
              </w:rPr>
            </w:pPr>
            <w:r>
              <w:rPr>
                <w:rFonts w:ascii="Times New Roman" w:cs="Times New Roman" w:eastAsia="Times New Roman" w:hAnsi="Times New Roman"/>
                <w:sz w:val="11"/>
                <w:szCs w:val="11"/>
                <w:color w:val="auto"/>
              </w:rPr>
              <w:t>SBI Holdings Investments LLC (Sales Benchmark Index LLC)</w:t>
            </w:r>
          </w:p>
        </w:tc>
        <w:tc>
          <w:tcPr>
            <w:tcW w:w="620" w:type="dxa"/>
            <w:vAlign w:val="bottom"/>
          </w:tcPr>
          <w:p>
            <w:pPr>
              <w:spacing w:after="0"/>
              <w:rPr>
                <w:sz w:val="9"/>
                <w:szCs w:val="9"/>
                <w:color w:val="auto"/>
              </w:rPr>
            </w:pPr>
          </w:p>
        </w:tc>
        <w:tc>
          <w:tcPr>
            <w:tcW w:w="120" w:type="dxa"/>
            <w:vAlign w:val="bottom"/>
          </w:tcPr>
          <w:p>
            <w:pPr>
              <w:spacing w:after="0" w:line="109" w:lineRule="exact"/>
              <w:rPr>
                <w:sz w:val="20"/>
                <w:szCs w:val="20"/>
                <w:color w:val="auto"/>
              </w:rPr>
            </w:pPr>
            <w:r>
              <w:rPr>
                <w:rFonts w:ascii="Times New Roman" w:cs="Times New Roman" w:eastAsia="Times New Roman" w:hAnsi="Times New Roman"/>
                <w:sz w:val="11"/>
                <w:szCs w:val="11"/>
                <w:color w:val="auto"/>
                <w:w w:val="90"/>
              </w:rPr>
              <w:t>—</w:t>
            </w:r>
          </w:p>
        </w:tc>
        <w:tc>
          <w:tcPr>
            <w:tcW w:w="280" w:type="dxa"/>
            <w:vAlign w:val="bottom"/>
          </w:tcPr>
          <w:p>
            <w:pPr>
              <w:spacing w:after="0"/>
              <w:rPr>
                <w:sz w:val="9"/>
                <w:szCs w:val="9"/>
                <w:color w:val="auto"/>
              </w:rPr>
            </w:pPr>
          </w:p>
        </w:tc>
        <w:tc>
          <w:tcPr>
            <w:tcW w:w="2000" w:type="dxa"/>
            <w:vAlign w:val="bottom"/>
          </w:tcPr>
          <w:p>
            <w:pPr>
              <w:jc w:val="center"/>
              <w:spacing w:after="0" w:line="109" w:lineRule="exact"/>
              <w:rPr>
                <w:sz w:val="20"/>
                <w:szCs w:val="20"/>
                <w:color w:val="auto"/>
              </w:rPr>
            </w:pPr>
            <w:r>
              <w:rPr>
                <w:rFonts w:ascii="Times New Roman" w:cs="Times New Roman" w:eastAsia="Times New Roman" w:hAnsi="Times New Roman"/>
                <w:sz w:val="11"/>
                <w:szCs w:val="11"/>
                <w:color w:val="auto"/>
                <w:w w:val="97"/>
              </w:rPr>
              <w:t>Professional Services</w:t>
            </w:r>
          </w:p>
        </w:tc>
        <w:tc>
          <w:tcPr>
            <w:tcW w:w="120" w:type="dxa"/>
            <w:vAlign w:val="bottom"/>
          </w:tcPr>
          <w:p>
            <w:pPr>
              <w:spacing w:after="0"/>
              <w:rPr>
                <w:sz w:val="9"/>
                <w:szCs w:val="9"/>
                <w:color w:val="auto"/>
              </w:rPr>
            </w:pPr>
          </w:p>
        </w:tc>
        <w:tc>
          <w:tcPr>
            <w:tcW w:w="1080" w:type="dxa"/>
            <w:vAlign w:val="bottom"/>
            <w:gridSpan w:val="2"/>
          </w:tcPr>
          <w:p>
            <w:pPr>
              <w:jc w:val="right"/>
              <w:ind w:right="220"/>
              <w:spacing w:after="0" w:line="109" w:lineRule="exact"/>
              <w:rPr>
                <w:sz w:val="20"/>
                <w:szCs w:val="20"/>
                <w:color w:val="auto"/>
              </w:rPr>
            </w:pPr>
            <w:r>
              <w:rPr>
                <w:rFonts w:ascii="Times New Roman" w:cs="Times New Roman" w:eastAsia="Times New Roman" w:hAnsi="Times New Roman"/>
                <w:sz w:val="11"/>
                <w:szCs w:val="11"/>
                <w:color w:val="auto"/>
              </w:rPr>
              <w:t>—</w:t>
            </w:r>
          </w:p>
        </w:tc>
        <w:tc>
          <w:tcPr>
            <w:tcW w:w="820" w:type="dxa"/>
            <w:vAlign w:val="bottom"/>
          </w:tcPr>
          <w:p>
            <w:pPr>
              <w:jc w:val="right"/>
              <w:spacing w:after="0" w:line="109" w:lineRule="exact"/>
              <w:rPr>
                <w:sz w:val="20"/>
                <w:szCs w:val="20"/>
                <w:color w:val="auto"/>
              </w:rPr>
            </w:pPr>
            <w:r>
              <w:rPr>
                <w:rFonts w:ascii="Times New Roman" w:cs="Times New Roman" w:eastAsia="Times New Roman" w:hAnsi="Times New Roman"/>
                <w:sz w:val="11"/>
                <w:szCs w:val="11"/>
                <w:color w:val="auto"/>
              </w:rPr>
              <w:t>—</w:t>
            </w:r>
          </w:p>
        </w:tc>
        <w:tc>
          <w:tcPr>
            <w:tcW w:w="1060" w:type="dxa"/>
            <w:vAlign w:val="bottom"/>
            <w:gridSpan w:val="2"/>
          </w:tcPr>
          <w:p>
            <w:pPr>
              <w:jc w:val="right"/>
              <w:spacing w:after="0" w:line="109" w:lineRule="exact"/>
              <w:rPr>
                <w:sz w:val="20"/>
                <w:szCs w:val="20"/>
                <w:color w:val="auto"/>
              </w:rPr>
            </w:pPr>
            <w:r>
              <w:rPr>
                <w:rFonts w:ascii="Times New Roman" w:cs="Times New Roman" w:eastAsia="Times New Roman" w:hAnsi="Times New Roman"/>
                <w:sz w:val="11"/>
                <w:szCs w:val="11"/>
                <w:color w:val="auto"/>
              </w:rPr>
              <w:t>64,634</w:t>
            </w: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jc w:val="right"/>
              <w:spacing w:after="0" w:line="109" w:lineRule="exact"/>
              <w:rPr>
                <w:sz w:val="20"/>
                <w:szCs w:val="20"/>
                <w:color w:val="auto"/>
              </w:rPr>
            </w:pPr>
            <w:r>
              <w:rPr>
                <w:rFonts w:ascii="Times New Roman" w:cs="Times New Roman" w:eastAsia="Times New Roman" w:hAnsi="Times New Roman"/>
                <w:sz w:val="11"/>
                <w:szCs w:val="11"/>
                <w:color w:val="auto"/>
              </w:rPr>
              <w:t>646</w:t>
            </w: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jc w:val="right"/>
              <w:spacing w:after="0" w:line="109" w:lineRule="exact"/>
              <w:rPr>
                <w:sz w:val="20"/>
                <w:szCs w:val="20"/>
                <w:color w:val="auto"/>
              </w:rPr>
            </w:pPr>
            <w:r>
              <w:rPr>
                <w:rFonts w:ascii="Times New Roman" w:cs="Times New Roman" w:eastAsia="Times New Roman" w:hAnsi="Times New Roman"/>
                <w:sz w:val="11"/>
                <w:szCs w:val="11"/>
                <w:color w:val="auto"/>
              </w:rPr>
              <w:t>634</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4"/>
        </w:trPr>
        <w:tc>
          <w:tcPr>
            <w:tcW w:w="2840" w:type="dxa"/>
            <w:vAlign w:val="bottom"/>
          </w:tcPr>
          <w:p>
            <w:pPr>
              <w:ind w:left="20"/>
              <w:spacing w:after="0"/>
              <w:rPr>
                <w:sz w:val="20"/>
                <w:szCs w:val="20"/>
                <w:color w:val="auto"/>
              </w:rPr>
            </w:pPr>
            <w:r>
              <w:rPr>
                <w:rFonts w:ascii="Times New Roman" w:cs="Times New Roman" w:eastAsia="Times New Roman" w:hAnsi="Times New Roman"/>
                <w:sz w:val="7"/>
                <w:szCs w:val="7"/>
                <w:color w:val="auto"/>
              </w:rPr>
              <w:t>(7), (8)</w:t>
            </w: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296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Seaway Topco, LP</w:t>
            </w: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Chemicals, Plastics and Rubber</w:t>
            </w:r>
          </w:p>
        </w:tc>
        <w:tc>
          <w:tcPr>
            <w:tcW w:w="120" w:type="dxa"/>
            <w:vAlign w:val="bottom"/>
          </w:tcPr>
          <w:p>
            <w:pPr>
              <w:spacing w:after="0"/>
              <w:rPr>
                <w:sz w:val="11"/>
                <w:szCs w:val="11"/>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296</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296</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296</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96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 xml:space="preserve">Signature CR Intermediate Holdco, Inc. </w:t>
            </w:r>
            <w:r>
              <w:rPr>
                <w:rFonts w:ascii="Times New Roman" w:cs="Times New Roman" w:eastAsia="Times New Roman" w:hAnsi="Times New Roman"/>
                <w:sz w:val="14"/>
                <w:szCs w:val="14"/>
                <w:color w:val="auto"/>
                <w:vertAlign w:val="superscript"/>
              </w:rPr>
              <w:t>(7)</w:t>
            </w:r>
          </w:p>
        </w:tc>
        <w:tc>
          <w:tcPr>
            <w:tcW w:w="620" w:type="dxa"/>
            <w:vAlign w:val="bottom"/>
          </w:tcPr>
          <w:p>
            <w:pPr>
              <w:spacing w:after="0"/>
              <w:rPr>
                <w:sz w:val="14"/>
                <w:szCs w:val="14"/>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1"/>
                <w:szCs w:val="11"/>
                <w:color w:val="auto"/>
                <w:w w:val="90"/>
              </w:rPr>
              <w:t>—</w:t>
            </w:r>
          </w:p>
        </w:tc>
        <w:tc>
          <w:tcPr>
            <w:tcW w:w="280" w:type="dxa"/>
            <w:vAlign w:val="bottom"/>
          </w:tcPr>
          <w:p>
            <w:pPr>
              <w:spacing w:after="0"/>
              <w:rPr>
                <w:sz w:val="14"/>
                <w:szCs w:val="14"/>
                <w:color w:val="auto"/>
              </w:rPr>
            </w:pPr>
          </w:p>
        </w:tc>
        <w:tc>
          <w:tcPr>
            <w:tcW w:w="20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Commercial Services &amp; Supplies</w:t>
            </w:r>
          </w:p>
        </w:tc>
        <w:tc>
          <w:tcPr>
            <w:tcW w:w="120" w:type="dxa"/>
            <w:vAlign w:val="bottom"/>
          </w:tcPr>
          <w:p>
            <w:pPr>
              <w:spacing w:after="0"/>
              <w:rPr>
                <w:sz w:val="14"/>
                <w:szCs w:val="14"/>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70</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70</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35"/>
        </w:trPr>
        <w:tc>
          <w:tcPr>
            <w:tcW w:w="2960" w:type="dxa"/>
            <w:vAlign w:val="bottom"/>
            <w:gridSpan w:val="2"/>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SP L2 Holdings, LLC (Ledge Lounger, Inc.)</w:t>
            </w:r>
          </w:p>
        </w:tc>
        <w:tc>
          <w:tcPr>
            <w:tcW w:w="6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w w:val="90"/>
              </w:rPr>
              <w:t>—</w:t>
            </w:r>
          </w:p>
        </w:tc>
        <w:tc>
          <w:tcPr>
            <w:tcW w:w="280" w:type="dxa"/>
            <w:vAlign w:val="bottom"/>
            <w:shd w:val="clear" w:color="auto" w:fill="CCECFF"/>
          </w:tcPr>
          <w:p>
            <w:pPr>
              <w:spacing w:after="0"/>
              <w:rPr>
                <w:sz w:val="11"/>
                <w:szCs w:val="11"/>
                <w:color w:val="auto"/>
              </w:rPr>
            </w:pPr>
          </w:p>
        </w:tc>
        <w:tc>
          <w:tcPr>
            <w:tcW w:w="20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6"/>
              </w:rPr>
              <w:t>Leisure Products</w:t>
            </w:r>
          </w:p>
        </w:tc>
        <w:tc>
          <w:tcPr>
            <w:tcW w:w="120" w:type="dxa"/>
            <w:vAlign w:val="bottom"/>
            <w:shd w:val="clear" w:color="auto" w:fill="CCECFF"/>
          </w:tcPr>
          <w:p>
            <w:pPr>
              <w:spacing w:after="0"/>
              <w:rPr>
                <w:sz w:val="11"/>
                <w:szCs w:val="11"/>
                <w:color w:val="auto"/>
              </w:rPr>
            </w:pPr>
          </w:p>
        </w:tc>
        <w:tc>
          <w:tcPr>
            <w:tcW w:w="1080" w:type="dxa"/>
            <w:vAlign w:val="bottom"/>
            <w:gridSpan w:val="2"/>
            <w:shd w:val="clear" w:color="auto" w:fill="CCEC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6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360,103</w:t>
            </w:r>
          </w:p>
        </w:tc>
        <w:tc>
          <w:tcPr>
            <w:tcW w:w="22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360</w:t>
            </w:r>
          </w:p>
        </w:tc>
        <w:tc>
          <w:tcPr>
            <w:tcW w:w="20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7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373</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03"/>
        </w:trPr>
        <w:tc>
          <w:tcPr>
            <w:tcW w:w="2960" w:type="dxa"/>
            <w:vAlign w:val="bottom"/>
            <w:gridSpan w:val="2"/>
          </w:tcPr>
          <w:p>
            <w:pPr>
              <w:ind w:left="20"/>
              <w:spacing w:after="0" w:line="103" w:lineRule="exact"/>
              <w:rPr>
                <w:sz w:val="20"/>
                <w:szCs w:val="20"/>
                <w:color w:val="auto"/>
              </w:rPr>
            </w:pPr>
            <w:r>
              <w:rPr>
                <w:rFonts w:ascii="Times New Roman" w:cs="Times New Roman" w:eastAsia="Times New Roman" w:hAnsi="Times New Roman"/>
                <w:sz w:val="11"/>
                <w:szCs w:val="11"/>
                <w:color w:val="auto"/>
              </w:rPr>
              <w:t>SSC Dominion Holdings, LLC</w:t>
            </w:r>
          </w:p>
        </w:tc>
        <w:tc>
          <w:tcPr>
            <w:tcW w:w="620" w:type="dxa"/>
            <w:vAlign w:val="bottom"/>
          </w:tcPr>
          <w:p>
            <w:pPr>
              <w:spacing w:after="0"/>
              <w:rPr>
                <w:sz w:val="8"/>
                <w:szCs w:val="8"/>
                <w:color w:val="auto"/>
              </w:rPr>
            </w:pPr>
          </w:p>
        </w:tc>
        <w:tc>
          <w:tcPr>
            <w:tcW w:w="120" w:type="dxa"/>
            <w:vAlign w:val="bottom"/>
          </w:tcPr>
          <w:p>
            <w:pPr>
              <w:spacing w:after="0" w:line="103" w:lineRule="exact"/>
              <w:rPr>
                <w:sz w:val="20"/>
                <w:szCs w:val="20"/>
                <w:color w:val="auto"/>
              </w:rPr>
            </w:pPr>
            <w:r>
              <w:rPr>
                <w:rFonts w:ascii="Times New Roman" w:cs="Times New Roman" w:eastAsia="Times New Roman" w:hAnsi="Times New Roman"/>
                <w:sz w:val="11"/>
                <w:szCs w:val="11"/>
                <w:color w:val="auto"/>
                <w:w w:val="90"/>
              </w:rPr>
              <w:t>—</w:t>
            </w:r>
          </w:p>
        </w:tc>
        <w:tc>
          <w:tcPr>
            <w:tcW w:w="280" w:type="dxa"/>
            <w:vAlign w:val="bottom"/>
          </w:tcPr>
          <w:p>
            <w:pPr>
              <w:spacing w:after="0"/>
              <w:rPr>
                <w:sz w:val="8"/>
                <w:szCs w:val="8"/>
                <w:color w:val="auto"/>
              </w:rPr>
            </w:pPr>
          </w:p>
        </w:tc>
        <w:tc>
          <w:tcPr>
            <w:tcW w:w="2000" w:type="dxa"/>
            <w:vAlign w:val="bottom"/>
          </w:tcPr>
          <w:p>
            <w:pPr>
              <w:jc w:val="center"/>
              <w:spacing w:after="0" w:line="103" w:lineRule="exact"/>
              <w:rPr>
                <w:sz w:val="20"/>
                <w:szCs w:val="20"/>
                <w:color w:val="auto"/>
              </w:rPr>
            </w:pPr>
            <w:r>
              <w:rPr>
                <w:rFonts w:ascii="Times New Roman" w:cs="Times New Roman" w:eastAsia="Times New Roman" w:hAnsi="Times New Roman"/>
                <w:sz w:val="11"/>
                <w:szCs w:val="11"/>
                <w:color w:val="auto"/>
                <w:w w:val="96"/>
              </w:rPr>
              <w:t>Capital Equipment</w:t>
            </w:r>
          </w:p>
        </w:tc>
        <w:tc>
          <w:tcPr>
            <w:tcW w:w="120" w:type="dxa"/>
            <w:vAlign w:val="bottom"/>
          </w:tcPr>
          <w:p>
            <w:pPr>
              <w:spacing w:after="0"/>
              <w:rPr>
                <w:sz w:val="8"/>
                <w:szCs w:val="8"/>
                <w:color w:val="auto"/>
              </w:rPr>
            </w:pPr>
          </w:p>
        </w:tc>
        <w:tc>
          <w:tcPr>
            <w:tcW w:w="1080" w:type="dxa"/>
            <w:vAlign w:val="bottom"/>
            <w:gridSpan w:val="2"/>
          </w:tcPr>
          <w:p>
            <w:pPr>
              <w:jc w:val="right"/>
              <w:ind w:right="220"/>
              <w:spacing w:after="0" w:line="103" w:lineRule="exact"/>
              <w:rPr>
                <w:sz w:val="20"/>
                <w:szCs w:val="20"/>
                <w:color w:val="auto"/>
              </w:rPr>
            </w:pPr>
            <w:r>
              <w:rPr>
                <w:rFonts w:ascii="Times New Roman" w:cs="Times New Roman" w:eastAsia="Times New Roman" w:hAnsi="Times New Roman"/>
                <w:sz w:val="11"/>
                <w:szCs w:val="11"/>
                <w:color w:val="auto"/>
              </w:rPr>
              <w:t>—</w:t>
            </w:r>
          </w:p>
        </w:tc>
        <w:tc>
          <w:tcPr>
            <w:tcW w:w="820" w:type="dxa"/>
            <w:vAlign w:val="bottom"/>
          </w:tcPr>
          <w:p>
            <w:pPr>
              <w:jc w:val="right"/>
              <w:spacing w:after="0" w:line="103" w:lineRule="exact"/>
              <w:rPr>
                <w:sz w:val="20"/>
                <w:szCs w:val="20"/>
                <w:color w:val="auto"/>
              </w:rPr>
            </w:pPr>
            <w:r>
              <w:rPr>
                <w:rFonts w:ascii="Times New Roman" w:cs="Times New Roman" w:eastAsia="Times New Roman" w:hAnsi="Times New Roman"/>
                <w:sz w:val="11"/>
                <w:szCs w:val="11"/>
                <w:color w:val="auto"/>
              </w:rPr>
              <w:t>—</w:t>
            </w:r>
          </w:p>
        </w:tc>
        <w:tc>
          <w:tcPr>
            <w:tcW w:w="1060" w:type="dxa"/>
            <w:vAlign w:val="bottom"/>
            <w:gridSpan w:val="2"/>
          </w:tcPr>
          <w:p>
            <w:pPr>
              <w:jc w:val="right"/>
              <w:spacing w:after="0" w:line="103" w:lineRule="exact"/>
              <w:rPr>
                <w:sz w:val="20"/>
                <w:szCs w:val="20"/>
                <w:color w:val="auto"/>
              </w:rPr>
            </w:pPr>
            <w:r>
              <w:rPr>
                <w:rFonts w:ascii="Times New Roman" w:cs="Times New Roman" w:eastAsia="Times New Roman" w:hAnsi="Times New Roman"/>
                <w:sz w:val="11"/>
                <w:szCs w:val="11"/>
                <w:color w:val="auto"/>
              </w:rPr>
              <w:t>500</w:t>
            </w: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jc w:val="right"/>
              <w:spacing w:after="0" w:line="103" w:lineRule="exact"/>
              <w:rPr>
                <w:sz w:val="20"/>
                <w:szCs w:val="20"/>
                <w:color w:val="auto"/>
              </w:rPr>
            </w:pPr>
            <w:r>
              <w:rPr>
                <w:rFonts w:ascii="Times New Roman" w:cs="Times New Roman" w:eastAsia="Times New Roman" w:hAnsi="Times New Roman"/>
                <w:sz w:val="11"/>
                <w:szCs w:val="11"/>
                <w:color w:val="auto"/>
              </w:rPr>
              <w:t>500</w:t>
            </w: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jc w:val="right"/>
              <w:spacing w:after="0" w:line="103" w:lineRule="exact"/>
              <w:rPr>
                <w:sz w:val="20"/>
                <w:szCs w:val="20"/>
                <w:color w:val="auto"/>
              </w:rPr>
            </w:pPr>
            <w:r>
              <w:rPr>
                <w:rFonts w:ascii="Times New Roman" w:cs="Times New Roman" w:eastAsia="Times New Roman" w:hAnsi="Times New Roman"/>
                <w:sz w:val="11"/>
                <w:szCs w:val="11"/>
                <w:color w:val="auto"/>
              </w:rPr>
              <w:t>680</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7"/>
        </w:trPr>
        <w:tc>
          <w:tcPr>
            <w:tcW w:w="2960" w:type="dxa"/>
            <w:vAlign w:val="bottom"/>
            <w:gridSpan w:val="2"/>
          </w:tcPr>
          <w:p>
            <w:pPr>
              <w:ind w:left="100"/>
              <w:spacing w:after="0"/>
              <w:rPr>
                <w:sz w:val="20"/>
                <w:szCs w:val="20"/>
                <w:color w:val="auto"/>
              </w:rPr>
            </w:pPr>
            <w:r>
              <w:rPr>
                <w:rFonts w:ascii="Times New Roman" w:cs="Times New Roman" w:eastAsia="Times New Roman" w:hAnsi="Times New Roman"/>
                <w:sz w:val="11"/>
                <w:szCs w:val="11"/>
                <w:color w:val="auto"/>
              </w:rPr>
              <w:t xml:space="preserve">Class A (US Dominion, Inc.) </w:t>
            </w:r>
            <w:r>
              <w:rPr>
                <w:rFonts w:ascii="Times New Roman" w:cs="Times New Roman" w:eastAsia="Times New Roman" w:hAnsi="Times New Roman"/>
                <w:sz w:val="14"/>
                <w:szCs w:val="14"/>
                <w:color w:val="auto"/>
                <w:vertAlign w:val="superscript"/>
              </w:rPr>
              <w:t>(7)</w:t>
            </w:r>
          </w:p>
        </w:tc>
        <w:tc>
          <w:tcPr>
            <w:tcW w:w="620" w:type="dxa"/>
            <w:vAlign w:val="bottom"/>
          </w:tcPr>
          <w:p>
            <w:pPr>
              <w:spacing w:after="0"/>
              <w:rPr>
                <w:sz w:val="14"/>
                <w:szCs w:val="14"/>
                <w:color w:val="auto"/>
              </w:rPr>
            </w:pPr>
          </w:p>
        </w:tc>
        <w:tc>
          <w:tcPr>
            <w:tcW w:w="120" w:type="dxa"/>
            <w:vAlign w:val="bottom"/>
            <w:vMerge w:val="restart"/>
          </w:tcPr>
          <w:p>
            <w:pPr>
              <w:spacing w:after="0"/>
              <w:rPr>
                <w:sz w:val="20"/>
                <w:szCs w:val="20"/>
                <w:color w:val="auto"/>
              </w:rPr>
            </w:pPr>
            <w:r>
              <w:rPr>
                <w:rFonts w:ascii="Times New Roman" w:cs="Times New Roman" w:eastAsia="Times New Roman" w:hAnsi="Times New Roman"/>
                <w:sz w:val="11"/>
                <w:szCs w:val="11"/>
                <w:color w:val="auto"/>
                <w:w w:val="90"/>
              </w:rPr>
              <w:t>—</w:t>
            </w:r>
          </w:p>
        </w:tc>
        <w:tc>
          <w:tcPr>
            <w:tcW w:w="280" w:type="dxa"/>
            <w:vAlign w:val="bottom"/>
          </w:tcPr>
          <w:p>
            <w:pPr>
              <w:spacing w:after="0"/>
              <w:rPr>
                <w:sz w:val="14"/>
                <w:szCs w:val="14"/>
                <w:color w:val="auto"/>
              </w:rPr>
            </w:pPr>
          </w:p>
        </w:tc>
        <w:tc>
          <w:tcPr>
            <w:tcW w:w="200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auto"/>
                <w:w w:val="96"/>
              </w:rPr>
              <w:t>Capital Equipment</w:t>
            </w:r>
          </w:p>
        </w:tc>
        <w:tc>
          <w:tcPr>
            <w:tcW w:w="120" w:type="dxa"/>
            <w:vAlign w:val="bottom"/>
          </w:tcPr>
          <w:p>
            <w:pPr>
              <w:spacing w:after="0"/>
              <w:rPr>
                <w:sz w:val="14"/>
                <w:szCs w:val="14"/>
                <w:color w:val="auto"/>
              </w:rPr>
            </w:pPr>
          </w:p>
        </w:tc>
        <w:tc>
          <w:tcPr>
            <w:tcW w:w="10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1"/>
                <w:szCs w:val="11"/>
                <w:color w:val="auto"/>
              </w:rPr>
              <w:t>500</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1,463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3"/>
        </w:trPr>
        <w:tc>
          <w:tcPr>
            <w:tcW w:w="2840" w:type="dxa"/>
            <w:vAlign w:val="bottom"/>
          </w:tcPr>
          <w:p>
            <w:pPr>
              <w:ind w:left="20"/>
              <w:spacing w:after="0" w:line="103" w:lineRule="exact"/>
              <w:rPr>
                <w:sz w:val="20"/>
                <w:szCs w:val="20"/>
                <w:color w:val="auto"/>
              </w:rPr>
            </w:pPr>
            <w:r>
              <w:rPr>
                <w:rFonts w:ascii="Times New Roman" w:cs="Times New Roman" w:eastAsia="Times New Roman" w:hAnsi="Times New Roman"/>
                <w:sz w:val="11"/>
                <w:szCs w:val="11"/>
                <w:color w:val="auto"/>
              </w:rPr>
              <w:t>SSC Dominion Holdings, LLC</w:t>
            </w: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vMerge w:val="continue"/>
          </w:tcPr>
          <w:p>
            <w:pPr>
              <w:spacing w:after="0"/>
              <w:rPr>
                <w:sz w:val="8"/>
                <w:szCs w:val="8"/>
                <w:color w:val="auto"/>
              </w:rPr>
            </w:pPr>
          </w:p>
        </w:tc>
        <w:tc>
          <w:tcPr>
            <w:tcW w:w="280" w:type="dxa"/>
            <w:vAlign w:val="bottom"/>
          </w:tcPr>
          <w:p>
            <w:pPr>
              <w:spacing w:after="0"/>
              <w:rPr>
                <w:sz w:val="8"/>
                <w:szCs w:val="8"/>
                <w:color w:val="auto"/>
              </w:rPr>
            </w:pPr>
          </w:p>
        </w:tc>
        <w:tc>
          <w:tcPr>
            <w:tcW w:w="200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080" w:type="dxa"/>
            <w:vAlign w:val="bottom"/>
            <w:gridSpan w:val="2"/>
            <w:vMerge w:val="continue"/>
          </w:tcPr>
          <w:p>
            <w:pPr>
              <w:spacing w:after="0"/>
              <w:rPr>
                <w:sz w:val="8"/>
                <w:szCs w:val="8"/>
                <w:color w:val="auto"/>
              </w:rPr>
            </w:pPr>
          </w:p>
        </w:tc>
        <w:tc>
          <w:tcPr>
            <w:tcW w:w="820" w:type="dxa"/>
            <w:vAlign w:val="bottom"/>
            <w:vMerge w:val="continue"/>
          </w:tcPr>
          <w:p>
            <w:pPr>
              <w:spacing w:after="0"/>
              <w:rPr>
                <w:sz w:val="8"/>
                <w:szCs w:val="8"/>
                <w:color w:val="auto"/>
              </w:rPr>
            </w:pPr>
          </w:p>
        </w:tc>
        <w:tc>
          <w:tcPr>
            <w:tcW w:w="106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2"/>
        </w:trPr>
        <w:tc>
          <w:tcPr>
            <w:tcW w:w="2840" w:type="dxa"/>
            <w:vAlign w:val="bottom"/>
            <w:vMerge w:val="restart"/>
          </w:tcPr>
          <w:p>
            <w:pPr>
              <w:ind w:left="100"/>
              <w:spacing w:after="0" w:line="135" w:lineRule="exact"/>
              <w:rPr>
                <w:sz w:val="20"/>
                <w:szCs w:val="20"/>
                <w:color w:val="auto"/>
              </w:rPr>
            </w:pPr>
            <w:r>
              <w:rPr>
                <w:rFonts w:ascii="Times New Roman" w:cs="Times New Roman" w:eastAsia="Times New Roman" w:hAnsi="Times New Roman"/>
                <w:sz w:val="11"/>
                <w:szCs w:val="11"/>
                <w:color w:val="auto"/>
              </w:rPr>
              <w:t xml:space="preserve">Class B (US Dominion, Inc.) </w:t>
            </w:r>
            <w:r>
              <w:rPr>
                <w:rFonts w:ascii="Times New Roman" w:cs="Times New Roman" w:eastAsia="Times New Roman" w:hAnsi="Times New Roman"/>
                <w:sz w:val="14"/>
                <w:szCs w:val="14"/>
                <w:color w:val="auto"/>
                <w:vertAlign w:val="superscript"/>
              </w:rPr>
              <w:t>(7)</w:t>
            </w: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5"/>
        </w:trPr>
        <w:tc>
          <w:tcPr>
            <w:tcW w:w="2840" w:type="dxa"/>
            <w:vAlign w:val="bottom"/>
            <w:vMerge w:val="continue"/>
          </w:tcPr>
          <w:p>
            <w:pPr>
              <w:spacing w:after="0"/>
              <w:rPr>
                <w:sz w:val="10"/>
                <w:szCs w:val="10"/>
                <w:color w:val="auto"/>
              </w:rPr>
            </w:pPr>
          </w:p>
        </w:tc>
        <w:tc>
          <w:tcPr>
            <w:tcW w:w="120" w:type="dxa"/>
            <w:vAlign w:val="bottom"/>
            <w:tcBorders>
              <w:bottom w:val="single" w:sz="8" w:color="CCECFF"/>
            </w:tcBorders>
            <w:shd w:val="clear" w:color="auto" w:fill="CCECFF"/>
          </w:tcPr>
          <w:p>
            <w:pPr>
              <w:spacing w:after="0"/>
              <w:rPr>
                <w:sz w:val="10"/>
                <w:szCs w:val="10"/>
                <w:color w:val="auto"/>
              </w:rPr>
            </w:pPr>
          </w:p>
        </w:tc>
        <w:tc>
          <w:tcPr>
            <w:tcW w:w="620" w:type="dxa"/>
            <w:vAlign w:val="bottom"/>
            <w:tcBorders>
              <w:bottom w:val="single" w:sz="8" w:color="CCECFF"/>
            </w:tcBorders>
            <w:shd w:val="clear" w:color="auto" w:fill="CCECFF"/>
          </w:tcPr>
          <w:p>
            <w:pPr>
              <w:spacing w:after="0"/>
              <w:rPr>
                <w:sz w:val="10"/>
                <w:szCs w:val="10"/>
                <w:color w:val="auto"/>
              </w:rPr>
            </w:pPr>
          </w:p>
        </w:tc>
        <w:tc>
          <w:tcPr>
            <w:tcW w:w="120" w:type="dxa"/>
            <w:vAlign w:val="bottom"/>
            <w:tcBorders>
              <w:bottom w:val="single" w:sz="8" w:color="CCECFF"/>
            </w:tcBorders>
            <w:shd w:val="clear" w:color="auto" w:fill="CCECFF"/>
          </w:tcPr>
          <w:p>
            <w:pPr>
              <w:spacing w:after="0"/>
              <w:rPr>
                <w:sz w:val="10"/>
                <w:szCs w:val="10"/>
                <w:color w:val="auto"/>
              </w:rPr>
            </w:pPr>
          </w:p>
        </w:tc>
        <w:tc>
          <w:tcPr>
            <w:tcW w:w="280" w:type="dxa"/>
            <w:vAlign w:val="bottom"/>
            <w:tcBorders>
              <w:bottom w:val="single" w:sz="8" w:color="CCECFF"/>
            </w:tcBorders>
            <w:shd w:val="clear" w:color="auto" w:fill="CCECFF"/>
          </w:tcPr>
          <w:p>
            <w:pPr>
              <w:spacing w:after="0"/>
              <w:rPr>
                <w:sz w:val="10"/>
                <w:szCs w:val="10"/>
                <w:color w:val="auto"/>
              </w:rPr>
            </w:pPr>
          </w:p>
        </w:tc>
        <w:tc>
          <w:tcPr>
            <w:tcW w:w="2000" w:type="dxa"/>
            <w:vAlign w:val="bottom"/>
            <w:tcBorders>
              <w:bottom w:val="single" w:sz="8" w:color="CCECFF"/>
            </w:tcBorders>
            <w:shd w:val="clear" w:color="auto" w:fill="CCECFF"/>
          </w:tcPr>
          <w:p>
            <w:pPr>
              <w:spacing w:after="0"/>
              <w:rPr>
                <w:sz w:val="10"/>
                <w:szCs w:val="10"/>
                <w:color w:val="auto"/>
              </w:rPr>
            </w:pPr>
          </w:p>
        </w:tc>
        <w:tc>
          <w:tcPr>
            <w:tcW w:w="120" w:type="dxa"/>
            <w:vAlign w:val="bottom"/>
            <w:tcBorders>
              <w:bottom w:val="single" w:sz="8" w:color="CCECFF"/>
            </w:tcBorders>
            <w:shd w:val="clear" w:color="auto" w:fill="CCECFF"/>
          </w:tcPr>
          <w:p>
            <w:pPr>
              <w:spacing w:after="0"/>
              <w:rPr>
                <w:sz w:val="10"/>
                <w:szCs w:val="10"/>
                <w:color w:val="auto"/>
              </w:rPr>
            </w:pPr>
          </w:p>
        </w:tc>
        <w:tc>
          <w:tcPr>
            <w:tcW w:w="880" w:type="dxa"/>
            <w:vAlign w:val="bottom"/>
            <w:tcBorders>
              <w:bottom w:val="single" w:sz="8" w:color="CCECFF"/>
            </w:tcBorders>
            <w:shd w:val="clear" w:color="auto" w:fill="CCECFF"/>
          </w:tcPr>
          <w:p>
            <w:pPr>
              <w:spacing w:after="0"/>
              <w:rPr>
                <w:sz w:val="10"/>
                <w:szCs w:val="10"/>
                <w:color w:val="auto"/>
              </w:rPr>
            </w:pPr>
          </w:p>
        </w:tc>
        <w:tc>
          <w:tcPr>
            <w:tcW w:w="200" w:type="dxa"/>
            <w:vAlign w:val="bottom"/>
            <w:tcBorders>
              <w:bottom w:val="single" w:sz="8" w:color="CCECFF"/>
            </w:tcBorders>
            <w:shd w:val="clear" w:color="auto" w:fill="CCECFF"/>
          </w:tcPr>
          <w:p>
            <w:pPr>
              <w:spacing w:after="0"/>
              <w:rPr>
                <w:sz w:val="10"/>
                <w:szCs w:val="10"/>
                <w:color w:val="auto"/>
              </w:rPr>
            </w:pPr>
          </w:p>
        </w:tc>
        <w:tc>
          <w:tcPr>
            <w:tcW w:w="820" w:type="dxa"/>
            <w:vAlign w:val="bottom"/>
            <w:tcBorders>
              <w:bottom w:val="single" w:sz="8" w:color="CCECFF"/>
            </w:tcBorders>
            <w:shd w:val="clear" w:color="auto" w:fill="CCECFF"/>
          </w:tcPr>
          <w:p>
            <w:pPr>
              <w:spacing w:after="0"/>
              <w:rPr>
                <w:sz w:val="10"/>
                <w:szCs w:val="10"/>
                <w:color w:val="auto"/>
              </w:rPr>
            </w:pPr>
          </w:p>
        </w:tc>
        <w:tc>
          <w:tcPr>
            <w:tcW w:w="220" w:type="dxa"/>
            <w:vAlign w:val="bottom"/>
            <w:tcBorders>
              <w:bottom w:val="single" w:sz="8" w:color="CCECFF"/>
            </w:tcBorders>
            <w:shd w:val="clear" w:color="auto" w:fill="CCECFF"/>
          </w:tcPr>
          <w:p>
            <w:pPr>
              <w:spacing w:after="0"/>
              <w:rPr>
                <w:sz w:val="10"/>
                <w:szCs w:val="10"/>
                <w:color w:val="auto"/>
              </w:rPr>
            </w:pPr>
          </w:p>
        </w:tc>
        <w:tc>
          <w:tcPr>
            <w:tcW w:w="840" w:type="dxa"/>
            <w:vAlign w:val="bottom"/>
            <w:tcBorders>
              <w:bottom w:val="single" w:sz="8" w:color="CCECFF"/>
            </w:tcBorders>
            <w:shd w:val="clear" w:color="auto" w:fill="CCECFF"/>
          </w:tcPr>
          <w:p>
            <w:pPr>
              <w:spacing w:after="0"/>
              <w:rPr>
                <w:sz w:val="10"/>
                <w:szCs w:val="10"/>
                <w:color w:val="auto"/>
              </w:rPr>
            </w:pPr>
          </w:p>
        </w:tc>
        <w:tc>
          <w:tcPr>
            <w:tcW w:w="220" w:type="dxa"/>
            <w:vAlign w:val="bottom"/>
            <w:tcBorders>
              <w:bottom w:val="single" w:sz="8" w:color="CCECFF"/>
            </w:tcBorders>
            <w:shd w:val="clear" w:color="auto" w:fill="CCECFF"/>
          </w:tcPr>
          <w:p>
            <w:pPr>
              <w:spacing w:after="0"/>
              <w:rPr>
                <w:sz w:val="10"/>
                <w:szCs w:val="10"/>
                <w:color w:val="auto"/>
              </w:rPr>
            </w:pPr>
          </w:p>
        </w:tc>
        <w:tc>
          <w:tcPr>
            <w:tcW w:w="180" w:type="dxa"/>
            <w:vAlign w:val="bottom"/>
            <w:tcBorders>
              <w:bottom w:val="single" w:sz="8" w:color="CCECFF"/>
            </w:tcBorders>
            <w:shd w:val="clear" w:color="auto" w:fill="CCECFF"/>
          </w:tcPr>
          <w:p>
            <w:pPr>
              <w:spacing w:after="0"/>
              <w:rPr>
                <w:sz w:val="10"/>
                <w:szCs w:val="10"/>
                <w:color w:val="auto"/>
              </w:rPr>
            </w:pPr>
          </w:p>
        </w:tc>
        <w:tc>
          <w:tcPr>
            <w:tcW w:w="640" w:type="dxa"/>
            <w:vAlign w:val="bottom"/>
            <w:tcBorders>
              <w:bottom w:val="single" w:sz="8" w:color="CCECFF"/>
            </w:tcBorders>
            <w:shd w:val="clear" w:color="auto" w:fill="CCECFF"/>
          </w:tcPr>
          <w:p>
            <w:pPr>
              <w:spacing w:after="0"/>
              <w:rPr>
                <w:sz w:val="10"/>
                <w:szCs w:val="10"/>
                <w:color w:val="auto"/>
              </w:rPr>
            </w:pPr>
          </w:p>
        </w:tc>
        <w:tc>
          <w:tcPr>
            <w:tcW w:w="200" w:type="dxa"/>
            <w:vAlign w:val="bottom"/>
            <w:tcBorders>
              <w:bottom w:val="single" w:sz="8" w:color="CCECFF"/>
            </w:tcBorders>
            <w:shd w:val="clear" w:color="auto" w:fill="CCECFF"/>
          </w:tcPr>
          <w:p>
            <w:pPr>
              <w:spacing w:after="0"/>
              <w:rPr>
                <w:sz w:val="10"/>
                <w:szCs w:val="10"/>
                <w:color w:val="auto"/>
              </w:rPr>
            </w:pPr>
          </w:p>
        </w:tc>
        <w:tc>
          <w:tcPr>
            <w:tcW w:w="100" w:type="dxa"/>
            <w:vAlign w:val="bottom"/>
            <w:tcBorders>
              <w:bottom w:val="single" w:sz="8" w:color="CCECFF"/>
            </w:tcBorders>
            <w:shd w:val="clear" w:color="auto" w:fill="CCECFF"/>
          </w:tcPr>
          <w:p>
            <w:pPr>
              <w:spacing w:after="0"/>
              <w:rPr>
                <w:sz w:val="10"/>
                <w:szCs w:val="10"/>
                <w:color w:val="auto"/>
              </w:rPr>
            </w:pPr>
          </w:p>
        </w:tc>
        <w:tc>
          <w:tcPr>
            <w:tcW w:w="740" w:type="dxa"/>
            <w:vAlign w:val="bottom"/>
            <w:tcBorders>
              <w:bottom w:val="single" w:sz="8" w:color="CCECFF"/>
            </w:tcBorders>
            <w:shd w:val="clear" w:color="auto" w:fill="CCECFF"/>
          </w:tcPr>
          <w:p>
            <w:pPr>
              <w:spacing w:after="0"/>
              <w:rPr>
                <w:sz w:val="10"/>
                <w:szCs w:val="10"/>
                <w:color w:val="auto"/>
              </w:rPr>
            </w:pPr>
          </w:p>
        </w:tc>
        <w:tc>
          <w:tcPr>
            <w:tcW w:w="100" w:type="dxa"/>
            <w:vAlign w:val="bottom"/>
            <w:tcBorders>
              <w:bottom w:val="single" w:sz="8" w:color="CCECFF"/>
            </w:tcBorders>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03"/>
        </w:trPr>
        <w:tc>
          <w:tcPr>
            <w:tcW w:w="2840" w:type="dxa"/>
            <w:vAlign w:val="bottom"/>
          </w:tcPr>
          <w:p>
            <w:pPr>
              <w:ind w:left="20"/>
              <w:spacing w:after="0" w:line="103" w:lineRule="exact"/>
              <w:rPr>
                <w:sz w:val="20"/>
                <w:szCs w:val="20"/>
                <w:color w:val="auto"/>
              </w:rPr>
            </w:pPr>
            <w:r>
              <w:rPr>
                <w:rFonts w:ascii="Times New Roman" w:cs="Times New Roman" w:eastAsia="Times New Roman" w:hAnsi="Times New Roman"/>
                <w:sz w:val="9"/>
                <w:szCs w:val="9"/>
                <w:color w:val="auto"/>
              </w:rPr>
              <w:t xml:space="preserve">StellPen Holdings, LLC (CF512, Inc.) </w:t>
            </w:r>
            <w:r>
              <w:rPr>
                <w:rFonts w:ascii="Times New Roman" w:cs="Times New Roman" w:eastAsia="Times New Roman" w:hAnsi="Times New Roman"/>
                <w:sz w:val="11"/>
                <w:szCs w:val="11"/>
                <w:color w:val="auto"/>
                <w:vertAlign w:val="superscript"/>
              </w:rPr>
              <w:t>(7)</w:t>
            </w: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line="103" w:lineRule="exact"/>
              <w:rPr>
                <w:sz w:val="20"/>
                <w:szCs w:val="20"/>
                <w:color w:val="auto"/>
              </w:rPr>
            </w:pPr>
            <w:r>
              <w:rPr>
                <w:rFonts w:ascii="Times New Roman" w:cs="Times New Roman" w:eastAsia="Times New Roman" w:hAnsi="Times New Roman"/>
                <w:sz w:val="11"/>
                <w:szCs w:val="11"/>
                <w:color w:val="auto"/>
                <w:w w:val="90"/>
              </w:rPr>
              <w:t>—</w:t>
            </w:r>
          </w:p>
        </w:tc>
        <w:tc>
          <w:tcPr>
            <w:tcW w:w="280" w:type="dxa"/>
            <w:vAlign w:val="bottom"/>
          </w:tcPr>
          <w:p>
            <w:pPr>
              <w:spacing w:after="0"/>
              <w:rPr>
                <w:sz w:val="8"/>
                <w:szCs w:val="8"/>
                <w:color w:val="auto"/>
              </w:rPr>
            </w:pPr>
          </w:p>
        </w:tc>
        <w:tc>
          <w:tcPr>
            <w:tcW w:w="2000" w:type="dxa"/>
            <w:vAlign w:val="bottom"/>
          </w:tcPr>
          <w:p>
            <w:pPr>
              <w:jc w:val="center"/>
              <w:spacing w:after="0" w:line="103" w:lineRule="exact"/>
              <w:rPr>
                <w:sz w:val="20"/>
                <w:szCs w:val="20"/>
                <w:color w:val="auto"/>
              </w:rPr>
            </w:pPr>
            <w:r>
              <w:rPr>
                <w:rFonts w:ascii="Times New Roman" w:cs="Times New Roman" w:eastAsia="Times New Roman" w:hAnsi="Times New Roman"/>
                <w:sz w:val="11"/>
                <w:szCs w:val="11"/>
                <w:color w:val="auto"/>
                <w:w w:val="99"/>
              </w:rPr>
              <w:t>Media</w:t>
            </w:r>
          </w:p>
        </w:tc>
        <w:tc>
          <w:tcPr>
            <w:tcW w:w="120" w:type="dxa"/>
            <w:vAlign w:val="bottom"/>
          </w:tcPr>
          <w:p>
            <w:pPr>
              <w:spacing w:after="0"/>
              <w:rPr>
                <w:sz w:val="8"/>
                <w:szCs w:val="8"/>
                <w:color w:val="auto"/>
              </w:rPr>
            </w:pPr>
          </w:p>
        </w:tc>
        <w:tc>
          <w:tcPr>
            <w:tcW w:w="1080" w:type="dxa"/>
            <w:vAlign w:val="bottom"/>
            <w:gridSpan w:val="2"/>
          </w:tcPr>
          <w:p>
            <w:pPr>
              <w:jc w:val="right"/>
              <w:ind w:right="220"/>
              <w:spacing w:after="0" w:line="103" w:lineRule="exact"/>
              <w:rPr>
                <w:sz w:val="20"/>
                <w:szCs w:val="20"/>
                <w:color w:val="auto"/>
              </w:rPr>
            </w:pPr>
            <w:r>
              <w:rPr>
                <w:rFonts w:ascii="Times New Roman" w:cs="Times New Roman" w:eastAsia="Times New Roman" w:hAnsi="Times New Roman"/>
                <w:sz w:val="11"/>
                <w:szCs w:val="11"/>
                <w:color w:val="auto"/>
              </w:rPr>
              <w:t>—</w:t>
            </w:r>
          </w:p>
        </w:tc>
        <w:tc>
          <w:tcPr>
            <w:tcW w:w="820" w:type="dxa"/>
            <w:vAlign w:val="bottom"/>
          </w:tcPr>
          <w:p>
            <w:pPr>
              <w:jc w:val="right"/>
              <w:spacing w:after="0" w:line="103" w:lineRule="exact"/>
              <w:rPr>
                <w:sz w:val="20"/>
                <w:szCs w:val="20"/>
                <w:color w:val="auto"/>
              </w:rPr>
            </w:pPr>
            <w:r>
              <w:rPr>
                <w:rFonts w:ascii="Times New Roman" w:cs="Times New Roman" w:eastAsia="Times New Roman" w:hAnsi="Times New Roman"/>
                <w:sz w:val="11"/>
                <w:szCs w:val="11"/>
                <w:color w:val="auto"/>
              </w:rPr>
              <w:t>—</w:t>
            </w:r>
          </w:p>
        </w:tc>
        <w:tc>
          <w:tcPr>
            <w:tcW w:w="1060" w:type="dxa"/>
            <w:vAlign w:val="bottom"/>
            <w:gridSpan w:val="2"/>
          </w:tcPr>
          <w:p>
            <w:pPr>
              <w:jc w:val="right"/>
              <w:spacing w:after="0" w:line="103" w:lineRule="exact"/>
              <w:rPr>
                <w:sz w:val="20"/>
                <w:szCs w:val="20"/>
                <w:color w:val="auto"/>
              </w:rPr>
            </w:pPr>
            <w:r>
              <w:rPr>
                <w:rFonts w:ascii="Times New Roman" w:cs="Times New Roman" w:eastAsia="Times New Roman" w:hAnsi="Times New Roman"/>
                <w:sz w:val="11"/>
                <w:szCs w:val="11"/>
                <w:color w:val="auto"/>
              </w:rPr>
              <w:t>161,538</w:t>
            </w: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jc w:val="right"/>
              <w:spacing w:after="0" w:line="103" w:lineRule="exact"/>
              <w:rPr>
                <w:sz w:val="20"/>
                <w:szCs w:val="20"/>
                <w:color w:val="auto"/>
              </w:rPr>
            </w:pPr>
            <w:r>
              <w:rPr>
                <w:rFonts w:ascii="Times New Roman" w:cs="Times New Roman" w:eastAsia="Times New Roman" w:hAnsi="Times New Roman"/>
                <w:sz w:val="11"/>
                <w:szCs w:val="11"/>
                <w:color w:val="auto"/>
              </w:rPr>
              <w:t>162</w:t>
            </w: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jc w:val="right"/>
              <w:spacing w:after="0" w:line="103" w:lineRule="exact"/>
              <w:rPr>
                <w:sz w:val="20"/>
                <w:szCs w:val="20"/>
                <w:color w:val="auto"/>
              </w:rPr>
            </w:pPr>
            <w:r>
              <w:rPr>
                <w:rFonts w:ascii="Times New Roman" w:cs="Times New Roman" w:eastAsia="Times New Roman" w:hAnsi="Times New Roman"/>
                <w:sz w:val="11"/>
                <w:szCs w:val="11"/>
                <w:color w:val="auto"/>
              </w:rPr>
              <w:t>160</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3"/>
        </w:trPr>
        <w:tc>
          <w:tcPr>
            <w:tcW w:w="2960" w:type="dxa"/>
            <w:vAlign w:val="bottom"/>
            <w:gridSpan w:val="2"/>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TAC LifePort Holdings, LLC </w:t>
            </w:r>
            <w:r>
              <w:rPr>
                <w:rFonts w:ascii="Times New Roman" w:cs="Times New Roman" w:eastAsia="Times New Roman" w:hAnsi="Times New Roman"/>
                <w:sz w:val="14"/>
                <w:szCs w:val="14"/>
                <w:color w:val="auto"/>
                <w:vertAlign w:val="superscript"/>
              </w:rPr>
              <w:t>(7),(8)</w:t>
            </w:r>
          </w:p>
        </w:tc>
        <w:tc>
          <w:tcPr>
            <w:tcW w:w="620" w:type="dxa"/>
            <w:vAlign w:val="bottom"/>
          </w:tcPr>
          <w:p>
            <w:pPr>
              <w:spacing w:after="0"/>
              <w:rPr>
                <w:sz w:val="13"/>
                <w:szCs w:val="13"/>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1"/>
                <w:szCs w:val="11"/>
                <w:color w:val="auto"/>
                <w:w w:val="90"/>
              </w:rPr>
              <w:t>—</w:t>
            </w:r>
          </w:p>
        </w:tc>
        <w:tc>
          <w:tcPr>
            <w:tcW w:w="280" w:type="dxa"/>
            <w:vAlign w:val="bottom"/>
          </w:tcPr>
          <w:p>
            <w:pPr>
              <w:spacing w:after="0"/>
              <w:rPr>
                <w:sz w:val="13"/>
                <w:szCs w:val="13"/>
                <w:color w:val="auto"/>
              </w:rPr>
            </w:pPr>
          </w:p>
        </w:tc>
        <w:tc>
          <w:tcPr>
            <w:tcW w:w="20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120" w:type="dxa"/>
            <w:vAlign w:val="bottom"/>
          </w:tcPr>
          <w:p>
            <w:pPr>
              <w:spacing w:after="0"/>
              <w:rPr>
                <w:sz w:val="13"/>
                <w:szCs w:val="13"/>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488,372</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488</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621</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96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Tower Arch Infolinks Media, LP (Infolinks Media Buyco, LLC)</w:t>
            </w:r>
          </w:p>
        </w:tc>
        <w:tc>
          <w:tcPr>
            <w:tcW w:w="620" w:type="dxa"/>
            <w:vAlign w:val="bottom"/>
          </w:tcPr>
          <w:p>
            <w:pPr>
              <w:spacing w:after="0"/>
              <w:rPr>
                <w:sz w:val="11"/>
                <w:szCs w:val="11"/>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1"/>
                <w:szCs w:val="11"/>
                <w:color w:val="auto"/>
                <w:w w:val="90"/>
              </w:rPr>
              <w:t>—</w:t>
            </w:r>
          </w:p>
        </w:tc>
        <w:tc>
          <w:tcPr>
            <w:tcW w:w="280" w:type="dxa"/>
            <w:vAlign w:val="bottom"/>
          </w:tcPr>
          <w:p>
            <w:pPr>
              <w:spacing w:after="0"/>
              <w:rPr>
                <w:sz w:val="11"/>
                <w:szCs w:val="11"/>
                <w:color w:val="auto"/>
              </w:rPr>
            </w:pPr>
          </w:p>
        </w:tc>
        <w:tc>
          <w:tcPr>
            <w:tcW w:w="20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Media</w:t>
            </w:r>
          </w:p>
        </w:tc>
        <w:tc>
          <w:tcPr>
            <w:tcW w:w="120" w:type="dxa"/>
            <w:vAlign w:val="bottom"/>
          </w:tcPr>
          <w:p>
            <w:pPr>
              <w:spacing w:after="0"/>
              <w:rPr>
                <w:sz w:val="11"/>
                <w:szCs w:val="11"/>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216,925</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209</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366</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960" w:type="dxa"/>
            <w:vAlign w:val="bottom"/>
            <w:gridSpan w:val="2"/>
          </w:tcPr>
          <w:p>
            <w:pPr>
              <w:ind w:left="20"/>
              <w:spacing w:after="0" w:line="109" w:lineRule="exact"/>
              <w:rPr>
                <w:sz w:val="20"/>
                <w:szCs w:val="20"/>
                <w:color w:val="auto"/>
              </w:rPr>
            </w:pPr>
            <w:r>
              <w:rPr>
                <w:rFonts w:ascii="Times New Roman" w:cs="Times New Roman" w:eastAsia="Times New Roman" w:hAnsi="Times New Roman"/>
                <w:sz w:val="11"/>
                <w:szCs w:val="11"/>
                <w:color w:val="auto"/>
              </w:rPr>
              <w:t>Tower Arch Infolinks Media, LP (Infolinks Media Buyco, LLC)</w:t>
            </w:r>
          </w:p>
        </w:tc>
        <w:tc>
          <w:tcPr>
            <w:tcW w:w="620" w:type="dxa"/>
            <w:vAlign w:val="bottom"/>
          </w:tcPr>
          <w:p>
            <w:pPr>
              <w:spacing w:after="0"/>
              <w:rPr>
                <w:sz w:val="9"/>
                <w:szCs w:val="9"/>
                <w:color w:val="auto"/>
              </w:rPr>
            </w:pPr>
          </w:p>
        </w:tc>
        <w:tc>
          <w:tcPr>
            <w:tcW w:w="120" w:type="dxa"/>
            <w:vAlign w:val="bottom"/>
          </w:tcPr>
          <w:p>
            <w:pPr>
              <w:spacing w:after="0" w:line="109" w:lineRule="exact"/>
              <w:rPr>
                <w:sz w:val="20"/>
                <w:szCs w:val="20"/>
                <w:color w:val="auto"/>
              </w:rPr>
            </w:pPr>
            <w:r>
              <w:rPr>
                <w:rFonts w:ascii="Times New Roman" w:cs="Times New Roman" w:eastAsia="Times New Roman" w:hAnsi="Times New Roman"/>
                <w:sz w:val="11"/>
                <w:szCs w:val="11"/>
                <w:color w:val="auto"/>
                <w:w w:val="90"/>
              </w:rPr>
              <w:t>—</w:t>
            </w:r>
          </w:p>
        </w:tc>
        <w:tc>
          <w:tcPr>
            <w:tcW w:w="280" w:type="dxa"/>
            <w:vAlign w:val="bottom"/>
          </w:tcPr>
          <w:p>
            <w:pPr>
              <w:spacing w:after="0"/>
              <w:rPr>
                <w:sz w:val="9"/>
                <w:szCs w:val="9"/>
                <w:color w:val="auto"/>
              </w:rPr>
            </w:pPr>
          </w:p>
        </w:tc>
        <w:tc>
          <w:tcPr>
            <w:tcW w:w="2000" w:type="dxa"/>
            <w:vAlign w:val="bottom"/>
          </w:tcPr>
          <w:p>
            <w:pPr>
              <w:jc w:val="center"/>
              <w:spacing w:after="0" w:line="109" w:lineRule="exact"/>
              <w:rPr>
                <w:sz w:val="20"/>
                <w:szCs w:val="20"/>
                <w:color w:val="auto"/>
              </w:rPr>
            </w:pPr>
            <w:r>
              <w:rPr>
                <w:rFonts w:ascii="Times New Roman" w:cs="Times New Roman" w:eastAsia="Times New Roman" w:hAnsi="Times New Roman"/>
                <w:sz w:val="11"/>
                <w:szCs w:val="11"/>
                <w:color w:val="auto"/>
                <w:w w:val="99"/>
              </w:rPr>
              <w:t>Media</w:t>
            </w:r>
          </w:p>
        </w:tc>
        <w:tc>
          <w:tcPr>
            <w:tcW w:w="120" w:type="dxa"/>
            <w:vAlign w:val="bottom"/>
          </w:tcPr>
          <w:p>
            <w:pPr>
              <w:spacing w:after="0"/>
              <w:rPr>
                <w:sz w:val="9"/>
                <w:szCs w:val="9"/>
                <w:color w:val="auto"/>
              </w:rPr>
            </w:pPr>
          </w:p>
        </w:tc>
        <w:tc>
          <w:tcPr>
            <w:tcW w:w="1080" w:type="dxa"/>
            <w:vAlign w:val="bottom"/>
            <w:gridSpan w:val="2"/>
          </w:tcPr>
          <w:p>
            <w:pPr>
              <w:jc w:val="right"/>
              <w:ind w:right="220"/>
              <w:spacing w:after="0" w:line="109" w:lineRule="exact"/>
              <w:rPr>
                <w:sz w:val="20"/>
                <w:szCs w:val="20"/>
                <w:color w:val="auto"/>
              </w:rPr>
            </w:pPr>
            <w:r>
              <w:rPr>
                <w:rFonts w:ascii="Times New Roman" w:cs="Times New Roman" w:eastAsia="Times New Roman" w:hAnsi="Times New Roman"/>
                <w:sz w:val="11"/>
                <w:szCs w:val="11"/>
                <w:color w:val="auto"/>
              </w:rPr>
              <w:t>—</w:t>
            </w:r>
          </w:p>
        </w:tc>
        <w:tc>
          <w:tcPr>
            <w:tcW w:w="820" w:type="dxa"/>
            <w:vAlign w:val="bottom"/>
          </w:tcPr>
          <w:p>
            <w:pPr>
              <w:jc w:val="right"/>
              <w:spacing w:after="0" w:line="109" w:lineRule="exact"/>
              <w:rPr>
                <w:sz w:val="20"/>
                <w:szCs w:val="20"/>
                <w:color w:val="auto"/>
              </w:rPr>
            </w:pPr>
            <w:r>
              <w:rPr>
                <w:rFonts w:ascii="Times New Roman" w:cs="Times New Roman" w:eastAsia="Times New Roman" w:hAnsi="Times New Roman"/>
                <w:sz w:val="11"/>
                <w:szCs w:val="11"/>
                <w:color w:val="auto"/>
              </w:rPr>
              <w:t>—</w:t>
            </w:r>
          </w:p>
        </w:tc>
        <w:tc>
          <w:tcPr>
            <w:tcW w:w="1060" w:type="dxa"/>
            <w:vAlign w:val="bottom"/>
            <w:gridSpan w:val="2"/>
          </w:tcPr>
          <w:p>
            <w:pPr>
              <w:jc w:val="right"/>
              <w:spacing w:after="0" w:line="109" w:lineRule="exact"/>
              <w:rPr>
                <w:sz w:val="20"/>
                <w:szCs w:val="20"/>
                <w:color w:val="auto"/>
              </w:rPr>
            </w:pPr>
            <w:r>
              <w:rPr>
                <w:rFonts w:ascii="Times New Roman" w:cs="Times New Roman" w:eastAsia="Times New Roman" w:hAnsi="Times New Roman"/>
                <w:sz w:val="11"/>
                <w:szCs w:val="11"/>
                <w:color w:val="auto"/>
              </w:rPr>
              <w:t>148,681</w:t>
            </w: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jc w:val="right"/>
              <w:spacing w:after="0" w:line="109" w:lineRule="exact"/>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gridSpan w:val="2"/>
          </w:tcPr>
          <w:p>
            <w:pPr>
              <w:jc w:val="right"/>
              <w:ind w:right="120"/>
              <w:spacing w:after="0" w:line="109"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90"/>
        </w:trPr>
        <w:tc>
          <w:tcPr>
            <w:tcW w:w="2840" w:type="dxa"/>
            <w:vAlign w:val="bottom"/>
          </w:tcPr>
          <w:p>
            <w:pPr>
              <w:ind w:left="20"/>
              <w:spacing w:after="0"/>
              <w:rPr>
                <w:sz w:val="20"/>
                <w:szCs w:val="20"/>
                <w:color w:val="auto"/>
              </w:rPr>
            </w:pPr>
            <w:r>
              <w:rPr>
                <w:rFonts w:ascii="Times New Roman" w:cs="Times New Roman" w:eastAsia="Times New Roman" w:hAnsi="Times New Roman"/>
                <w:sz w:val="7"/>
                <w:szCs w:val="7"/>
                <w:color w:val="auto"/>
              </w:rPr>
              <w:t>(8) (9)</w:t>
            </w: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12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00" w:type="dxa"/>
            <w:vAlign w:val="bottom"/>
          </w:tcPr>
          <w:p>
            <w:pPr>
              <w:spacing w:after="0"/>
              <w:rPr>
                <w:sz w:val="7"/>
                <w:szCs w:val="7"/>
                <w:color w:val="auto"/>
              </w:rPr>
            </w:pPr>
          </w:p>
        </w:tc>
        <w:tc>
          <w:tcPr>
            <w:tcW w:w="120" w:type="dxa"/>
            <w:vAlign w:val="bottom"/>
          </w:tcPr>
          <w:p>
            <w:pPr>
              <w:spacing w:after="0"/>
              <w:rPr>
                <w:sz w:val="7"/>
                <w:szCs w:val="7"/>
                <w:color w:val="auto"/>
              </w:rPr>
            </w:pPr>
          </w:p>
        </w:tc>
        <w:tc>
          <w:tcPr>
            <w:tcW w:w="8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20" w:type="dxa"/>
            <w:vAlign w:val="bottom"/>
          </w:tcPr>
          <w:p>
            <w:pPr>
              <w:spacing w:after="0"/>
              <w:rPr>
                <w:sz w:val="7"/>
                <w:szCs w:val="7"/>
                <w:color w:val="auto"/>
              </w:rPr>
            </w:pPr>
          </w:p>
        </w:tc>
        <w:tc>
          <w:tcPr>
            <w:tcW w:w="220" w:type="dxa"/>
            <w:vAlign w:val="bottom"/>
          </w:tcPr>
          <w:p>
            <w:pPr>
              <w:spacing w:after="0"/>
              <w:rPr>
                <w:sz w:val="7"/>
                <w:szCs w:val="7"/>
                <w:color w:val="auto"/>
              </w:rPr>
            </w:pPr>
          </w:p>
        </w:tc>
        <w:tc>
          <w:tcPr>
            <w:tcW w:w="840" w:type="dxa"/>
            <w:vAlign w:val="bottom"/>
          </w:tcPr>
          <w:p>
            <w:pPr>
              <w:spacing w:after="0"/>
              <w:rPr>
                <w:sz w:val="7"/>
                <w:szCs w:val="7"/>
                <w:color w:val="auto"/>
              </w:rPr>
            </w:pPr>
          </w:p>
        </w:tc>
        <w:tc>
          <w:tcPr>
            <w:tcW w:w="220" w:type="dxa"/>
            <w:vAlign w:val="bottom"/>
          </w:tcPr>
          <w:p>
            <w:pPr>
              <w:spacing w:after="0"/>
              <w:rPr>
                <w:sz w:val="7"/>
                <w:szCs w:val="7"/>
                <w:color w:val="auto"/>
              </w:rPr>
            </w:pPr>
          </w:p>
        </w:tc>
        <w:tc>
          <w:tcPr>
            <w:tcW w:w="18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74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296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TPC Holding Company, LP </w:t>
            </w:r>
            <w:r>
              <w:rPr>
                <w:rFonts w:ascii="Times New Roman" w:cs="Times New Roman" w:eastAsia="Times New Roman" w:hAnsi="Times New Roman"/>
                <w:sz w:val="14"/>
                <w:szCs w:val="14"/>
                <w:color w:val="auto"/>
                <w:vertAlign w:val="superscript"/>
              </w:rPr>
              <w:t>(5), (7), (10)</w:t>
            </w:r>
          </w:p>
        </w:tc>
        <w:tc>
          <w:tcPr>
            <w:tcW w:w="620" w:type="dxa"/>
            <w:vAlign w:val="bottom"/>
          </w:tcPr>
          <w:p>
            <w:pPr>
              <w:spacing w:after="0"/>
              <w:rPr>
                <w:sz w:val="11"/>
                <w:szCs w:val="11"/>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1"/>
                <w:szCs w:val="11"/>
                <w:color w:val="auto"/>
                <w:w w:val="90"/>
              </w:rPr>
              <w:t>—</w:t>
            </w:r>
          </w:p>
        </w:tc>
        <w:tc>
          <w:tcPr>
            <w:tcW w:w="280" w:type="dxa"/>
            <w:vAlign w:val="bottom"/>
          </w:tcPr>
          <w:p>
            <w:pPr>
              <w:spacing w:after="0"/>
              <w:rPr>
                <w:sz w:val="11"/>
                <w:szCs w:val="11"/>
                <w:color w:val="auto"/>
              </w:rPr>
            </w:pPr>
          </w:p>
        </w:tc>
        <w:tc>
          <w:tcPr>
            <w:tcW w:w="200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Food Products</w:t>
            </w:r>
          </w:p>
        </w:tc>
        <w:tc>
          <w:tcPr>
            <w:tcW w:w="120" w:type="dxa"/>
            <w:vAlign w:val="bottom"/>
          </w:tcPr>
          <w:p>
            <w:pPr>
              <w:spacing w:after="0"/>
              <w:rPr>
                <w:sz w:val="11"/>
                <w:szCs w:val="11"/>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21,527</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35"/>
        </w:trPr>
        <w:tc>
          <w:tcPr>
            <w:tcW w:w="296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TWD Parent Holdings, LLC (The Vertex Companies, LLC) </w:t>
            </w:r>
            <w:r>
              <w:rPr>
                <w:rFonts w:ascii="Times New Roman" w:cs="Times New Roman" w:eastAsia="Times New Roman" w:hAnsi="Times New Roman"/>
                <w:sz w:val="14"/>
                <w:szCs w:val="14"/>
                <w:color w:val="auto"/>
                <w:vertAlign w:val="superscript"/>
              </w:rPr>
              <w:t>(7)</w:t>
            </w:r>
          </w:p>
        </w:tc>
        <w:tc>
          <w:tcPr>
            <w:tcW w:w="620" w:type="dxa"/>
            <w:vAlign w:val="bottom"/>
          </w:tcPr>
          <w:p>
            <w:pPr>
              <w:spacing w:after="0"/>
              <w:rPr>
                <w:sz w:val="11"/>
                <w:szCs w:val="11"/>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1"/>
                <w:szCs w:val="11"/>
                <w:color w:val="auto"/>
                <w:w w:val="90"/>
              </w:rPr>
              <w:t>—</w:t>
            </w:r>
          </w:p>
        </w:tc>
        <w:tc>
          <w:tcPr>
            <w:tcW w:w="280" w:type="dxa"/>
            <w:vAlign w:val="bottom"/>
          </w:tcPr>
          <w:p>
            <w:pPr>
              <w:spacing w:after="0"/>
              <w:rPr>
                <w:sz w:val="11"/>
                <w:szCs w:val="11"/>
                <w:color w:val="auto"/>
              </w:rPr>
            </w:pPr>
          </w:p>
        </w:tc>
        <w:tc>
          <w:tcPr>
            <w:tcW w:w="20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Construction &amp; Engineering</w:t>
            </w:r>
          </w:p>
        </w:tc>
        <w:tc>
          <w:tcPr>
            <w:tcW w:w="120" w:type="dxa"/>
            <w:vAlign w:val="bottom"/>
          </w:tcPr>
          <w:p>
            <w:pPr>
              <w:spacing w:after="0"/>
              <w:rPr>
                <w:sz w:val="11"/>
                <w:szCs w:val="11"/>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749</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35"/>
        </w:trPr>
        <w:tc>
          <w:tcPr>
            <w:tcW w:w="296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UniTek Global Services, Inc. </w:t>
            </w:r>
            <w:r>
              <w:rPr>
                <w:rFonts w:ascii="Times New Roman" w:cs="Times New Roman" w:eastAsia="Times New Roman" w:hAnsi="Times New Roman"/>
                <w:sz w:val="14"/>
                <w:szCs w:val="14"/>
                <w:color w:val="auto"/>
                <w:vertAlign w:val="superscript"/>
              </w:rPr>
              <w:t>(7)</w:t>
            </w:r>
          </w:p>
        </w:tc>
        <w:tc>
          <w:tcPr>
            <w:tcW w:w="620" w:type="dxa"/>
            <w:vAlign w:val="bottom"/>
          </w:tcPr>
          <w:p>
            <w:pPr>
              <w:spacing w:after="0"/>
              <w:rPr>
                <w:sz w:val="11"/>
                <w:szCs w:val="11"/>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1"/>
                <w:szCs w:val="11"/>
                <w:color w:val="auto"/>
                <w:w w:val="90"/>
              </w:rPr>
              <w:t>—</w:t>
            </w:r>
          </w:p>
        </w:tc>
        <w:tc>
          <w:tcPr>
            <w:tcW w:w="280" w:type="dxa"/>
            <w:vAlign w:val="bottom"/>
          </w:tcPr>
          <w:p>
            <w:pPr>
              <w:spacing w:after="0"/>
              <w:rPr>
                <w:sz w:val="11"/>
                <w:szCs w:val="11"/>
                <w:color w:val="auto"/>
              </w:rPr>
            </w:pPr>
          </w:p>
        </w:tc>
        <w:tc>
          <w:tcPr>
            <w:tcW w:w="20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Telecommunications</w:t>
            </w:r>
          </w:p>
        </w:tc>
        <w:tc>
          <w:tcPr>
            <w:tcW w:w="120" w:type="dxa"/>
            <w:vAlign w:val="bottom"/>
          </w:tcPr>
          <w:p>
            <w:pPr>
              <w:spacing w:after="0"/>
              <w:rPr>
                <w:sz w:val="11"/>
                <w:szCs w:val="11"/>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213,739</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35"/>
        </w:trPr>
        <w:tc>
          <w:tcPr>
            <w:tcW w:w="296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UniTek Global Services, Inc. (Warrants) </w:t>
            </w:r>
            <w:r>
              <w:rPr>
                <w:rFonts w:ascii="Times New Roman" w:cs="Times New Roman" w:eastAsia="Times New Roman" w:hAnsi="Times New Roman"/>
                <w:sz w:val="14"/>
                <w:szCs w:val="14"/>
                <w:color w:val="auto"/>
                <w:vertAlign w:val="superscript"/>
              </w:rPr>
              <w:t>(7)</w:t>
            </w:r>
          </w:p>
        </w:tc>
        <w:tc>
          <w:tcPr>
            <w:tcW w:w="620" w:type="dxa"/>
            <w:vAlign w:val="bottom"/>
          </w:tcPr>
          <w:p>
            <w:pPr>
              <w:spacing w:after="0"/>
              <w:rPr>
                <w:sz w:val="11"/>
                <w:szCs w:val="11"/>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1"/>
                <w:szCs w:val="11"/>
                <w:color w:val="auto"/>
                <w:w w:val="90"/>
              </w:rPr>
              <w:t>—</w:t>
            </w:r>
          </w:p>
        </w:tc>
        <w:tc>
          <w:tcPr>
            <w:tcW w:w="280" w:type="dxa"/>
            <w:vAlign w:val="bottom"/>
          </w:tcPr>
          <w:p>
            <w:pPr>
              <w:spacing w:after="0"/>
              <w:rPr>
                <w:sz w:val="11"/>
                <w:szCs w:val="11"/>
                <w:color w:val="auto"/>
              </w:rPr>
            </w:pPr>
          </w:p>
        </w:tc>
        <w:tc>
          <w:tcPr>
            <w:tcW w:w="20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Telecommunications</w:t>
            </w:r>
          </w:p>
        </w:tc>
        <w:tc>
          <w:tcPr>
            <w:tcW w:w="120" w:type="dxa"/>
            <w:vAlign w:val="bottom"/>
          </w:tcPr>
          <w:p>
            <w:pPr>
              <w:spacing w:after="0"/>
              <w:rPr>
                <w:sz w:val="11"/>
                <w:szCs w:val="11"/>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23,889</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53"/>
        </w:trPr>
        <w:tc>
          <w:tcPr>
            <w:tcW w:w="2960" w:type="dxa"/>
            <w:vAlign w:val="bottom"/>
            <w:gridSpan w:val="2"/>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UniVista Insurance </w:t>
            </w:r>
            <w:r>
              <w:rPr>
                <w:rFonts w:ascii="Times New Roman" w:cs="Times New Roman" w:eastAsia="Times New Roman" w:hAnsi="Times New Roman"/>
                <w:sz w:val="14"/>
                <w:szCs w:val="14"/>
                <w:color w:val="auto"/>
                <w:vertAlign w:val="superscript"/>
              </w:rPr>
              <w:t>(7),(8)</w:t>
            </w:r>
          </w:p>
        </w:tc>
        <w:tc>
          <w:tcPr>
            <w:tcW w:w="620" w:type="dxa"/>
            <w:vAlign w:val="bottom"/>
          </w:tcPr>
          <w:p>
            <w:pPr>
              <w:spacing w:after="0"/>
              <w:rPr>
                <w:sz w:val="13"/>
                <w:szCs w:val="13"/>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1"/>
                <w:szCs w:val="11"/>
                <w:color w:val="auto"/>
                <w:w w:val="90"/>
              </w:rPr>
              <w:t>—</w:t>
            </w:r>
          </w:p>
        </w:tc>
        <w:tc>
          <w:tcPr>
            <w:tcW w:w="280" w:type="dxa"/>
            <w:vAlign w:val="bottom"/>
          </w:tcPr>
          <w:p>
            <w:pPr>
              <w:spacing w:after="0"/>
              <w:rPr>
                <w:sz w:val="13"/>
                <w:szCs w:val="13"/>
                <w:color w:val="auto"/>
              </w:rPr>
            </w:pPr>
          </w:p>
        </w:tc>
        <w:tc>
          <w:tcPr>
            <w:tcW w:w="20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Insurance</w:t>
            </w:r>
          </w:p>
        </w:tc>
        <w:tc>
          <w:tcPr>
            <w:tcW w:w="120" w:type="dxa"/>
            <w:vAlign w:val="bottom"/>
          </w:tcPr>
          <w:p>
            <w:pPr>
              <w:spacing w:after="0"/>
              <w:rPr>
                <w:sz w:val="13"/>
                <w:szCs w:val="13"/>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400</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378</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454</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2960" w:type="dxa"/>
            <w:vAlign w:val="bottom"/>
            <w:gridSpan w:val="2"/>
          </w:tcPr>
          <w:p>
            <w:pPr>
              <w:ind w:left="20"/>
              <w:spacing w:after="0" w:line="117" w:lineRule="exact"/>
              <w:rPr>
                <w:sz w:val="20"/>
                <w:szCs w:val="20"/>
                <w:color w:val="auto"/>
              </w:rPr>
            </w:pPr>
            <w:r>
              <w:rPr>
                <w:rFonts w:ascii="Times New Roman" w:cs="Times New Roman" w:eastAsia="Times New Roman" w:hAnsi="Times New Roman"/>
                <w:sz w:val="11"/>
                <w:szCs w:val="11"/>
                <w:color w:val="auto"/>
              </w:rPr>
              <w:t>WCP IvyRehab QP CF Feeder, LP</w:t>
            </w:r>
          </w:p>
        </w:tc>
        <w:tc>
          <w:tcPr>
            <w:tcW w:w="620" w:type="dxa"/>
            <w:vAlign w:val="bottom"/>
          </w:tcPr>
          <w:p>
            <w:pPr>
              <w:spacing w:after="0"/>
              <w:rPr>
                <w:sz w:val="10"/>
                <w:szCs w:val="10"/>
                <w:color w:val="auto"/>
              </w:rPr>
            </w:pPr>
          </w:p>
        </w:tc>
        <w:tc>
          <w:tcPr>
            <w:tcW w:w="120" w:type="dxa"/>
            <w:vAlign w:val="bottom"/>
          </w:tcPr>
          <w:p>
            <w:pPr>
              <w:spacing w:after="0" w:line="117" w:lineRule="exact"/>
              <w:rPr>
                <w:sz w:val="20"/>
                <w:szCs w:val="20"/>
                <w:color w:val="auto"/>
              </w:rPr>
            </w:pPr>
            <w:r>
              <w:rPr>
                <w:rFonts w:ascii="Times New Roman" w:cs="Times New Roman" w:eastAsia="Times New Roman" w:hAnsi="Times New Roman"/>
                <w:sz w:val="11"/>
                <w:szCs w:val="11"/>
                <w:color w:val="auto"/>
                <w:w w:val="90"/>
              </w:rPr>
              <w:t>—</w:t>
            </w:r>
          </w:p>
        </w:tc>
        <w:tc>
          <w:tcPr>
            <w:tcW w:w="280" w:type="dxa"/>
            <w:vAlign w:val="bottom"/>
          </w:tcPr>
          <w:p>
            <w:pPr>
              <w:spacing w:after="0"/>
              <w:rPr>
                <w:sz w:val="10"/>
                <w:szCs w:val="10"/>
                <w:color w:val="auto"/>
              </w:rPr>
            </w:pPr>
          </w:p>
        </w:tc>
        <w:tc>
          <w:tcPr>
            <w:tcW w:w="200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color w:val="auto"/>
                <w:w w:val="97"/>
              </w:rPr>
              <w:t>Healthcare Providers and Services</w:t>
            </w:r>
          </w:p>
        </w:tc>
        <w:tc>
          <w:tcPr>
            <w:tcW w:w="120" w:type="dxa"/>
            <w:vAlign w:val="bottom"/>
          </w:tcPr>
          <w:p>
            <w:pPr>
              <w:spacing w:after="0"/>
              <w:rPr>
                <w:sz w:val="10"/>
                <w:szCs w:val="10"/>
                <w:color w:val="auto"/>
              </w:rPr>
            </w:pPr>
          </w:p>
        </w:tc>
        <w:tc>
          <w:tcPr>
            <w:tcW w:w="1080" w:type="dxa"/>
            <w:vAlign w:val="bottom"/>
            <w:gridSpan w:val="2"/>
          </w:tcPr>
          <w:p>
            <w:pPr>
              <w:jc w:val="right"/>
              <w:ind w:right="220"/>
              <w:spacing w:after="0" w:line="117" w:lineRule="exact"/>
              <w:rPr>
                <w:sz w:val="20"/>
                <w:szCs w:val="20"/>
                <w:color w:val="auto"/>
              </w:rPr>
            </w:pPr>
            <w:r>
              <w:rPr>
                <w:rFonts w:ascii="Times New Roman" w:cs="Times New Roman" w:eastAsia="Times New Roman" w:hAnsi="Times New Roman"/>
                <w:sz w:val="11"/>
                <w:szCs w:val="11"/>
                <w:color w:val="auto"/>
              </w:rPr>
              <w:t>—</w:t>
            </w:r>
          </w:p>
        </w:tc>
        <w:tc>
          <w:tcPr>
            <w:tcW w:w="82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w:t>
            </w:r>
          </w:p>
        </w:tc>
        <w:tc>
          <w:tcPr>
            <w:tcW w:w="106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1"/>
                <w:szCs w:val="11"/>
                <w:color w:val="auto"/>
              </w:rPr>
              <w:t>3,762,257</w:t>
            </w: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3,762</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3,762</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96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WCP IvyRehab QP CF Feeder, LP </w:t>
            </w:r>
            <w:r>
              <w:rPr>
                <w:rFonts w:ascii="Times New Roman" w:cs="Times New Roman" w:eastAsia="Times New Roman" w:hAnsi="Times New Roman"/>
                <w:sz w:val="14"/>
                <w:szCs w:val="14"/>
                <w:color w:val="auto"/>
                <w:vertAlign w:val="superscript"/>
              </w:rPr>
              <w:t>(9)</w:t>
            </w:r>
          </w:p>
        </w:tc>
        <w:tc>
          <w:tcPr>
            <w:tcW w:w="620" w:type="dxa"/>
            <w:vAlign w:val="bottom"/>
          </w:tcPr>
          <w:p>
            <w:pPr>
              <w:spacing w:after="0"/>
              <w:rPr>
                <w:sz w:val="11"/>
                <w:szCs w:val="11"/>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1"/>
                <w:szCs w:val="11"/>
                <w:color w:val="auto"/>
                <w:w w:val="90"/>
              </w:rPr>
              <w:t>—</w:t>
            </w:r>
          </w:p>
        </w:tc>
        <w:tc>
          <w:tcPr>
            <w:tcW w:w="280" w:type="dxa"/>
            <w:vAlign w:val="bottom"/>
          </w:tcPr>
          <w:p>
            <w:pPr>
              <w:spacing w:after="0"/>
              <w:rPr>
                <w:sz w:val="11"/>
                <w:szCs w:val="11"/>
                <w:color w:val="auto"/>
              </w:rPr>
            </w:pPr>
          </w:p>
        </w:tc>
        <w:tc>
          <w:tcPr>
            <w:tcW w:w="20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Healthcare Providers and Services</w:t>
            </w:r>
          </w:p>
        </w:tc>
        <w:tc>
          <w:tcPr>
            <w:tcW w:w="120" w:type="dxa"/>
            <w:vAlign w:val="bottom"/>
          </w:tcPr>
          <w:p>
            <w:pPr>
              <w:spacing w:after="0"/>
              <w:rPr>
                <w:sz w:val="11"/>
                <w:szCs w:val="11"/>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237,743</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26"/>
        </w:trPr>
        <w:tc>
          <w:tcPr>
            <w:tcW w:w="2960" w:type="dxa"/>
            <w:vAlign w:val="bottom"/>
            <w:gridSpan w:val="2"/>
          </w:tcPr>
          <w:p>
            <w:pPr>
              <w:ind w:left="20"/>
              <w:spacing w:after="0" w:line="127" w:lineRule="exact"/>
              <w:rPr>
                <w:sz w:val="20"/>
                <w:szCs w:val="20"/>
                <w:color w:val="auto"/>
              </w:rPr>
            </w:pPr>
            <w:r>
              <w:rPr>
                <w:rFonts w:ascii="Times New Roman" w:cs="Times New Roman" w:eastAsia="Times New Roman" w:hAnsi="Times New Roman"/>
                <w:sz w:val="11"/>
                <w:szCs w:val="11"/>
                <w:color w:val="auto"/>
              </w:rPr>
              <w:t xml:space="preserve">Wildcat Parent, LP (Wildcat Buyerco, Inc.) </w:t>
            </w:r>
            <w:r>
              <w:rPr>
                <w:rFonts w:ascii="Times New Roman" w:cs="Times New Roman" w:eastAsia="Times New Roman" w:hAnsi="Times New Roman"/>
                <w:sz w:val="14"/>
                <w:szCs w:val="14"/>
                <w:color w:val="auto"/>
                <w:vertAlign w:val="superscript"/>
              </w:rPr>
              <w:t>(7), (8)</w:t>
            </w:r>
          </w:p>
        </w:tc>
        <w:tc>
          <w:tcPr>
            <w:tcW w:w="620" w:type="dxa"/>
            <w:vAlign w:val="bottom"/>
          </w:tcPr>
          <w:p>
            <w:pPr>
              <w:spacing w:after="0"/>
              <w:rPr>
                <w:sz w:val="10"/>
                <w:szCs w:val="10"/>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1"/>
                <w:szCs w:val="11"/>
                <w:color w:val="auto"/>
                <w:w w:val="90"/>
              </w:rPr>
              <w:t>—</w:t>
            </w:r>
          </w:p>
        </w:tc>
        <w:tc>
          <w:tcPr>
            <w:tcW w:w="280" w:type="dxa"/>
            <w:vAlign w:val="bottom"/>
          </w:tcPr>
          <w:p>
            <w:pPr>
              <w:spacing w:after="0"/>
              <w:rPr>
                <w:sz w:val="10"/>
                <w:szCs w:val="10"/>
                <w:color w:val="auto"/>
              </w:rPr>
            </w:pPr>
          </w:p>
        </w:tc>
        <w:tc>
          <w:tcPr>
            <w:tcW w:w="20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Electronic Equipment, Instruments, and</w:t>
            </w:r>
          </w:p>
        </w:tc>
        <w:tc>
          <w:tcPr>
            <w:tcW w:w="120" w:type="dxa"/>
            <w:vAlign w:val="bottom"/>
          </w:tcPr>
          <w:p>
            <w:pPr>
              <w:spacing w:after="0"/>
              <w:rPr>
                <w:sz w:val="10"/>
                <w:szCs w:val="10"/>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2,240</w:t>
            </w: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224</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596</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Components</w:t>
            </w: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96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Total Common Equity/Warrants</w:t>
            </w: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56,856</w:t>
            </w:r>
          </w:p>
        </w:tc>
        <w:tc>
          <w:tcPr>
            <w:tcW w:w="2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95,549</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3580" w:type="dxa"/>
            <w:vAlign w:val="bottom"/>
            <w:gridSpan w:val="3"/>
          </w:tcPr>
          <w:p>
            <w:pPr>
              <w:ind w:left="20"/>
              <w:spacing w:after="0" w:line="110" w:lineRule="exact"/>
              <w:rPr>
                <w:sz w:val="20"/>
                <w:szCs w:val="20"/>
                <w:color w:val="auto"/>
              </w:rPr>
            </w:pPr>
            <w:r>
              <w:rPr>
                <w:rFonts w:ascii="Times New Roman" w:cs="Times New Roman" w:eastAsia="Times New Roman" w:hAnsi="Times New Roman"/>
                <w:sz w:val="11"/>
                <w:szCs w:val="11"/>
                <w:b w:val="1"/>
                <w:bCs w:val="1"/>
                <w:color w:val="auto"/>
              </w:rPr>
              <w:t>Total Investments in Non-Controlled, Non-Affiliated Portfolio Companies</w:t>
            </w: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jc w:val="right"/>
              <w:spacing w:after="0" w:line="110" w:lineRule="exact"/>
              <w:rPr>
                <w:sz w:val="20"/>
                <w:szCs w:val="20"/>
                <w:color w:val="auto"/>
              </w:rPr>
            </w:pPr>
            <w:r>
              <w:rPr>
                <w:rFonts w:ascii="Times New Roman" w:cs="Times New Roman" w:eastAsia="Times New Roman" w:hAnsi="Times New Roman"/>
                <w:sz w:val="11"/>
                <w:szCs w:val="11"/>
                <w:color w:val="auto"/>
              </w:rPr>
              <w:t>882,570</w:t>
            </w:r>
          </w:p>
        </w:tc>
        <w:tc>
          <w:tcPr>
            <w:tcW w:w="2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jc w:val="right"/>
              <w:spacing w:after="0" w:line="110" w:lineRule="exact"/>
              <w:rPr>
                <w:sz w:val="20"/>
                <w:szCs w:val="20"/>
                <w:color w:val="auto"/>
              </w:rPr>
            </w:pPr>
            <w:r>
              <w:rPr>
                <w:rFonts w:ascii="Times New Roman" w:cs="Times New Roman" w:eastAsia="Times New Roman" w:hAnsi="Times New Roman"/>
                <w:sz w:val="11"/>
                <w:szCs w:val="11"/>
                <w:color w:val="auto"/>
              </w:rPr>
              <w:t>893,249</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580" w:type="dxa"/>
            <w:vAlign w:val="bottom"/>
            <w:gridSpan w:val="3"/>
          </w:tcPr>
          <w:p>
            <w:pPr>
              <w:ind w:left="20"/>
              <w:spacing w:after="0" w:line="135" w:lineRule="exact"/>
              <w:rPr>
                <w:sz w:val="20"/>
                <w:szCs w:val="20"/>
                <w:color w:val="auto"/>
              </w:rPr>
            </w:pPr>
            <w:r>
              <w:rPr>
                <w:rFonts w:ascii="Times New Roman" w:cs="Times New Roman" w:eastAsia="Times New Roman" w:hAnsi="Times New Roman"/>
                <w:sz w:val="11"/>
                <w:szCs w:val="11"/>
                <w:b w:val="1"/>
                <w:bCs w:val="1"/>
                <w:color w:val="auto"/>
              </w:rPr>
              <w:t xml:space="preserve">Investments in Controlled, Affiliated Portfolio Companies—51.4% </w:t>
            </w:r>
            <w:r>
              <w:rPr>
                <w:rFonts w:ascii="Times New Roman" w:cs="Times New Roman" w:eastAsia="Times New Roman" w:hAnsi="Times New Roman"/>
                <w:sz w:val="14"/>
                <w:szCs w:val="14"/>
                <w:b w:val="1"/>
                <w:bCs w:val="1"/>
                <w:color w:val="auto"/>
                <w:vertAlign w:val="superscript"/>
              </w:rPr>
              <w:t>(3), (4)</w:t>
            </w: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60" w:type="dxa"/>
            <w:vAlign w:val="bottom"/>
            <w:gridSpan w:val="2"/>
            <w:shd w:val="clear" w:color="auto" w:fill="CCECFF"/>
          </w:tcPr>
          <w:p>
            <w:pPr>
              <w:ind w:left="20"/>
              <w:spacing w:after="0"/>
              <w:rPr>
                <w:sz w:val="20"/>
                <w:szCs w:val="20"/>
                <w:color w:val="auto"/>
              </w:rPr>
            </w:pPr>
            <w:r>
              <w:rPr>
                <w:rFonts w:ascii="Times New Roman" w:cs="Times New Roman" w:eastAsia="Times New Roman" w:hAnsi="Times New Roman"/>
                <w:sz w:val="11"/>
                <w:szCs w:val="11"/>
                <w:b w:val="1"/>
                <w:bCs w:val="1"/>
                <w:color w:val="auto"/>
              </w:rPr>
              <w:t>First Lien Secured Debt—41.8%</w:t>
            </w:r>
          </w:p>
        </w:tc>
        <w:tc>
          <w:tcPr>
            <w:tcW w:w="6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280" w:type="dxa"/>
            <w:vAlign w:val="bottom"/>
            <w:shd w:val="clear" w:color="auto" w:fill="CCECFF"/>
          </w:tcPr>
          <w:p>
            <w:pPr>
              <w:spacing w:after="0"/>
              <w:rPr>
                <w:sz w:val="11"/>
                <w:szCs w:val="11"/>
                <w:color w:val="auto"/>
              </w:rPr>
            </w:pPr>
          </w:p>
        </w:tc>
        <w:tc>
          <w:tcPr>
            <w:tcW w:w="200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880" w:type="dxa"/>
            <w:vAlign w:val="bottom"/>
            <w:shd w:val="clear" w:color="auto" w:fill="CCECFF"/>
          </w:tcPr>
          <w:p>
            <w:pPr>
              <w:spacing w:after="0"/>
              <w:rPr>
                <w:sz w:val="11"/>
                <w:szCs w:val="11"/>
                <w:color w:val="auto"/>
              </w:rPr>
            </w:pPr>
          </w:p>
        </w:tc>
        <w:tc>
          <w:tcPr>
            <w:tcW w:w="200" w:type="dxa"/>
            <w:vAlign w:val="bottom"/>
            <w:shd w:val="clear" w:color="auto" w:fill="CCECFF"/>
          </w:tcPr>
          <w:p>
            <w:pPr>
              <w:spacing w:after="0"/>
              <w:rPr>
                <w:sz w:val="11"/>
                <w:szCs w:val="11"/>
                <w:color w:val="auto"/>
              </w:rPr>
            </w:pPr>
          </w:p>
        </w:tc>
        <w:tc>
          <w:tcPr>
            <w:tcW w:w="82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84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640" w:type="dxa"/>
            <w:vAlign w:val="bottom"/>
            <w:shd w:val="clear" w:color="auto" w:fill="CCECFF"/>
          </w:tcPr>
          <w:p>
            <w:pPr>
              <w:spacing w:after="0"/>
              <w:rPr>
                <w:sz w:val="11"/>
                <w:szCs w:val="11"/>
                <w:color w:val="auto"/>
              </w:rPr>
            </w:pPr>
          </w:p>
        </w:tc>
        <w:tc>
          <w:tcPr>
            <w:tcW w:w="20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7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960" w:type="dxa"/>
            <w:vAlign w:val="bottom"/>
            <w:gridSpan w:val="2"/>
          </w:tcPr>
          <w:p>
            <w:pPr>
              <w:ind w:left="20"/>
              <w:spacing w:after="0" w:line="95" w:lineRule="exact"/>
              <w:rPr>
                <w:sz w:val="20"/>
                <w:szCs w:val="20"/>
                <w:color w:val="auto"/>
              </w:rPr>
            </w:pPr>
            <w:r>
              <w:rPr>
                <w:rFonts w:ascii="Times New Roman" w:cs="Times New Roman" w:eastAsia="Times New Roman" w:hAnsi="Times New Roman"/>
                <w:sz w:val="10"/>
                <w:szCs w:val="10"/>
                <w:color w:val="auto"/>
              </w:rPr>
              <w:t>Marketplace Events, LLC - Super Priority First Lien Term Loan</w:t>
            </w:r>
          </w:p>
        </w:tc>
        <w:tc>
          <w:tcPr>
            <w:tcW w:w="620" w:type="dxa"/>
            <w:vAlign w:val="bottom"/>
          </w:tcPr>
          <w:p>
            <w:pPr>
              <w:jc w:val="center"/>
              <w:ind w:left="67"/>
              <w:spacing w:after="0" w:line="95" w:lineRule="exact"/>
              <w:rPr>
                <w:sz w:val="20"/>
                <w:szCs w:val="20"/>
                <w:color w:val="auto"/>
              </w:rPr>
            </w:pPr>
            <w:r>
              <w:rPr>
                <w:rFonts w:ascii="Times New Roman" w:cs="Times New Roman" w:eastAsia="Times New Roman" w:hAnsi="Times New Roman"/>
                <w:sz w:val="10"/>
                <w:szCs w:val="10"/>
                <w:color w:val="auto"/>
              </w:rPr>
              <w:t>09/30/2025</w:t>
            </w: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00" w:type="dxa"/>
            <w:vAlign w:val="bottom"/>
          </w:tcPr>
          <w:p>
            <w:pPr>
              <w:jc w:val="center"/>
              <w:spacing w:after="0" w:line="95" w:lineRule="exact"/>
              <w:rPr>
                <w:sz w:val="20"/>
                <w:szCs w:val="20"/>
                <w:color w:val="auto"/>
              </w:rPr>
            </w:pPr>
            <w:r>
              <w:rPr>
                <w:rFonts w:ascii="Times New Roman" w:cs="Times New Roman" w:eastAsia="Times New Roman" w:hAnsi="Times New Roman"/>
                <w:sz w:val="10"/>
                <w:szCs w:val="10"/>
                <w:color w:val="auto"/>
              </w:rPr>
              <w:t>Media: Diversified and Production</w:t>
            </w:r>
          </w:p>
        </w:tc>
        <w:tc>
          <w:tcPr>
            <w:tcW w:w="1200" w:type="dxa"/>
            <w:vAlign w:val="bottom"/>
            <w:gridSpan w:val="3"/>
          </w:tcPr>
          <w:p>
            <w:pPr>
              <w:jc w:val="right"/>
              <w:ind w:right="100"/>
              <w:spacing w:after="0" w:line="95" w:lineRule="exact"/>
              <w:rPr>
                <w:sz w:val="20"/>
                <w:szCs w:val="20"/>
                <w:color w:val="auto"/>
              </w:rPr>
            </w:pPr>
            <w:r>
              <w:rPr>
                <w:rFonts w:ascii="Times New Roman" w:cs="Times New Roman" w:eastAsia="Times New Roman" w:hAnsi="Times New Roman"/>
                <w:sz w:val="10"/>
                <w:szCs w:val="10"/>
                <w:color w:val="auto"/>
              </w:rPr>
              <w:t>8.19 %</w:t>
            </w:r>
          </w:p>
        </w:tc>
        <w:tc>
          <w:tcPr>
            <w:tcW w:w="820" w:type="dxa"/>
            <w:vAlign w:val="bottom"/>
          </w:tcPr>
          <w:p>
            <w:pPr>
              <w:jc w:val="right"/>
              <w:spacing w:after="0" w:line="95" w:lineRule="exact"/>
              <w:rPr>
                <w:sz w:val="20"/>
                <w:szCs w:val="20"/>
                <w:color w:val="auto"/>
              </w:rPr>
            </w:pPr>
            <w:r>
              <w:rPr>
                <w:rFonts w:ascii="Times New Roman" w:cs="Times New Roman" w:eastAsia="Times New Roman" w:hAnsi="Times New Roman"/>
                <w:sz w:val="10"/>
                <w:szCs w:val="10"/>
                <w:color w:val="auto"/>
              </w:rPr>
              <w:t>3M L+525</w:t>
            </w:r>
          </w:p>
        </w:tc>
        <w:tc>
          <w:tcPr>
            <w:tcW w:w="1060" w:type="dxa"/>
            <w:vAlign w:val="bottom"/>
            <w:gridSpan w:val="2"/>
          </w:tcPr>
          <w:p>
            <w:pPr>
              <w:jc w:val="right"/>
              <w:spacing w:after="0" w:line="95" w:lineRule="exact"/>
              <w:rPr>
                <w:sz w:val="20"/>
                <w:szCs w:val="20"/>
                <w:color w:val="auto"/>
              </w:rPr>
            </w:pPr>
            <w:r>
              <w:rPr>
                <w:rFonts w:ascii="Times New Roman" w:cs="Times New Roman" w:eastAsia="Times New Roman" w:hAnsi="Times New Roman"/>
                <w:sz w:val="10"/>
                <w:szCs w:val="10"/>
                <w:color w:val="auto"/>
              </w:rPr>
              <w:t>3,582</w:t>
            </w: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2840" w:type="dxa"/>
            <w:vAlign w:val="bottom"/>
          </w:tcPr>
          <w:p>
            <w:pPr>
              <w:ind w:left="20"/>
              <w:spacing w:after="0"/>
              <w:rPr>
                <w:sz w:val="20"/>
                <w:szCs w:val="20"/>
                <w:color w:val="auto"/>
              </w:rPr>
            </w:pPr>
            <w:r>
              <w:rPr>
                <w:rFonts w:ascii="Times New Roman" w:cs="Times New Roman" w:eastAsia="Times New Roman" w:hAnsi="Times New Roman"/>
                <w:sz w:val="7"/>
                <w:szCs w:val="7"/>
                <w:color w:val="auto"/>
              </w:rPr>
              <w:t>(7)</w:t>
            </w: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12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00" w:type="dxa"/>
            <w:vAlign w:val="bottom"/>
          </w:tcPr>
          <w:p>
            <w:pPr>
              <w:spacing w:after="0"/>
              <w:rPr>
                <w:sz w:val="7"/>
                <w:szCs w:val="7"/>
                <w:color w:val="auto"/>
              </w:rPr>
            </w:pPr>
          </w:p>
        </w:tc>
        <w:tc>
          <w:tcPr>
            <w:tcW w:w="120" w:type="dxa"/>
            <w:vAlign w:val="bottom"/>
          </w:tcPr>
          <w:p>
            <w:pPr>
              <w:spacing w:after="0"/>
              <w:rPr>
                <w:sz w:val="7"/>
                <w:szCs w:val="7"/>
                <w:color w:val="auto"/>
              </w:rPr>
            </w:pPr>
          </w:p>
        </w:tc>
        <w:tc>
          <w:tcPr>
            <w:tcW w:w="8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20" w:type="dxa"/>
            <w:vAlign w:val="bottom"/>
          </w:tcPr>
          <w:p>
            <w:pPr>
              <w:spacing w:after="0"/>
              <w:rPr>
                <w:sz w:val="7"/>
                <w:szCs w:val="7"/>
                <w:color w:val="auto"/>
              </w:rPr>
            </w:pPr>
          </w:p>
        </w:tc>
        <w:tc>
          <w:tcPr>
            <w:tcW w:w="220" w:type="dxa"/>
            <w:vAlign w:val="bottom"/>
          </w:tcPr>
          <w:p>
            <w:pPr>
              <w:spacing w:after="0"/>
              <w:rPr>
                <w:sz w:val="7"/>
                <w:szCs w:val="7"/>
                <w:color w:val="auto"/>
              </w:rPr>
            </w:pPr>
          </w:p>
        </w:tc>
        <w:tc>
          <w:tcPr>
            <w:tcW w:w="840" w:type="dxa"/>
            <w:vAlign w:val="bottom"/>
          </w:tcPr>
          <w:p>
            <w:pPr>
              <w:spacing w:after="0"/>
              <w:rPr>
                <w:sz w:val="7"/>
                <w:szCs w:val="7"/>
                <w:color w:val="auto"/>
              </w:rPr>
            </w:pPr>
          </w:p>
        </w:tc>
        <w:tc>
          <w:tcPr>
            <w:tcW w:w="220" w:type="dxa"/>
            <w:vAlign w:val="bottom"/>
          </w:tcPr>
          <w:p>
            <w:pPr>
              <w:spacing w:after="0"/>
              <w:rPr>
                <w:sz w:val="7"/>
                <w:szCs w:val="7"/>
                <w:color w:val="auto"/>
              </w:rPr>
            </w:pPr>
          </w:p>
        </w:tc>
        <w:tc>
          <w:tcPr>
            <w:tcW w:w="180" w:type="dxa"/>
            <w:vAlign w:val="bottom"/>
          </w:tcPr>
          <w:p>
            <w:pPr>
              <w:spacing w:after="0"/>
              <w:rPr>
                <w:sz w:val="7"/>
                <w:szCs w:val="7"/>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3,582</w:t>
            </w: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3,582</w:t>
            </w: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9"/>
        </w:trPr>
        <w:tc>
          <w:tcPr>
            <w:tcW w:w="28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1"/>
                <w:szCs w:val="11"/>
                <w:color w:val="auto"/>
              </w:rPr>
              <w:t>(PIK 5.25%)</w:t>
            </w:r>
          </w:p>
        </w:tc>
        <w:tc>
          <w:tcPr>
            <w:tcW w:w="820" w:type="dxa"/>
            <w:vAlign w:val="bottom"/>
          </w:tcPr>
          <w:p>
            <w:pPr>
              <w:spacing w:after="0"/>
              <w:rPr>
                <w:sz w:val="5"/>
                <w:szCs w:val="5"/>
                <w:color w:val="auto"/>
              </w:rPr>
            </w:pPr>
          </w:p>
        </w:tc>
        <w:tc>
          <w:tcPr>
            <w:tcW w:w="220" w:type="dxa"/>
            <w:vAlign w:val="bottom"/>
          </w:tcPr>
          <w:p>
            <w:pPr>
              <w:spacing w:after="0"/>
              <w:rPr>
                <w:sz w:val="5"/>
                <w:szCs w:val="5"/>
                <w:color w:val="auto"/>
              </w:rPr>
            </w:pPr>
          </w:p>
        </w:tc>
        <w:tc>
          <w:tcPr>
            <w:tcW w:w="8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3"/>
        </w:trPr>
        <w:tc>
          <w:tcPr>
            <w:tcW w:w="2960" w:type="dxa"/>
            <w:vAlign w:val="bottom"/>
            <w:gridSpan w:val="2"/>
            <w:vMerge w:val="restart"/>
          </w:tcPr>
          <w:p>
            <w:pPr>
              <w:ind w:left="20"/>
              <w:spacing w:after="0"/>
              <w:rPr>
                <w:sz w:val="20"/>
                <w:szCs w:val="20"/>
                <w:color w:val="auto"/>
              </w:rPr>
            </w:pPr>
            <w:r>
              <w:rPr>
                <w:rFonts w:ascii="Times New Roman" w:cs="Times New Roman" w:eastAsia="Times New Roman" w:hAnsi="Times New Roman"/>
                <w:sz w:val="11"/>
                <w:szCs w:val="11"/>
                <w:color w:val="auto"/>
              </w:rPr>
              <w:t xml:space="preserve">Marketplace Events, LLC - Super Priority First Lien </w:t>
            </w:r>
            <w:r>
              <w:rPr>
                <w:rFonts w:ascii="Times New Roman" w:cs="Times New Roman" w:eastAsia="Times New Roman" w:hAnsi="Times New Roman"/>
                <w:sz w:val="14"/>
                <w:szCs w:val="14"/>
                <w:color w:val="auto"/>
                <w:vertAlign w:val="superscript"/>
              </w:rPr>
              <w:t>(7), (9)</w:t>
            </w: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80" w:type="dxa"/>
            <w:vAlign w:val="bottom"/>
            <w:gridSpan w:val="2"/>
            <w:vMerge w:val="continue"/>
          </w:tcPr>
          <w:p>
            <w:pPr>
              <w:spacing w:after="0"/>
              <w:rPr>
                <w:sz w:val="8"/>
                <w:szCs w:val="8"/>
                <w:color w:val="auto"/>
              </w:rPr>
            </w:pPr>
          </w:p>
        </w:tc>
        <w:tc>
          <w:tcPr>
            <w:tcW w:w="8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2960" w:type="dxa"/>
            <w:vAlign w:val="bottom"/>
            <w:gridSpan w:val="2"/>
            <w:vMerge w:val="continue"/>
          </w:tcPr>
          <w:p>
            <w:pPr>
              <w:spacing w:after="0"/>
              <w:rPr>
                <w:sz w:val="11"/>
                <w:szCs w:val="11"/>
                <w:color w:val="auto"/>
              </w:rPr>
            </w:pPr>
          </w:p>
        </w:tc>
        <w:tc>
          <w:tcPr>
            <w:tcW w:w="620" w:type="dxa"/>
            <w:vAlign w:val="bottom"/>
          </w:tcPr>
          <w:p>
            <w:pPr>
              <w:jc w:val="center"/>
              <w:ind w:left="67"/>
              <w:spacing w:after="0"/>
              <w:rPr>
                <w:sz w:val="20"/>
                <w:szCs w:val="20"/>
                <w:color w:val="auto"/>
              </w:rPr>
            </w:pPr>
            <w:r>
              <w:rPr>
                <w:rFonts w:ascii="Times New Roman" w:cs="Times New Roman" w:eastAsia="Times New Roman" w:hAnsi="Times New Roman"/>
                <w:sz w:val="11"/>
                <w:szCs w:val="11"/>
                <w:color w:val="auto"/>
                <w:w w:val="99"/>
              </w:rPr>
              <w:t>09/30/2025</w:t>
            </w: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Media: Diversified and Production</w:t>
            </w:r>
          </w:p>
        </w:tc>
        <w:tc>
          <w:tcPr>
            <w:tcW w:w="120" w:type="dxa"/>
            <w:vAlign w:val="bottom"/>
          </w:tcPr>
          <w:p>
            <w:pPr>
              <w:spacing w:after="0"/>
              <w:rPr>
                <w:sz w:val="11"/>
                <w:szCs w:val="11"/>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3,261</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17"/>
        </w:trPr>
        <w:tc>
          <w:tcPr>
            <w:tcW w:w="2960" w:type="dxa"/>
            <w:vAlign w:val="bottom"/>
            <w:gridSpan w:val="2"/>
          </w:tcPr>
          <w:p>
            <w:pPr>
              <w:ind w:left="20"/>
              <w:spacing w:after="0" w:line="117" w:lineRule="exact"/>
              <w:rPr>
                <w:sz w:val="20"/>
                <w:szCs w:val="20"/>
                <w:color w:val="auto"/>
              </w:rPr>
            </w:pPr>
            <w:r>
              <w:rPr>
                <w:rFonts w:ascii="Times New Roman" w:cs="Times New Roman" w:eastAsia="Times New Roman" w:hAnsi="Times New Roman"/>
                <w:sz w:val="11"/>
                <w:szCs w:val="11"/>
                <w:color w:val="auto"/>
              </w:rPr>
              <w:t>Marketplace Events, LLC</w:t>
            </w:r>
          </w:p>
        </w:tc>
        <w:tc>
          <w:tcPr>
            <w:tcW w:w="620" w:type="dxa"/>
            <w:vAlign w:val="bottom"/>
          </w:tcPr>
          <w:p>
            <w:pPr>
              <w:jc w:val="center"/>
              <w:ind w:left="67"/>
              <w:spacing w:after="0" w:line="117" w:lineRule="exact"/>
              <w:rPr>
                <w:sz w:val="20"/>
                <w:szCs w:val="20"/>
                <w:color w:val="auto"/>
              </w:rPr>
            </w:pPr>
            <w:r>
              <w:rPr>
                <w:rFonts w:ascii="Times New Roman" w:cs="Times New Roman" w:eastAsia="Times New Roman" w:hAnsi="Times New Roman"/>
                <w:sz w:val="11"/>
                <w:szCs w:val="11"/>
                <w:color w:val="auto"/>
                <w:w w:val="99"/>
              </w:rPr>
              <w:t>09/30/2026</w:t>
            </w: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0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color w:val="auto"/>
                <w:w w:val="97"/>
              </w:rPr>
              <w:t>Media: Diversified and Production</w:t>
            </w:r>
          </w:p>
        </w:tc>
        <w:tc>
          <w:tcPr>
            <w:tcW w:w="1200" w:type="dxa"/>
            <w:vAlign w:val="bottom"/>
            <w:gridSpan w:val="3"/>
          </w:tcPr>
          <w:p>
            <w:pPr>
              <w:jc w:val="right"/>
              <w:ind w:right="100"/>
              <w:spacing w:after="0" w:line="117" w:lineRule="exact"/>
              <w:rPr>
                <w:sz w:val="20"/>
                <w:szCs w:val="20"/>
                <w:color w:val="auto"/>
              </w:rPr>
            </w:pPr>
            <w:r>
              <w:rPr>
                <w:rFonts w:ascii="Times New Roman" w:cs="Times New Roman" w:eastAsia="Times New Roman" w:hAnsi="Times New Roman"/>
                <w:sz w:val="11"/>
                <w:szCs w:val="11"/>
                <w:color w:val="auto"/>
              </w:rPr>
              <w:t>8.19 %</w:t>
            </w:r>
          </w:p>
        </w:tc>
        <w:tc>
          <w:tcPr>
            <w:tcW w:w="82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3M L+525</w:t>
            </w:r>
          </w:p>
        </w:tc>
        <w:tc>
          <w:tcPr>
            <w:tcW w:w="106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1"/>
                <w:szCs w:val="11"/>
                <w:color w:val="auto"/>
              </w:rPr>
              <w:t>26,771</w:t>
            </w: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19,518</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26,771</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96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 xml:space="preserve">PennantPark Senior Secured Loan Fund I LLC </w:t>
            </w:r>
            <w:r>
              <w:rPr>
                <w:rFonts w:ascii="Times New Roman" w:cs="Times New Roman" w:eastAsia="Times New Roman" w:hAnsi="Times New Roman"/>
                <w:sz w:val="14"/>
                <w:szCs w:val="14"/>
                <w:color w:val="auto"/>
                <w:vertAlign w:val="superscript"/>
              </w:rPr>
              <w:t>(7), (9), (10)</w:t>
            </w:r>
          </w:p>
        </w:tc>
        <w:tc>
          <w:tcPr>
            <w:tcW w:w="620" w:type="dxa"/>
            <w:vAlign w:val="bottom"/>
          </w:tcPr>
          <w:p>
            <w:pPr>
              <w:jc w:val="center"/>
              <w:ind w:left="67"/>
              <w:spacing w:after="0"/>
              <w:rPr>
                <w:sz w:val="20"/>
                <w:szCs w:val="20"/>
                <w:color w:val="auto"/>
              </w:rPr>
            </w:pPr>
            <w:r>
              <w:rPr>
                <w:rFonts w:ascii="Times New Roman" w:cs="Times New Roman" w:eastAsia="Times New Roman" w:hAnsi="Times New Roman"/>
                <w:sz w:val="11"/>
                <w:szCs w:val="11"/>
                <w:color w:val="auto"/>
                <w:w w:val="99"/>
              </w:rPr>
              <w:t>05/06/2024</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Financial Services</w:t>
            </w:r>
          </w:p>
        </w:tc>
        <w:tc>
          <w:tcPr>
            <w:tcW w:w="1200" w:type="dxa"/>
            <w:vAlign w:val="bottom"/>
            <w:gridSpan w:val="3"/>
          </w:tcPr>
          <w:p>
            <w:pPr>
              <w:jc w:val="right"/>
              <w:ind w:right="100"/>
              <w:spacing w:after="0"/>
              <w:rPr>
                <w:sz w:val="20"/>
                <w:szCs w:val="20"/>
                <w:color w:val="auto"/>
              </w:rPr>
            </w:pPr>
            <w:r>
              <w:rPr>
                <w:rFonts w:ascii="Times New Roman" w:cs="Times New Roman" w:eastAsia="Times New Roman" w:hAnsi="Times New Roman"/>
                <w:sz w:val="11"/>
                <w:szCs w:val="11"/>
                <w:color w:val="auto"/>
              </w:rPr>
              <w:t>10.71 %</w:t>
            </w: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L+800</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190,181</w:t>
            </w:r>
          </w:p>
        </w:tc>
        <w:tc>
          <w:tcPr>
            <w:tcW w:w="2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190,181</w:t>
            </w: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190,182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296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1"/>
                <w:szCs w:val="11"/>
                <w:b w:val="1"/>
                <w:bCs w:val="1"/>
                <w:color w:val="auto"/>
              </w:rPr>
              <w:t>Total First Lien Secured Debt</w:t>
            </w: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213,281</w:t>
            </w:r>
          </w:p>
        </w:tc>
        <w:tc>
          <w:tcPr>
            <w:tcW w:w="2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220,535</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7"/>
        </w:trPr>
        <w:tc>
          <w:tcPr>
            <w:tcW w:w="2960" w:type="dxa"/>
            <w:vAlign w:val="bottom"/>
            <w:gridSpan w:val="2"/>
          </w:tcPr>
          <w:p>
            <w:pPr>
              <w:ind w:left="20"/>
              <w:spacing w:after="0" w:line="97" w:lineRule="exact"/>
              <w:rPr>
                <w:sz w:val="20"/>
                <w:szCs w:val="20"/>
                <w:color w:val="auto"/>
              </w:rPr>
            </w:pPr>
            <w:r>
              <w:rPr>
                <w:rFonts w:ascii="Times New Roman" w:cs="Times New Roman" w:eastAsia="Times New Roman" w:hAnsi="Times New Roman"/>
                <w:sz w:val="11"/>
                <w:szCs w:val="11"/>
                <w:b w:val="1"/>
                <w:bCs w:val="1"/>
                <w:color w:val="auto"/>
              </w:rPr>
              <w:t>Equity Interests—9.6%</w:t>
            </w: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296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New MPE Holdings, LLC (Marketplace Events, LLC) </w:t>
            </w:r>
            <w:r>
              <w:rPr>
                <w:rFonts w:ascii="Times New Roman" w:cs="Times New Roman" w:eastAsia="Times New Roman" w:hAnsi="Times New Roman"/>
                <w:sz w:val="14"/>
                <w:szCs w:val="14"/>
                <w:color w:val="auto"/>
                <w:vertAlign w:val="superscript"/>
              </w:rPr>
              <w:t>(7),(8)</w:t>
            </w:r>
          </w:p>
        </w:tc>
        <w:tc>
          <w:tcPr>
            <w:tcW w:w="620" w:type="dxa"/>
            <w:vAlign w:val="bottom"/>
          </w:tcPr>
          <w:p>
            <w:pPr>
              <w:spacing w:after="0"/>
              <w:rPr>
                <w:sz w:val="11"/>
                <w:szCs w:val="11"/>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1"/>
                <w:szCs w:val="11"/>
                <w:color w:val="auto"/>
                <w:w w:val="90"/>
              </w:rPr>
              <w:t>—</w:t>
            </w:r>
          </w:p>
        </w:tc>
        <w:tc>
          <w:tcPr>
            <w:tcW w:w="280" w:type="dxa"/>
            <w:vAlign w:val="bottom"/>
          </w:tcPr>
          <w:p>
            <w:pPr>
              <w:spacing w:after="0"/>
              <w:rPr>
                <w:sz w:val="11"/>
                <w:szCs w:val="11"/>
                <w:color w:val="auto"/>
              </w:rPr>
            </w:pPr>
          </w:p>
        </w:tc>
        <w:tc>
          <w:tcPr>
            <w:tcW w:w="20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Media: Diversified and Production</w:t>
            </w:r>
          </w:p>
        </w:tc>
        <w:tc>
          <w:tcPr>
            <w:tcW w:w="120" w:type="dxa"/>
            <w:vAlign w:val="bottom"/>
          </w:tcPr>
          <w:p>
            <w:pPr>
              <w:spacing w:after="0"/>
              <w:rPr>
                <w:sz w:val="11"/>
                <w:szCs w:val="11"/>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349</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1,036</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96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 xml:space="preserve">PennantPark Senior Secured Loan Fund I LLC </w:t>
            </w:r>
            <w:r>
              <w:rPr>
                <w:rFonts w:ascii="Times New Roman" w:cs="Times New Roman" w:eastAsia="Times New Roman" w:hAnsi="Times New Roman"/>
                <w:sz w:val="14"/>
                <w:szCs w:val="14"/>
                <w:color w:val="auto"/>
                <w:vertAlign w:val="superscript"/>
              </w:rPr>
              <w:t>(7), (9), (10)</w:t>
            </w:r>
          </w:p>
        </w:tc>
        <w:tc>
          <w:tcPr>
            <w:tcW w:w="620" w:type="dxa"/>
            <w:vAlign w:val="bottom"/>
          </w:tcPr>
          <w:p>
            <w:pPr>
              <w:spacing w:after="0"/>
              <w:rPr>
                <w:sz w:val="14"/>
                <w:szCs w:val="14"/>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1"/>
                <w:szCs w:val="11"/>
                <w:color w:val="auto"/>
                <w:w w:val="90"/>
              </w:rPr>
              <w:t>—</w:t>
            </w:r>
          </w:p>
        </w:tc>
        <w:tc>
          <w:tcPr>
            <w:tcW w:w="280" w:type="dxa"/>
            <w:vAlign w:val="bottom"/>
          </w:tcPr>
          <w:p>
            <w:pPr>
              <w:spacing w:after="0"/>
              <w:rPr>
                <w:sz w:val="14"/>
                <w:szCs w:val="14"/>
                <w:color w:val="auto"/>
              </w:rPr>
            </w:pPr>
          </w:p>
        </w:tc>
        <w:tc>
          <w:tcPr>
            <w:tcW w:w="20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Financial Services</w:t>
            </w:r>
          </w:p>
        </w:tc>
        <w:tc>
          <w:tcPr>
            <w:tcW w:w="120" w:type="dxa"/>
            <w:vAlign w:val="bottom"/>
          </w:tcPr>
          <w:p>
            <w:pPr>
              <w:spacing w:after="0"/>
              <w:rPr>
                <w:sz w:val="14"/>
                <w:szCs w:val="14"/>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81,506</w:t>
            </w:r>
          </w:p>
        </w:tc>
        <w:tc>
          <w:tcPr>
            <w:tcW w:w="2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81,506</w:t>
            </w: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49,434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296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1"/>
                <w:szCs w:val="11"/>
                <w:b w:val="1"/>
                <w:bCs w:val="1"/>
                <w:color w:val="auto"/>
              </w:rPr>
              <w:t>Total Equity Interests</w:t>
            </w: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81,506</w:t>
            </w:r>
          </w:p>
        </w:tc>
        <w:tc>
          <w:tcPr>
            <w:tcW w:w="2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50,470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960" w:type="dxa"/>
            <w:vAlign w:val="bottom"/>
            <w:tcBorders>
              <w:bottom w:val="single" w:sz="8" w:color="CCECFF"/>
            </w:tcBorders>
            <w:gridSpan w:val="2"/>
            <w:shd w:val="clear" w:color="auto" w:fill="CCECFF"/>
          </w:tcPr>
          <w:p>
            <w:pPr>
              <w:ind w:left="20"/>
              <w:spacing w:after="0"/>
              <w:rPr>
                <w:sz w:val="20"/>
                <w:szCs w:val="20"/>
                <w:color w:val="auto"/>
              </w:rPr>
            </w:pPr>
            <w:r>
              <w:rPr>
                <w:rFonts w:ascii="Times New Roman" w:cs="Times New Roman" w:eastAsia="Times New Roman" w:hAnsi="Times New Roman"/>
                <w:sz w:val="11"/>
                <w:szCs w:val="11"/>
                <w:b w:val="1"/>
                <w:bCs w:val="1"/>
                <w:color w:val="auto"/>
                <w:w w:val="97"/>
              </w:rPr>
              <w:t>Total Investments in Controlled, Affiliated Portfolio Companies</w:t>
            </w:r>
          </w:p>
        </w:tc>
        <w:tc>
          <w:tcPr>
            <w:tcW w:w="620" w:type="dxa"/>
            <w:vAlign w:val="bottom"/>
            <w:tcBorders>
              <w:bottom w:val="single" w:sz="8" w:color="CCECFF"/>
            </w:tcBorders>
            <w:shd w:val="clear" w:color="auto" w:fill="CCECFF"/>
          </w:tcPr>
          <w:p>
            <w:pPr>
              <w:spacing w:after="0"/>
              <w:rPr>
                <w:sz w:val="11"/>
                <w:szCs w:val="11"/>
                <w:color w:val="auto"/>
              </w:rPr>
            </w:pPr>
          </w:p>
        </w:tc>
        <w:tc>
          <w:tcPr>
            <w:tcW w:w="120" w:type="dxa"/>
            <w:vAlign w:val="bottom"/>
            <w:tcBorders>
              <w:bottom w:val="single" w:sz="8" w:color="CCECFF"/>
            </w:tcBorders>
            <w:shd w:val="clear" w:color="auto" w:fill="CCECFF"/>
          </w:tcPr>
          <w:p>
            <w:pPr>
              <w:spacing w:after="0"/>
              <w:rPr>
                <w:sz w:val="11"/>
                <w:szCs w:val="11"/>
                <w:color w:val="auto"/>
              </w:rPr>
            </w:pPr>
          </w:p>
        </w:tc>
        <w:tc>
          <w:tcPr>
            <w:tcW w:w="280" w:type="dxa"/>
            <w:vAlign w:val="bottom"/>
            <w:tcBorders>
              <w:bottom w:val="single" w:sz="8" w:color="CCECFF"/>
            </w:tcBorders>
            <w:shd w:val="clear" w:color="auto" w:fill="CCECFF"/>
          </w:tcPr>
          <w:p>
            <w:pPr>
              <w:spacing w:after="0"/>
              <w:rPr>
                <w:sz w:val="11"/>
                <w:szCs w:val="11"/>
                <w:color w:val="auto"/>
              </w:rPr>
            </w:pPr>
          </w:p>
        </w:tc>
        <w:tc>
          <w:tcPr>
            <w:tcW w:w="2000" w:type="dxa"/>
            <w:vAlign w:val="bottom"/>
            <w:tcBorders>
              <w:bottom w:val="single" w:sz="8" w:color="CCECFF"/>
            </w:tcBorders>
            <w:shd w:val="clear" w:color="auto" w:fill="CCECFF"/>
          </w:tcPr>
          <w:p>
            <w:pPr>
              <w:spacing w:after="0"/>
              <w:rPr>
                <w:sz w:val="11"/>
                <w:szCs w:val="11"/>
                <w:color w:val="auto"/>
              </w:rPr>
            </w:pPr>
          </w:p>
        </w:tc>
        <w:tc>
          <w:tcPr>
            <w:tcW w:w="120" w:type="dxa"/>
            <w:vAlign w:val="bottom"/>
            <w:tcBorders>
              <w:bottom w:val="single" w:sz="8" w:color="CCECFF"/>
            </w:tcBorders>
            <w:shd w:val="clear" w:color="auto" w:fill="CCECFF"/>
          </w:tcPr>
          <w:p>
            <w:pPr>
              <w:spacing w:after="0"/>
              <w:rPr>
                <w:sz w:val="11"/>
                <w:szCs w:val="11"/>
                <w:color w:val="auto"/>
              </w:rPr>
            </w:pPr>
          </w:p>
        </w:tc>
        <w:tc>
          <w:tcPr>
            <w:tcW w:w="880" w:type="dxa"/>
            <w:vAlign w:val="bottom"/>
            <w:tcBorders>
              <w:bottom w:val="single" w:sz="8" w:color="CCECFF"/>
            </w:tcBorders>
            <w:shd w:val="clear" w:color="auto" w:fill="CCECFF"/>
          </w:tcPr>
          <w:p>
            <w:pPr>
              <w:spacing w:after="0"/>
              <w:rPr>
                <w:sz w:val="11"/>
                <w:szCs w:val="11"/>
                <w:color w:val="auto"/>
              </w:rPr>
            </w:pPr>
          </w:p>
        </w:tc>
        <w:tc>
          <w:tcPr>
            <w:tcW w:w="200" w:type="dxa"/>
            <w:vAlign w:val="bottom"/>
            <w:tcBorders>
              <w:bottom w:val="single" w:sz="8" w:color="CCECFF"/>
            </w:tcBorders>
            <w:shd w:val="clear" w:color="auto" w:fill="CCECFF"/>
          </w:tcPr>
          <w:p>
            <w:pPr>
              <w:spacing w:after="0"/>
              <w:rPr>
                <w:sz w:val="11"/>
                <w:szCs w:val="11"/>
                <w:color w:val="auto"/>
              </w:rPr>
            </w:pPr>
          </w:p>
        </w:tc>
        <w:tc>
          <w:tcPr>
            <w:tcW w:w="820" w:type="dxa"/>
            <w:vAlign w:val="bottom"/>
            <w:tcBorders>
              <w:bottom w:val="single" w:sz="8" w:color="CCECFF"/>
            </w:tcBorders>
            <w:shd w:val="clear" w:color="auto" w:fill="CCECFF"/>
          </w:tcPr>
          <w:p>
            <w:pPr>
              <w:spacing w:after="0"/>
              <w:rPr>
                <w:sz w:val="11"/>
                <w:szCs w:val="11"/>
                <w:color w:val="auto"/>
              </w:rPr>
            </w:pPr>
          </w:p>
        </w:tc>
        <w:tc>
          <w:tcPr>
            <w:tcW w:w="220" w:type="dxa"/>
            <w:vAlign w:val="bottom"/>
            <w:tcBorders>
              <w:bottom w:val="single" w:sz="8" w:color="CCECFF"/>
            </w:tcBorders>
            <w:shd w:val="clear" w:color="auto" w:fill="CCECFF"/>
          </w:tcPr>
          <w:p>
            <w:pPr>
              <w:spacing w:after="0"/>
              <w:rPr>
                <w:sz w:val="11"/>
                <w:szCs w:val="11"/>
                <w:color w:val="auto"/>
              </w:rPr>
            </w:pPr>
          </w:p>
        </w:tc>
        <w:tc>
          <w:tcPr>
            <w:tcW w:w="840" w:type="dxa"/>
            <w:vAlign w:val="bottom"/>
            <w:tcBorders>
              <w:bottom w:val="single" w:sz="8" w:color="CCECFF"/>
            </w:tcBorders>
            <w:shd w:val="clear" w:color="auto" w:fill="CCECFF"/>
          </w:tcPr>
          <w:p>
            <w:pPr>
              <w:spacing w:after="0"/>
              <w:rPr>
                <w:sz w:val="11"/>
                <w:szCs w:val="11"/>
                <w:color w:val="auto"/>
              </w:rPr>
            </w:pPr>
          </w:p>
        </w:tc>
        <w:tc>
          <w:tcPr>
            <w:tcW w:w="220" w:type="dxa"/>
            <w:vAlign w:val="bottom"/>
            <w:tcBorders>
              <w:bottom w:val="single" w:sz="8" w:color="CCECFF"/>
            </w:tcBorders>
            <w:shd w:val="clear" w:color="auto" w:fill="CCECFF"/>
          </w:tcPr>
          <w:p>
            <w:pPr>
              <w:spacing w:after="0"/>
              <w:rPr>
                <w:sz w:val="11"/>
                <w:szCs w:val="11"/>
                <w:color w:val="auto"/>
              </w:rPr>
            </w:pPr>
          </w:p>
        </w:tc>
        <w:tc>
          <w:tcPr>
            <w:tcW w:w="180" w:type="dxa"/>
            <w:vAlign w:val="bottom"/>
            <w:tcBorders>
              <w:bottom w:val="single" w:sz="8" w:color="auto"/>
            </w:tcBorders>
            <w:shd w:val="clear" w:color="auto" w:fill="CCECFF"/>
          </w:tcPr>
          <w:p>
            <w:pPr>
              <w:spacing w:after="0"/>
              <w:rPr>
                <w:sz w:val="11"/>
                <w:szCs w:val="11"/>
                <w:color w:val="auto"/>
              </w:rPr>
            </w:pPr>
          </w:p>
        </w:tc>
        <w:tc>
          <w:tcPr>
            <w:tcW w:w="6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294,787</w:t>
            </w:r>
          </w:p>
        </w:tc>
        <w:tc>
          <w:tcPr>
            <w:tcW w:w="200" w:type="dxa"/>
            <w:vAlign w:val="bottom"/>
            <w:tcBorders>
              <w:bottom w:val="single" w:sz="8" w:color="CCECFF"/>
            </w:tcBorders>
            <w:shd w:val="clear" w:color="auto" w:fill="CCECFF"/>
          </w:tcPr>
          <w:p>
            <w:pPr>
              <w:spacing w:after="0"/>
              <w:rPr>
                <w:sz w:val="11"/>
                <w:szCs w:val="11"/>
                <w:color w:val="auto"/>
              </w:rPr>
            </w:pPr>
          </w:p>
        </w:tc>
        <w:tc>
          <w:tcPr>
            <w:tcW w:w="100" w:type="dxa"/>
            <w:vAlign w:val="bottom"/>
            <w:tcBorders>
              <w:bottom w:val="single" w:sz="8" w:color="auto"/>
            </w:tcBorders>
            <w:shd w:val="clear" w:color="auto" w:fill="CCECFF"/>
          </w:tcPr>
          <w:p>
            <w:pPr>
              <w:spacing w:after="0"/>
              <w:rPr>
                <w:sz w:val="11"/>
                <w:szCs w:val="11"/>
                <w:color w:val="auto"/>
              </w:rPr>
            </w:pPr>
          </w:p>
        </w:tc>
        <w:tc>
          <w:tcPr>
            <w:tcW w:w="7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271,005</w:t>
            </w:r>
          </w:p>
        </w:tc>
        <w:tc>
          <w:tcPr>
            <w:tcW w:w="100" w:type="dxa"/>
            <w:vAlign w:val="bottom"/>
            <w:tcBorders>
              <w:bottom w:val="single" w:sz="8" w:color="CCECFF"/>
            </w:tcBorders>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96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Total Investments—220.9%</w:t>
            </w: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1,177,357</w:t>
            </w:r>
          </w:p>
        </w:tc>
        <w:tc>
          <w:tcPr>
            <w:tcW w:w="2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1,164,254</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960" w:type="dxa"/>
            <w:vAlign w:val="bottom"/>
            <w:gridSpan w:val="2"/>
            <w:shd w:val="clear" w:color="auto" w:fill="CCECFF"/>
          </w:tcPr>
          <w:p>
            <w:pPr>
              <w:ind w:left="20"/>
              <w:spacing w:after="0"/>
              <w:rPr>
                <w:sz w:val="20"/>
                <w:szCs w:val="20"/>
                <w:color w:val="auto"/>
              </w:rPr>
            </w:pPr>
            <w:r>
              <w:rPr>
                <w:rFonts w:ascii="Times New Roman" w:cs="Times New Roman" w:eastAsia="Times New Roman" w:hAnsi="Times New Roman"/>
                <w:sz w:val="11"/>
                <w:szCs w:val="11"/>
                <w:b w:val="1"/>
                <w:bCs w:val="1"/>
                <w:color w:val="auto"/>
              </w:rPr>
              <w:t>Cash and Cash Equivalents—9.1%</w:t>
            </w:r>
          </w:p>
        </w:tc>
        <w:tc>
          <w:tcPr>
            <w:tcW w:w="6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280" w:type="dxa"/>
            <w:vAlign w:val="bottom"/>
            <w:shd w:val="clear" w:color="auto" w:fill="CCECFF"/>
          </w:tcPr>
          <w:p>
            <w:pPr>
              <w:spacing w:after="0"/>
              <w:rPr>
                <w:sz w:val="11"/>
                <w:szCs w:val="11"/>
                <w:color w:val="auto"/>
              </w:rPr>
            </w:pPr>
          </w:p>
        </w:tc>
        <w:tc>
          <w:tcPr>
            <w:tcW w:w="200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880" w:type="dxa"/>
            <w:vAlign w:val="bottom"/>
            <w:shd w:val="clear" w:color="auto" w:fill="CCECFF"/>
          </w:tcPr>
          <w:p>
            <w:pPr>
              <w:spacing w:after="0"/>
              <w:rPr>
                <w:sz w:val="11"/>
                <w:szCs w:val="11"/>
                <w:color w:val="auto"/>
              </w:rPr>
            </w:pPr>
          </w:p>
        </w:tc>
        <w:tc>
          <w:tcPr>
            <w:tcW w:w="200" w:type="dxa"/>
            <w:vAlign w:val="bottom"/>
            <w:shd w:val="clear" w:color="auto" w:fill="CCECFF"/>
          </w:tcPr>
          <w:p>
            <w:pPr>
              <w:spacing w:after="0"/>
              <w:rPr>
                <w:sz w:val="11"/>
                <w:szCs w:val="11"/>
                <w:color w:val="auto"/>
              </w:rPr>
            </w:pPr>
          </w:p>
        </w:tc>
        <w:tc>
          <w:tcPr>
            <w:tcW w:w="82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84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640" w:type="dxa"/>
            <w:vAlign w:val="bottom"/>
            <w:shd w:val="clear" w:color="auto" w:fill="CCECFF"/>
          </w:tcPr>
          <w:p>
            <w:pPr>
              <w:spacing w:after="0"/>
              <w:rPr>
                <w:sz w:val="11"/>
                <w:szCs w:val="11"/>
                <w:color w:val="auto"/>
              </w:rPr>
            </w:pPr>
          </w:p>
        </w:tc>
        <w:tc>
          <w:tcPr>
            <w:tcW w:w="20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7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6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BlackRock Federal FD Institutional 30</w:t>
            </w: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38,209</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38,209</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60" w:type="dxa"/>
            <w:vAlign w:val="bottom"/>
            <w:tcBorders>
              <w:bottom w:val="single" w:sz="8" w:color="CCECFF"/>
            </w:tcBorders>
            <w:gridSpan w:val="2"/>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BNY Mellon Cash</w:t>
            </w:r>
          </w:p>
        </w:tc>
        <w:tc>
          <w:tcPr>
            <w:tcW w:w="620" w:type="dxa"/>
            <w:vAlign w:val="bottom"/>
            <w:tcBorders>
              <w:bottom w:val="single" w:sz="8" w:color="CCECFF"/>
            </w:tcBorders>
            <w:shd w:val="clear" w:color="auto" w:fill="CCECFF"/>
          </w:tcPr>
          <w:p>
            <w:pPr>
              <w:spacing w:after="0"/>
              <w:rPr>
                <w:sz w:val="11"/>
                <w:szCs w:val="11"/>
                <w:color w:val="auto"/>
              </w:rPr>
            </w:pPr>
          </w:p>
        </w:tc>
        <w:tc>
          <w:tcPr>
            <w:tcW w:w="120" w:type="dxa"/>
            <w:vAlign w:val="bottom"/>
            <w:tcBorders>
              <w:bottom w:val="single" w:sz="8" w:color="CCECFF"/>
            </w:tcBorders>
            <w:shd w:val="clear" w:color="auto" w:fill="CCECFF"/>
          </w:tcPr>
          <w:p>
            <w:pPr>
              <w:spacing w:after="0"/>
              <w:rPr>
                <w:sz w:val="11"/>
                <w:szCs w:val="11"/>
                <w:color w:val="auto"/>
              </w:rPr>
            </w:pPr>
          </w:p>
        </w:tc>
        <w:tc>
          <w:tcPr>
            <w:tcW w:w="280" w:type="dxa"/>
            <w:vAlign w:val="bottom"/>
            <w:tcBorders>
              <w:bottom w:val="single" w:sz="8" w:color="CCECFF"/>
            </w:tcBorders>
            <w:shd w:val="clear" w:color="auto" w:fill="CCECFF"/>
          </w:tcPr>
          <w:p>
            <w:pPr>
              <w:spacing w:after="0"/>
              <w:rPr>
                <w:sz w:val="11"/>
                <w:szCs w:val="11"/>
                <w:color w:val="auto"/>
              </w:rPr>
            </w:pPr>
          </w:p>
        </w:tc>
        <w:tc>
          <w:tcPr>
            <w:tcW w:w="2000" w:type="dxa"/>
            <w:vAlign w:val="bottom"/>
            <w:tcBorders>
              <w:bottom w:val="single" w:sz="8" w:color="CCECFF"/>
            </w:tcBorders>
            <w:shd w:val="clear" w:color="auto" w:fill="CCECFF"/>
          </w:tcPr>
          <w:p>
            <w:pPr>
              <w:spacing w:after="0"/>
              <w:rPr>
                <w:sz w:val="11"/>
                <w:szCs w:val="11"/>
                <w:color w:val="auto"/>
              </w:rPr>
            </w:pPr>
          </w:p>
        </w:tc>
        <w:tc>
          <w:tcPr>
            <w:tcW w:w="120" w:type="dxa"/>
            <w:vAlign w:val="bottom"/>
            <w:tcBorders>
              <w:bottom w:val="single" w:sz="8" w:color="CCECFF"/>
            </w:tcBorders>
            <w:shd w:val="clear" w:color="auto" w:fill="CCECFF"/>
          </w:tcPr>
          <w:p>
            <w:pPr>
              <w:spacing w:after="0"/>
              <w:rPr>
                <w:sz w:val="11"/>
                <w:szCs w:val="11"/>
                <w:color w:val="auto"/>
              </w:rPr>
            </w:pPr>
          </w:p>
        </w:tc>
        <w:tc>
          <w:tcPr>
            <w:tcW w:w="880" w:type="dxa"/>
            <w:vAlign w:val="bottom"/>
            <w:tcBorders>
              <w:bottom w:val="single" w:sz="8" w:color="CCECFF"/>
            </w:tcBorders>
            <w:shd w:val="clear" w:color="auto" w:fill="CCECFF"/>
          </w:tcPr>
          <w:p>
            <w:pPr>
              <w:spacing w:after="0"/>
              <w:rPr>
                <w:sz w:val="11"/>
                <w:szCs w:val="11"/>
                <w:color w:val="auto"/>
              </w:rPr>
            </w:pPr>
          </w:p>
        </w:tc>
        <w:tc>
          <w:tcPr>
            <w:tcW w:w="200" w:type="dxa"/>
            <w:vAlign w:val="bottom"/>
            <w:tcBorders>
              <w:bottom w:val="single" w:sz="8" w:color="CCECFF"/>
            </w:tcBorders>
            <w:shd w:val="clear" w:color="auto" w:fill="CCECFF"/>
          </w:tcPr>
          <w:p>
            <w:pPr>
              <w:spacing w:after="0"/>
              <w:rPr>
                <w:sz w:val="11"/>
                <w:szCs w:val="11"/>
                <w:color w:val="auto"/>
              </w:rPr>
            </w:pPr>
          </w:p>
        </w:tc>
        <w:tc>
          <w:tcPr>
            <w:tcW w:w="820" w:type="dxa"/>
            <w:vAlign w:val="bottom"/>
            <w:tcBorders>
              <w:bottom w:val="single" w:sz="8" w:color="CCECFF"/>
            </w:tcBorders>
            <w:shd w:val="clear" w:color="auto" w:fill="CCECFF"/>
          </w:tcPr>
          <w:p>
            <w:pPr>
              <w:spacing w:after="0"/>
              <w:rPr>
                <w:sz w:val="11"/>
                <w:szCs w:val="11"/>
                <w:color w:val="auto"/>
              </w:rPr>
            </w:pPr>
          </w:p>
        </w:tc>
        <w:tc>
          <w:tcPr>
            <w:tcW w:w="220" w:type="dxa"/>
            <w:vAlign w:val="bottom"/>
            <w:tcBorders>
              <w:bottom w:val="single" w:sz="8" w:color="CCECFF"/>
            </w:tcBorders>
            <w:shd w:val="clear" w:color="auto" w:fill="CCECFF"/>
          </w:tcPr>
          <w:p>
            <w:pPr>
              <w:spacing w:after="0"/>
              <w:rPr>
                <w:sz w:val="11"/>
                <w:szCs w:val="11"/>
                <w:color w:val="auto"/>
              </w:rPr>
            </w:pPr>
          </w:p>
        </w:tc>
        <w:tc>
          <w:tcPr>
            <w:tcW w:w="840" w:type="dxa"/>
            <w:vAlign w:val="bottom"/>
            <w:tcBorders>
              <w:bottom w:val="single" w:sz="8" w:color="CCECFF"/>
            </w:tcBorders>
            <w:shd w:val="clear" w:color="auto" w:fill="CCECFF"/>
          </w:tcPr>
          <w:p>
            <w:pPr>
              <w:spacing w:after="0"/>
              <w:rPr>
                <w:sz w:val="11"/>
                <w:szCs w:val="11"/>
                <w:color w:val="auto"/>
              </w:rPr>
            </w:pPr>
          </w:p>
        </w:tc>
        <w:tc>
          <w:tcPr>
            <w:tcW w:w="220" w:type="dxa"/>
            <w:vAlign w:val="bottom"/>
            <w:tcBorders>
              <w:bottom w:val="single" w:sz="8" w:color="CCECFF"/>
            </w:tcBorders>
            <w:shd w:val="clear" w:color="auto" w:fill="CCECFF"/>
          </w:tcPr>
          <w:p>
            <w:pPr>
              <w:spacing w:after="0"/>
              <w:rPr>
                <w:sz w:val="11"/>
                <w:szCs w:val="11"/>
                <w:color w:val="auto"/>
              </w:rPr>
            </w:pPr>
          </w:p>
        </w:tc>
        <w:tc>
          <w:tcPr>
            <w:tcW w:w="180" w:type="dxa"/>
            <w:vAlign w:val="bottom"/>
            <w:tcBorders>
              <w:bottom w:val="single" w:sz="8" w:color="auto"/>
            </w:tcBorders>
            <w:shd w:val="clear" w:color="auto" w:fill="CCECFF"/>
          </w:tcPr>
          <w:p>
            <w:pPr>
              <w:spacing w:after="0"/>
              <w:rPr>
                <w:sz w:val="11"/>
                <w:szCs w:val="11"/>
                <w:color w:val="auto"/>
              </w:rPr>
            </w:pPr>
          </w:p>
        </w:tc>
        <w:tc>
          <w:tcPr>
            <w:tcW w:w="6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9,707</w:t>
            </w:r>
          </w:p>
        </w:tc>
        <w:tc>
          <w:tcPr>
            <w:tcW w:w="200" w:type="dxa"/>
            <w:vAlign w:val="bottom"/>
            <w:tcBorders>
              <w:bottom w:val="single" w:sz="8" w:color="CCECFF"/>
            </w:tcBorders>
            <w:shd w:val="clear" w:color="auto" w:fill="CCECFF"/>
          </w:tcPr>
          <w:p>
            <w:pPr>
              <w:spacing w:after="0"/>
              <w:rPr>
                <w:sz w:val="11"/>
                <w:szCs w:val="11"/>
                <w:color w:val="auto"/>
              </w:rPr>
            </w:pPr>
          </w:p>
        </w:tc>
        <w:tc>
          <w:tcPr>
            <w:tcW w:w="100" w:type="dxa"/>
            <w:vAlign w:val="bottom"/>
            <w:tcBorders>
              <w:bottom w:val="single" w:sz="8" w:color="auto"/>
            </w:tcBorders>
            <w:shd w:val="clear" w:color="auto" w:fill="CCECFF"/>
          </w:tcPr>
          <w:p>
            <w:pPr>
              <w:spacing w:after="0"/>
              <w:rPr>
                <w:sz w:val="11"/>
                <w:szCs w:val="11"/>
                <w:color w:val="auto"/>
              </w:rPr>
            </w:pPr>
          </w:p>
        </w:tc>
        <w:tc>
          <w:tcPr>
            <w:tcW w:w="7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9,671</w:t>
            </w:r>
          </w:p>
        </w:tc>
        <w:tc>
          <w:tcPr>
            <w:tcW w:w="100" w:type="dxa"/>
            <w:vAlign w:val="bottom"/>
            <w:tcBorders>
              <w:bottom w:val="single" w:sz="8" w:color="CCECFF"/>
            </w:tcBorders>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96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Total Cash and Cash Equivalents</w:t>
            </w: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47,916</w:t>
            </w:r>
          </w:p>
        </w:tc>
        <w:tc>
          <w:tcPr>
            <w:tcW w:w="2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47,880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960" w:type="dxa"/>
            <w:vAlign w:val="bottom"/>
            <w:tcBorders>
              <w:bottom w:val="single" w:sz="8" w:color="CCECFF"/>
            </w:tcBorders>
            <w:gridSpan w:val="2"/>
            <w:shd w:val="clear" w:color="auto" w:fill="CCECFF"/>
          </w:tcPr>
          <w:p>
            <w:pPr>
              <w:ind w:left="20"/>
              <w:spacing w:after="0"/>
              <w:rPr>
                <w:sz w:val="20"/>
                <w:szCs w:val="20"/>
                <w:color w:val="auto"/>
              </w:rPr>
            </w:pPr>
            <w:r>
              <w:rPr>
                <w:rFonts w:ascii="Times New Roman" w:cs="Times New Roman" w:eastAsia="Times New Roman" w:hAnsi="Times New Roman"/>
                <w:sz w:val="11"/>
                <w:szCs w:val="11"/>
                <w:b w:val="1"/>
                <w:bCs w:val="1"/>
                <w:color w:val="auto"/>
              </w:rPr>
              <w:t>Total Investments and Cash Equivalents—230.0%</w:t>
            </w:r>
          </w:p>
        </w:tc>
        <w:tc>
          <w:tcPr>
            <w:tcW w:w="620" w:type="dxa"/>
            <w:vAlign w:val="bottom"/>
            <w:tcBorders>
              <w:bottom w:val="single" w:sz="8" w:color="CCECFF"/>
            </w:tcBorders>
            <w:shd w:val="clear" w:color="auto" w:fill="CCECFF"/>
          </w:tcPr>
          <w:p>
            <w:pPr>
              <w:spacing w:after="0"/>
              <w:rPr>
                <w:sz w:val="14"/>
                <w:szCs w:val="14"/>
                <w:color w:val="auto"/>
              </w:rPr>
            </w:pPr>
          </w:p>
        </w:tc>
        <w:tc>
          <w:tcPr>
            <w:tcW w:w="120" w:type="dxa"/>
            <w:vAlign w:val="bottom"/>
            <w:tcBorders>
              <w:bottom w:val="single" w:sz="8" w:color="CCECFF"/>
            </w:tcBorders>
            <w:shd w:val="clear" w:color="auto" w:fill="CCECFF"/>
          </w:tcPr>
          <w:p>
            <w:pPr>
              <w:spacing w:after="0"/>
              <w:rPr>
                <w:sz w:val="14"/>
                <w:szCs w:val="14"/>
                <w:color w:val="auto"/>
              </w:rPr>
            </w:pPr>
          </w:p>
        </w:tc>
        <w:tc>
          <w:tcPr>
            <w:tcW w:w="280" w:type="dxa"/>
            <w:vAlign w:val="bottom"/>
            <w:tcBorders>
              <w:bottom w:val="single" w:sz="8" w:color="CCECFF"/>
            </w:tcBorders>
            <w:shd w:val="clear" w:color="auto" w:fill="CCECFF"/>
          </w:tcPr>
          <w:p>
            <w:pPr>
              <w:spacing w:after="0"/>
              <w:rPr>
                <w:sz w:val="14"/>
                <w:szCs w:val="14"/>
                <w:color w:val="auto"/>
              </w:rPr>
            </w:pPr>
          </w:p>
        </w:tc>
        <w:tc>
          <w:tcPr>
            <w:tcW w:w="2000" w:type="dxa"/>
            <w:vAlign w:val="bottom"/>
            <w:tcBorders>
              <w:bottom w:val="single" w:sz="8" w:color="CCECFF"/>
            </w:tcBorders>
            <w:shd w:val="clear" w:color="auto" w:fill="CCECFF"/>
          </w:tcPr>
          <w:p>
            <w:pPr>
              <w:spacing w:after="0"/>
              <w:rPr>
                <w:sz w:val="14"/>
                <w:szCs w:val="14"/>
                <w:color w:val="auto"/>
              </w:rPr>
            </w:pPr>
          </w:p>
        </w:tc>
        <w:tc>
          <w:tcPr>
            <w:tcW w:w="120" w:type="dxa"/>
            <w:vAlign w:val="bottom"/>
            <w:tcBorders>
              <w:bottom w:val="single" w:sz="8" w:color="CCECFF"/>
            </w:tcBorders>
            <w:shd w:val="clear" w:color="auto" w:fill="CCECFF"/>
          </w:tcPr>
          <w:p>
            <w:pPr>
              <w:spacing w:after="0"/>
              <w:rPr>
                <w:sz w:val="14"/>
                <w:szCs w:val="14"/>
                <w:color w:val="auto"/>
              </w:rPr>
            </w:pPr>
          </w:p>
        </w:tc>
        <w:tc>
          <w:tcPr>
            <w:tcW w:w="880" w:type="dxa"/>
            <w:vAlign w:val="bottom"/>
            <w:tcBorders>
              <w:bottom w:val="single" w:sz="8" w:color="CCECFF"/>
            </w:tcBorders>
            <w:shd w:val="clear" w:color="auto" w:fill="CCECFF"/>
          </w:tcPr>
          <w:p>
            <w:pPr>
              <w:spacing w:after="0"/>
              <w:rPr>
                <w:sz w:val="14"/>
                <w:szCs w:val="14"/>
                <w:color w:val="auto"/>
              </w:rPr>
            </w:pPr>
          </w:p>
        </w:tc>
        <w:tc>
          <w:tcPr>
            <w:tcW w:w="200" w:type="dxa"/>
            <w:vAlign w:val="bottom"/>
            <w:tcBorders>
              <w:bottom w:val="single" w:sz="8" w:color="CCECFF"/>
            </w:tcBorders>
            <w:shd w:val="clear" w:color="auto" w:fill="CCECFF"/>
          </w:tcPr>
          <w:p>
            <w:pPr>
              <w:spacing w:after="0"/>
              <w:rPr>
                <w:sz w:val="14"/>
                <w:szCs w:val="14"/>
                <w:color w:val="auto"/>
              </w:rPr>
            </w:pPr>
          </w:p>
        </w:tc>
        <w:tc>
          <w:tcPr>
            <w:tcW w:w="820" w:type="dxa"/>
            <w:vAlign w:val="bottom"/>
            <w:tcBorders>
              <w:bottom w:val="single" w:sz="8" w:color="CCECFF"/>
            </w:tcBorders>
            <w:shd w:val="clear" w:color="auto" w:fill="CCECFF"/>
          </w:tcPr>
          <w:p>
            <w:pPr>
              <w:spacing w:after="0"/>
              <w:rPr>
                <w:sz w:val="14"/>
                <w:szCs w:val="14"/>
                <w:color w:val="auto"/>
              </w:rPr>
            </w:pPr>
          </w:p>
        </w:tc>
        <w:tc>
          <w:tcPr>
            <w:tcW w:w="220" w:type="dxa"/>
            <w:vAlign w:val="bottom"/>
            <w:tcBorders>
              <w:bottom w:val="single" w:sz="8" w:color="CCECFF"/>
            </w:tcBorders>
            <w:shd w:val="clear" w:color="auto" w:fill="CCECFF"/>
          </w:tcPr>
          <w:p>
            <w:pPr>
              <w:spacing w:after="0"/>
              <w:rPr>
                <w:sz w:val="14"/>
                <w:szCs w:val="14"/>
                <w:color w:val="auto"/>
              </w:rPr>
            </w:pPr>
          </w:p>
        </w:tc>
        <w:tc>
          <w:tcPr>
            <w:tcW w:w="840" w:type="dxa"/>
            <w:vAlign w:val="bottom"/>
            <w:tcBorders>
              <w:bottom w:val="single" w:sz="8" w:color="CCECFF"/>
            </w:tcBorders>
            <w:shd w:val="clear" w:color="auto" w:fill="CCECFF"/>
          </w:tcPr>
          <w:p>
            <w:pPr>
              <w:spacing w:after="0"/>
              <w:rPr>
                <w:sz w:val="14"/>
                <w:szCs w:val="14"/>
                <w:color w:val="auto"/>
              </w:rPr>
            </w:pPr>
          </w:p>
        </w:tc>
        <w:tc>
          <w:tcPr>
            <w:tcW w:w="220" w:type="dxa"/>
            <w:vAlign w:val="bottom"/>
            <w:tcBorders>
              <w:bottom w:val="single" w:sz="8" w:color="CCECFF"/>
            </w:tcBorders>
            <w:shd w:val="clear" w:color="auto" w:fill="CCECFF"/>
          </w:tcPr>
          <w:p>
            <w:pPr>
              <w:spacing w:after="0"/>
              <w:rPr>
                <w:sz w:val="14"/>
                <w:szCs w:val="14"/>
                <w:color w:val="auto"/>
              </w:rPr>
            </w:pPr>
          </w:p>
        </w:tc>
        <w:tc>
          <w:tcPr>
            <w:tcW w:w="180" w:type="dxa"/>
            <w:vAlign w:val="bottom"/>
            <w:tcBorders>
              <w:bottom w:val="single" w:sz="8" w:color="auto"/>
            </w:tcBorders>
            <w:shd w:val="clear" w:color="auto" w:fill="CCECFF"/>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1,225,273</w:t>
            </w:r>
          </w:p>
        </w:tc>
        <w:tc>
          <w:tcPr>
            <w:tcW w:w="200" w:type="dxa"/>
            <w:vAlign w:val="bottom"/>
            <w:tcBorders>
              <w:bottom w:val="single" w:sz="8" w:color="CCECFF"/>
            </w:tcBorders>
            <w:shd w:val="clear" w:color="auto" w:fill="CCECFF"/>
          </w:tcPr>
          <w:p>
            <w:pPr>
              <w:spacing w:after="0"/>
              <w:rPr>
                <w:sz w:val="14"/>
                <w:szCs w:val="14"/>
                <w:color w:val="auto"/>
              </w:rPr>
            </w:pPr>
          </w:p>
        </w:tc>
        <w:tc>
          <w:tcPr>
            <w:tcW w:w="1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1,212,134</w:t>
            </w:r>
          </w:p>
        </w:tc>
        <w:tc>
          <w:tcPr>
            <w:tcW w:w="100" w:type="dxa"/>
            <w:vAlign w:val="bottom"/>
            <w:tcBorders>
              <w:bottom w:val="single" w:sz="8" w:color="CCECFF"/>
            </w:tcBorders>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960" w:type="dxa"/>
            <w:vAlign w:val="bottom"/>
            <w:gridSpan w:val="2"/>
          </w:tcPr>
          <w:p>
            <w:pPr>
              <w:ind w:left="20"/>
              <w:spacing w:after="0" w:line="116" w:lineRule="exact"/>
              <w:rPr>
                <w:sz w:val="20"/>
                <w:szCs w:val="20"/>
                <w:color w:val="auto"/>
              </w:rPr>
            </w:pPr>
            <w:r>
              <w:rPr>
                <w:rFonts w:ascii="Times New Roman" w:cs="Times New Roman" w:eastAsia="Times New Roman" w:hAnsi="Times New Roman"/>
                <w:sz w:val="11"/>
                <w:szCs w:val="11"/>
                <w:b w:val="1"/>
                <w:bCs w:val="1"/>
                <w:color w:val="auto"/>
              </w:rPr>
              <w:t>Liabilities in Excess of Other Assets—(130.0)%</w:t>
            </w: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gridSpan w:val="2"/>
          </w:tcPr>
          <w:p>
            <w:pPr>
              <w:jc w:val="right"/>
              <w:ind w:right="60"/>
              <w:spacing w:after="0" w:line="116" w:lineRule="exact"/>
              <w:rPr>
                <w:sz w:val="20"/>
                <w:szCs w:val="20"/>
                <w:color w:val="auto"/>
              </w:rPr>
            </w:pPr>
            <w:r>
              <w:rPr>
                <w:rFonts w:ascii="Times New Roman" w:cs="Times New Roman" w:eastAsia="Times New Roman" w:hAnsi="Times New Roman"/>
                <w:sz w:val="11"/>
                <w:szCs w:val="11"/>
                <w:color w:val="auto"/>
              </w:rPr>
              <w:t>(685,042 )</w:t>
            </w:r>
          </w:p>
        </w:tc>
        <w:tc>
          <w:tcPr>
            <w:tcW w:w="0" w:type="dxa"/>
            <w:vAlign w:val="bottom"/>
          </w:tcPr>
          <w:p>
            <w:pPr>
              <w:spacing w:after="0"/>
              <w:rPr>
                <w:sz w:val="1"/>
                <w:szCs w:val="1"/>
                <w:color w:val="auto"/>
              </w:rPr>
            </w:pPr>
          </w:p>
        </w:tc>
      </w:tr>
      <w:tr>
        <w:trPr>
          <w:trHeight w:val="168"/>
        </w:trPr>
        <w:tc>
          <w:tcPr>
            <w:tcW w:w="2960" w:type="dxa"/>
            <w:vAlign w:val="bottom"/>
            <w:tcBorders>
              <w:bottom w:val="single" w:sz="8" w:color="CCECFF"/>
            </w:tcBorders>
            <w:gridSpan w:val="2"/>
            <w:shd w:val="clear" w:color="auto" w:fill="CCECFF"/>
          </w:tcPr>
          <w:p>
            <w:pPr>
              <w:ind w:left="20"/>
              <w:spacing w:after="0"/>
              <w:rPr>
                <w:sz w:val="20"/>
                <w:szCs w:val="20"/>
                <w:color w:val="auto"/>
              </w:rPr>
            </w:pPr>
            <w:r>
              <w:rPr>
                <w:rFonts w:ascii="Times New Roman" w:cs="Times New Roman" w:eastAsia="Times New Roman" w:hAnsi="Times New Roman"/>
                <w:sz w:val="11"/>
                <w:szCs w:val="11"/>
                <w:b w:val="1"/>
                <w:bCs w:val="1"/>
                <w:color w:val="auto"/>
              </w:rPr>
              <w:t>Net Assets—100.0%</w:t>
            </w:r>
          </w:p>
        </w:tc>
        <w:tc>
          <w:tcPr>
            <w:tcW w:w="620" w:type="dxa"/>
            <w:vAlign w:val="bottom"/>
            <w:tcBorders>
              <w:bottom w:val="single" w:sz="8" w:color="CCECFF"/>
            </w:tcBorders>
            <w:shd w:val="clear" w:color="auto" w:fill="CCECFF"/>
          </w:tcPr>
          <w:p>
            <w:pPr>
              <w:spacing w:after="0"/>
              <w:rPr>
                <w:sz w:val="14"/>
                <w:szCs w:val="14"/>
                <w:color w:val="auto"/>
              </w:rPr>
            </w:pPr>
          </w:p>
        </w:tc>
        <w:tc>
          <w:tcPr>
            <w:tcW w:w="120" w:type="dxa"/>
            <w:vAlign w:val="bottom"/>
            <w:tcBorders>
              <w:bottom w:val="single" w:sz="8" w:color="CCECFF"/>
            </w:tcBorders>
            <w:shd w:val="clear" w:color="auto" w:fill="CCECFF"/>
          </w:tcPr>
          <w:p>
            <w:pPr>
              <w:spacing w:after="0"/>
              <w:rPr>
                <w:sz w:val="14"/>
                <w:szCs w:val="14"/>
                <w:color w:val="auto"/>
              </w:rPr>
            </w:pPr>
          </w:p>
        </w:tc>
        <w:tc>
          <w:tcPr>
            <w:tcW w:w="280" w:type="dxa"/>
            <w:vAlign w:val="bottom"/>
            <w:tcBorders>
              <w:bottom w:val="single" w:sz="8" w:color="CCECFF"/>
            </w:tcBorders>
            <w:shd w:val="clear" w:color="auto" w:fill="CCECFF"/>
          </w:tcPr>
          <w:p>
            <w:pPr>
              <w:spacing w:after="0"/>
              <w:rPr>
                <w:sz w:val="14"/>
                <w:szCs w:val="14"/>
                <w:color w:val="auto"/>
              </w:rPr>
            </w:pPr>
          </w:p>
        </w:tc>
        <w:tc>
          <w:tcPr>
            <w:tcW w:w="2000" w:type="dxa"/>
            <w:vAlign w:val="bottom"/>
            <w:tcBorders>
              <w:bottom w:val="single" w:sz="8" w:color="CCECFF"/>
            </w:tcBorders>
            <w:shd w:val="clear" w:color="auto" w:fill="CCECFF"/>
          </w:tcPr>
          <w:p>
            <w:pPr>
              <w:spacing w:after="0"/>
              <w:rPr>
                <w:sz w:val="14"/>
                <w:szCs w:val="14"/>
                <w:color w:val="auto"/>
              </w:rPr>
            </w:pPr>
          </w:p>
        </w:tc>
        <w:tc>
          <w:tcPr>
            <w:tcW w:w="120" w:type="dxa"/>
            <w:vAlign w:val="bottom"/>
            <w:tcBorders>
              <w:bottom w:val="single" w:sz="8" w:color="CCECFF"/>
            </w:tcBorders>
            <w:shd w:val="clear" w:color="auto" w:fill="CCECFF"/>
          </w:tcPr>
          <w:p>
            <w:pPr>
              <w:spacing w:after="0"/>
              <w:rPr>
                <w:sz w:val="14"/>
                <w:szCs w:val="14"/>
                <w:color w:val="auto"/>
              </w:rPr>
            </w:pPr>
          </w:p>
        </w:tc>
        <w:tc>
          <w:tcPr>
            <w:tcW w:w="880" w:type="dxa"/>
            <w:vAlign w:val="bottom"/>
            <w:tcBorders>
              <w:bottom w:val="single" w:sz="8" w:color="CCECFF"/>
            </w:tcBorders>
            <w:shd w:val="clear" w:color="auto" w:fill="CCECFF"/>
          </w:tcPr>
          <w:p>
            <w:pPr>
              <w:spacing w:after="0"/>
              <w:rPr>
                <w:sz w:val="14"/>
                <w:szCs w:val="14"/>
                <w:color w:val="auto"/>
              </w:rPr>
            </w:pPr>
          </w:p>
        </w:tc>
        <w:tc>
          <w:tcPr>
            <w:tcW w:w="200" w:type="dxa"/>
            <w:vAlign w:val="bottom"/>
            <w:tcBorders>
              <w:bottom w:val="single" w:sz="8" w:color="CCECFF"/>
            </w:tcBorders>
            <w:shd w:val="clear" w:color="auto" w:fill="CCECFF"/>
          </w:tcPr>
          <w:p>
            <w:pPr>
              <w:spacing w:after="0"/>
              <w:rPr>
                <w:sz w:val="14"/>
                <w:szCs w:val="14"/>
                <w:color w:val="auto"/>
              </w:rPr>
            </w:pPr>
          </w:p>
        </w:tc>
        <w:tc>
          <w:tcPr>
            <w:tcW w:w="820" w:type="dxa"/>
            <w:vAlign w:val="bottom"/>
            <w:tcBorders>
              <w:bottom w:val="single" w:sz="8" w:color="CCECFF"/>
            </w:tcBorders>
            <w:shd w:val="clear" w:color="auto" w:fill="CCECFF"/>
          </w:tcPr>
          <w:p>
            <w:pPr>
              <w:spacing w:after="0"/>
              <w:rPr>
                <w:sz w:val="14"/>
                <w:szCs w:val="14"/>
                <w:color w:val="auto"/>
              </w:rPr>
            </w:pPr>
          </w:p>
        </w:tc>
        <w:tc>
          <w:tcPr>
            <w:tcW w:w="220" w:type="dxa"/>
            <w:vAlign w:val="bottom"/>
            <w:tcBorders>
              <w:bottom w:val="single" w:sz="8" w:color="CCECFF"/>
            </w:tcBorders>
            <w:shd w:val="clear" w:color="auto" w:fill="CCECFF"/>
          </w:tcPr>
          <w:p>
            <w:pPr>
              <w:spacing w:after="0"/>
              <w:rPr>
                <w:sz w:val="14"/>
                <w:szCs w:val="14"/>
                <w:color w:val="auto"/>
              </w:rPr>
            </w:pPr>
          </w:p>
        </w:tc>
        <w:tc>
          <w:tcPr>
            <w:tcW w:w="840" w:type="dxa"/>
            <w:vAlign w:val="bottom"/>
            <w:tcBorders>
              <w:bottom w:val="single" w:sz="8" w:color="CCECFF"/>
            </w:tcBorders>
            <w:shd w:val="clear" w:color="auto" w:fill="CCECFF"/>
          </w:tcPr>
          <w:p>
            <w:pPr>
              <w:spacing w:after="0"/>
              <w:rPr>
                <w:sz w:val="14"/>
                <w:szCs w:val="14"/>
                <w:color w:val="auto"/>
              </w:rPr>
            </w:pPr>
          </w:p>
        </w:tc>
        <w:tc>
          <w:tcPr>
            <w:tcW w:w="220" w:type="dxa"/>
            <w:vAlign w:val="bottom"/>
            <w:tcBorders>
              <w:bottom w:val="single" w:sz="8" w:color="CCECFF"/>
            </w:tcBorders>
            <w:shd w:val="clear" w:color="auto" w:fill="CCECFF"/>
          </w:tcPr>
          <w:p>
            <w:pPr>
              <w:spacing w:after="0"/>
              <w:rPr>
                <w:sz w:val="14"/>
                <w:szCs w:val="14"/>
                <w:color w:val="auto"/>
              </w:rPr>
            </w:pPr>
          </w:p>
        </w:tc>
        <w:tc>
          <w:tcPr>
            <w:tcW w:w="180" w:type="dxa"/>
            <w:vAlign w:val="bottom"/>
            <w:tcBorders>
              <w:bottom w:val="single" w:sz="8" w:color="CCECFF"/>
            </w:tcBorders>
            <w:shd w:val="clear" w:color="auto" w:fill="CCECFF"/>
          </w:tcPr>
          <w:p>
            <w:pPr>
              <w:spacing w:after="0"/>
              <w:rPr>
                <w:sz w:val="14"/>
                <w:szCs w:val="14"/>
                <w:color w:val="auto"/>
              </w:rPr>
            </w:pPr>
          </w:p>
        </w:tc>
        <w:tc>
          <w:tcPr>
            <w:tcW w:w="640" w:type="dxa"/>
            <w:vAlign w:val="bottom"/>
            <w:tcBorders>
              <w:bottom w:val="single" w:sz="8" w:color="CCECFF"/>
            </w:tcBorders>
            <w:shd w:val="clear" w:color="auto" w:fill="CCECFF"/>
          </w:tcPr>
          <w:p>
            <w:pPr>
              <w:spacing w:after="0"/>
              <w:rPr>
                <w:sz w:val="14"/>
                <w:szCs w:val="14"/>
                <w:color w:val="auto"/>
              </w:rPr>
            </w:pPr>
          </w:p>
        </w:tc>
        <w:tc>
          <w:tcPr>
            <w:tcW w:w="200" w:type="dxa"/>
            <w:vAlign w:val="bottom"/>
            <w:tcBorders>
              <w:bottom w:val="single" w:sz="8" w:color="CCECFF"/>
            </w:tcBorders>
            <w:shd w:val="clear" w:color="auto" w:fill="CCECFF"/>
          </w:tcPr>
          <w:p>
            <w:pPr>
              <w:spacing w:after="0"/>
              <w:rPr>
                <w:sz w:val="14"/>
                <w:szCs w:val="14"/>
                <w:color w:val="auto"/>
              </w:rPr>
            </w:pPr>
          </w:p>
        </w:tc>
        <w:tc>
          <w:tcPr>
            <w:tcW w:w="10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527,092</w:t>
            </w:r>
          </w:p>
        </w:tc>
        <w:tc>
          <w:tcPr>
            <w:tcW w:w="100" w:type="dxa"/>
            <w:vAlign w:val="bottom"/>
            <w:tcBorders>
              <w:bottom w:val="single" w:sz="8" w:color="CCECFF"/>
            </w:tcBorders>
            <w:shd w:val="clear" w:color="auto" w:fill="CCECFF"/>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-4491355</wp:posOffset>
            </wp:positionV>
            <wp:extent cx="7132320" cy="8572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-4319905</wp:posOffset>
            </wp:positionV>
            <wp:extent cx="7132320" cy="8572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-4148455</wp:posOffset>
            </wp:positionV>
            <wp:extent cx="7132320" cy="8572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-3925570</wp:posOffset>
            </wp:positionV>
            <wp:extent cx="7132320" cy="8572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-3496945</wp:posOffset>
            </wp:positionV>
            <wp:extent cx="7132320" cy="17145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-3239770</wp:posOffset>
            </wp:positionV>
            <wp:extent cx="7132320" cy="8572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-3068320</wp:posOffset>
            </wp:positionV>
            <wp:extent cx="7132320" cy="13716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-2845435</wp:posOffset>
            </wp:positionV>
            <wp:extent cx="7132320" cy="8572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-2673985</wp:posOffset>
            </wp:positionV>
            <wp:extent cx="7132320" cy="8572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-2502535</wp:posOffset>
            </wp:positionV>
            <wp:extent cx="7132320" cy="8572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-2331085</wp:posOffset>
            </wp:positionV>
            <wp:extent cx="7132320" cy="43688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32320" cy="4368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-1585595</wp:posOffset>
            </wp:positionV>
            <wp:extent cx="7132320" cy="8572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-1414145</wp:posOffset>
            </wp:positionV>
            <wp:extent cx="7132320" cy="27432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32320" cy="2743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-1053465</wp:posOffset>
            </wp:positionV>
            <wp:extent cx="7132320" cy="18859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32320" cy="188595"/>
                    </a:xfrm>
                    <a:prstGeom prst="rect">
                      <a:avLst/>
                    </a:prstGeom>
                    <a:noFill/>
                  </pic:spPr>
                </pic:pic>
              </a:graphicData>
            </a:graphic>
          </wp:anchor>
        </w:drawing>
        <w:drawing>
          <wp:anchor simplePos="0" relativeHeight="251657728" behindDoc="1" locked="0" layoutInCell="0" allowOverlap="1">
            <wp:simplePos x="0" y="0"/>
            <wp:positionH relativeFrom="column">
              <wp:posOffset>6408420</wp:posOffset>
            </wp:positionH>
            <wp:positionV relativeFrom="paragraph">
              <wp:posOffset>-779780</wp:posOffset>
            </wp:positionV>
            <wp:extent cx="68580" cy="10287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8580" cy="10287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-779780</wp:posOffset>
            </wp:positionV>
            <wp:extent cx="68580" cy="10287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8580" cy="102870"/>
                    </a:xfrm>
                    <a:prstGeom prst="rect">
                      <a:avLst/>
                    </a:prstGeom>
                    <a:noFill/>
                  </pic:spPr>
                </pic:pic>
              </a:graphicData>
            </a:graphic>
          </wp:anchor>
        </w:drawing>
        <w:drawing>
          <wp:anchor simplePos="0" relativeHeight="251657728" behindDoc="1" locked="0" layoutInCell="0" allowOverlap="1">
            <wp:simplePos x="0" y="0"/>
            <wp:positionH relativeFrom="column">
              <wp:posOffset>6408420</wp:posOffset>
            </wp:positionH>
            <wp:positionV relativeFrom="paragraph">
              <wp:posOffset>-419735</wp:posOffset>
            </wp:positionV>
            <wp:extent cx="68580" cy="10287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8580" cy="10287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-419735</wp:posOffset>
            </wp:positionV>
            <wp:extent cx="68580" cy="10287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8580" cy="102870"/>
                    </a:xfrm>
                    <a:prstGeom prst="rect">
                      <a:avLst/>
                    </a:prstGeom>
                    <a:noFill/>
                  </pic:spPr>
                </pic:pic>
              </a:graphicData>
            </a:graphic>
          </wp:anchor>
        </w:drawing>
        <w:drawing>
          <wp:anchor simplePos="0" relativeHeight="251657728" behindDoc="1" locked="0" layoutInCell="0" allowOverlap="1">
            <wp:simplePos x="0" y="0"/>
            <wp:positionH relativeFrom="column">
              <wp:posOffset>6408420</wp:posOffset>
            </wp:positionH>
            <wp:positionV relativeFrom="paragraph">
              <wp:posOffset>-231140</wp:posOffset>
            </wp:positionV>
            <wp:extent cx="728980" cy="12001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8980" cy="1200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11176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8580" cy="1117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488315</wp:posOffset>
            </wp:positionV>
            <wp:extent cx="1191260"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119126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380" w:right="20" w:hanging="372"/>
        <w:spacing w:after="0" w:line="245" w:lineRule="auto"/>
        <w:tabs>
          <w:tab w:leader="none" w:pos="380"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Represents floating rate instruments that accrue interest at a predetermined spread relative to an index, typically the applicable LIBOR or “L” or Prime rate, or “P.” The spread may change based on the type of rate used. The terms in the Schedule of Investments disclose the actual interest rate in effect as of the reporting period. LIBOR loans are typically indexed to a 30-day, 60-day, 90-day or 180-day LIBOR rate (1M L, 2M L, 3M L, or 6M L, respectively), at the borrower’s option. All securities are subject to a LIBOR or Prime rate floor where a spread is provided, unless noted. The spread provided includes PIK interest and other fee rates, if any.</w:t>
      </w:r>
    </w:p>
    <w:p>
      <w:pPr>
        <w:spacing w:after="0" w:line="9" w:lineRule="exact"/>
        <w:rPr>
          <w:rFonts w:ascii="Times New Roman" w:cs="Times New Roman" w:eastAsia="Times New Roman" w:hAnsi="Times New Roman"/>
          <w:sz w:val="12"/>
          <w:szCs w:val="12"/>
          <w:color w:val="auto"/>
        </w:rPr>
      </w:pPr>
    </w:p>
    <w:p>
      <w:pPr>
        <w:ind w:left="380" w:hanging="372"/>
        <w:spacing w:after="0"/>
        <w:tabs>
          <w:tab w:leader="none" w:pos="380"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Valued based on our accounting policy (See Note 2). The value of all securities was determined using significant unobservable inputs (See Note 5).</w:t>
      </w:r>
    </w:p>
    <w:p>
      <w:pPr>
        <w:spacing w:after="0" w:line="37" w:lineRule="exact"/>
        <w:rPr>
          <w:rFonts w:ascii="Times New Roman" w:cs="Times New Roman" w:eastAsia="Times New Roman" w:hAnsi="Times New Roman"/>
          <w:sz w:val="12"/>
          <w:szCs w:val="12"/>
          <w:color w:val="auto"/>
        </w:rPr>
      </w:pPr>
    </w:p>
    <w:p>
      <w:pPr>
        <w:ind w:left="380" w:right="220" w:hanging="372"/>
        <w:spacing w:after="0" w:line="255" w:lineRule="auto"/>
        <w:tabs>
          <w:tab w:leader="none" w:pos="380"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provisions of the 1940 Act classify investments based on the level of control that we maintain in a particular portfolio company. As defined in the 1940 Act, a company is generally presumed to be “non-controlled” when we own 25% or less of the portfolio company’s voting securities and “controlled” when we own more than 25% of the portfolio company’s voting securities.</w:t>
      </w:r>
    </w:p>
    <w:p>
      <w:pPr>
        <w:spacing w:after="0" w:line="17" w:lineRule="exact"/>
        <w:rPr>
          <w:rFonts w:ascii="Times New Roman" w:cs="Times New Roman" w:eastAsia="Times New Roman" w:hAnsi="Times New Roman"/>
          <w:sz w:val="12"/>
          <w:szCs w:val="12"/>
          <w:color w:val="auto"/>
        </w:rPr>
      </w:pPr>
    </w:p>
    <w:p>
      <w:pPr>
        <w:ind w:left="380" w:hanging="372"/>
        <w:spacing w:after="0" w:line="255" w:lineRule="auto"/>
        <w:tabs>
          <w:tab w:leader="none" w:pos="380"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provisions of the 1940 Act classify investments further based on the level of ownership that we maintain in a particular portfolio company. As defined in the 1940 Act, a company is generally deemed as “non-affiliated” when we own less than 5% of a portfolio company’s voting securities and “affiliated” when we own 5% or more of a portfolio company’s voting securities.</w:t>
      </w:r>
    </w:p>
    <w:p>
      <w:pPr>
        <w:spacing w:after="0" w:line="3" w:lineRule="exact"/>
        <w:rPr>
          <w:rFonts w:ascii="Times New Roman" w:cs="Times New Roman" w:eastAsia="Times New Roman" w:hAnsi="Times New Roman"/>
          <w:sz w:val="12"/>
          <w:szCs w:val="12"/>
          <w:color w:val="auto"/>
        </w:rPr>
      </w:pPr>
    </w:p>
    <w:p>
      <w:pPr>
        <w:ind w:left="380" w:hanging="372"/>
        <w:spacing w:after="0"/>
        <w:tabs>
          <w:tab w:leader="none" w:pos="380"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Non-U.S. company or principal place of business outside the United States.</w:t>
      </w:r>
    </w:p>
    <w:p>
      <w:pPr>
        <w:spacing w:after="0" w:line="37" w:lineRule="exact"/>
        <w:rPr>
          <w:rFonts w:ascii="Times New Roman" w:cs="Times New Roman" w:eastAsia="Times New Roman" w:hAnsi="Times New Roman"/>
          <w:sz w:val="12"/>
          <w:szCs w:val="12"/>
          <w:color w:val="auto"/>
        </w:rPr>
      </w:pPr>
    </w:p>
    <w:p>
      <w:pPr>
        <w:ind w:left="380" w:hanging="372"/>
        <w:spacing w:after="0"/>
        <w:tabs>
          <w:tab w:leader="none" w:pos="380"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Non-income producing securities.</w:t>
      </w:r>
    </w:p>
    <w:p>
      <w:pPr>
        <w:spacing w:after="0" w:line="24" w:lineRule="exact"/>
        <w:rPr>
          <w:rFonts w:ascii="Times New Roman" w:cs="Times New Roman" w:eastAsia="Times New Roman" w:hAnsi="Times New Roman"/>
          <w:sz w:val="12"/>
          <w:szCs w:val="12"/>
          <w:color w:val="auto"/>
        </w:rPr>
      </w:pPr>
    </w:p>
    <w:p>
      <w:pPr>
        <w:ind w:left="380" w:hanging="372"/>
        <w:spacing w:after="0"/>
        <w:tabs>
          <w:tab w:leader="none" w:pos="380"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securities, or a portion thereof, are not 1) pledged as collateral under the Credit Facility and held through Funding I; or 2) securing the 2031 Asset-Backed Debt (See Note 11) and held through PennantPark CLO I, Ltd.</w:t>
      </w:r>
    </w:p>
    <w:p>
      <w:pPr>
        <w:spacing w:after="0" w:line="37" w:lineRule="exact"/>
        <w:rPr>
          <w:rFonts w:ascii="Times New Roman" w:cs="Times New Roman" w:eastAsia="Times New Roman" w:hAnsi="Times New Roman"/>
          <w:sz w:val="12"/>
          <w:szCs w:val="12"/>
          <w:color w:val="auto"/>
        </w:rPr>
      </w:pPr>
    </w:p>
    <w:p>
      <w:pPr>
        <w:ind w:left="380" w:hanging="372"/>
        <w:spacing w:after="0"/>
        <w:tabs>
          <w:tab w:leader="none" w:pos="380"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Investment is held through our Taxable Subsidiary (See Note 1).</w:t>
      </w:r>
    </w:p>
    <w:p>
      <w:pPr>
        <w:spacing w:after="0" w:line="37" w:lineRule="exact"/>
        <w:rPr>
          <w:rFonts w:ascii="Times New Roman" w:cs="Times New Roman" w:eastAsia="Times New Roman" w:hAnsi="Times New Roman"/>
          <w:sz w:val="12"/>
          <w:szCs w:val="12"/>
          <w:color w:val="auto"/>
        </w:rPr>
      </w:pPr>
    </w:p>
    <w:p>
      <w:pPr>
        <w:ind w:left="380" w:hanging="372"/>
        <w:spacing w:after="0"/>
        <w:tabs>
          <w:tab w:leader="none" w:pos="380"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Represents the purchase of a security with delayed settlement or a revolving line of credit that is currently an unfunded investment. This security does not earn a basis point spread above an index while it is unfunded.</w:t>
      </w:r>
    </w:p>
    <w:p>
      <w:pPr>
        <w:spacing w:after="0" w:line="24" w:lineRule="exact"/>
        <w:rPr>
          <w:rFonts w:ascii="Times New Roman" w:cs="Times New Roman" w:eastAsia="Times New Roman" w:hAnsi="Times New Roman"/>
          <w:sz w:val="12"/>
          <w:szCs w:val="12"/>
          <w:color w:val="auto"/>
        </w:rPr>
      </w:pPr>
    </w:p>
    <w:p>
      <w:pPr>
        <w:ind w:left="380" w:right="20" w:hanging="372"/>
        <w:spacing w:after="0" w:line="255" w:lineRule="auto"/>
        <w:tabs>
          <w:tab w:leader="none" w:pos="380"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investment is treated as a non-qualifying asset under Section 55(a) of the 1940 Act. Under the 1940 Act, we may not acquire any non-qualifying asset unless, at the time the acquisition is made, qualifying assets represent at least 70% of our total assets. As of September 30, 2022, qualifying assets represent 81% of our total assets and non-qualifying assets represent 19% of our total assets.</w:t>
      </w:r>
    </w:p>
    <w:p>
      <w:pPr>
        <w:spacing w:after="0" w:line="17" w:lineRule="exact"/>
        <w:rPr>
          <w:rFonts w:ascii="Times New Roman" w:cs="Times New Roman" w:eastAsia="Times New Roman" w:hAnsi="Times New Roman"/>
          <w:sz w:val="12"/>
          <w:szCs w:val="12"/>
          <w:color w:val="auto"/>
        </w:rPr>
      </w:pPr>
    </w:p>
    <w:p>
      <w:pPr>
        <w:ind w:left="380" w:hanging="372"/>
        <w:spacing w:after="0"/>
        <w:tabs>
          <w:tab w:leader="none" w:pos="380"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Par amount is denominated in Canadian Dollars (C$) as denoted.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7" w:name="page18"/>
    <w:bookmarkEnd w:id="17"/>
    <w:p>
      <w:pPr>
        <w:jc w:val="center"/>
        <w:spacing w:after="0"/>
        <w:rPr>
          <w:sz w:val="20"/>
          <w:szCs w:val="20"/>
          <w:color w:val="auto"/>
        </w:rPr>
      </w:pPr>
      <w:r>
        <w:rPr>
          <w:rFonts w:ascii="Times New Roman" w:cs="Times New Roman" w:eastAsia="Times New Roman" w:hAnsi="Times New Roman"/>
          <w:sz w:val="14"/>
          <w:szCs w:val="14"/>
          <w:b w:val="1"/>
          <w:bCs w:val="1"/>
          <w:color w:val="auto"/>
        </w:rPr>
        <w:t>PENNANTPARK FLOATING RATE CAPITAL LTD. AND SUBSIDIARIES</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CONSOLIDATED SCHEDULE OF INVESTMENTS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SEPTEMBER 30, 2021</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(in thousands, except share data)</w:t>
      </w:r>
    </w:p>
    <w:tbl>
      <w:tblPr>
        <w:tblLayout w:type="fixed"/>
        <w:tblInd w:w="0" w:type="dxa"/>
        <w:tblCellMar>
          <w:top w:w="0" w:type="dxa"/>
          <w:left w:w="0" w:type="dxa"/>
          <w:bottom w:w="0" w:type="dxa"/>
          <w:right w:w="0" w:type="dxa"/>
        </w:tblCellMar>
      </w:tblPr>
      <w:tr>
        <w:trPr>
          <w:trHeight w:val="102"/>
        </w:trPr>
        <w:tc>
          <w:tcPr>
            <w:tcW w:w="2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40" w:type="dxa"/>
            <w:vAlign w:val="bottom"/>
          </w:tcPr>
          <w:p>
            <w:pPr>
              <w:spacing w:after="0"/>
              <w:rPr>
                <w:sz w:val="8"/>
                <w:szCs w:val="8"/>
                <w:color w:val="auto"/>
              </w:rPr>
            </w:pPr>
          </w:p>
        </w:tc>
        <w:tc>
          <w:tcPr>
            <w:tcW w:w="2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9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780" w:type="dxa"/>
            <w:vAlign w:val="bottom"/>
          </w:tcPr>
          <w:p>
            <w:pPr>
              <w:jc w:val="center"/>
              <w:spacing w:after="0" w:line="102" w:lineRule="exact"/>
              <w:rPr>
                <w:sz w:val="20"/>
                <w:szCs w:val="20"/>
                <w:color w:val="auto"/>
              </w:rPr>
            </w:pPr>
            <w:r>
              <w:rPr>
                <w:rFonts w:ascii="Times New Roman" w:cs="Times New Roman" w:eastAsia="Times New Roman" w:hAnsi="Times New Roman"/>
                <w:sz w:val="11"/>
                <w:szCs w:val="11"/>
                <w:b w:val="1"/>
                <w:bCs w:val="1"/>
                <w:color w:val="auto"/>
                <w:w w:val="95"/>
              </w:rPr>
              <w:t>Basis Point</w:t>
            </w: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9"/>
        </w:trPr>
        <w:tc>
          <w:tcPr>
            <w:tcW w:w="23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tcPr>
          <w:p>
            <w:pPr>
              <w:jc w:val="center"/>
              <w:spacing w:after="0" w:line="120" w:lineRule="exact"/>
              <w:rPr>
                <w:sz w:val="20"/>
                <w:szCs w:val="20"/>
                <w:color w:val="auto"/>
              </w:rPr>
            </w:pPr>
            <w:r>
              <w:rPr>
                <w:rFonts w:ascii="Times New Roman" w:cs="Times New Roman" w:eastAsia="Times New Roman" w:hAnsi="Times New Roman"/>
                <w:sz w:val="11"/>
                <w:szCs w:val="11"/>
                <w:b w:val="1"/>
                <w:bCs w:val="1"/>
                <w:color w:val="auto"/>
                <w:w w:val="95"/>
              </w:rPr>
              <w:t>Spread</w:t>
            </w:r>
          </w:p>
        </w:tc>
        <w:tc>
          <w:tcPr>
            <w:tcW w:w="2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0"/>
        </w:trPr>
        <w:tc>
          <w:tcPr>
            <w:tcW w:w="2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tcPr>
          <w:p>
            <w:pPr>
              <w:spacing w:after="0"/>
              <w:rPr>
                <w:sz w:val="9"/>
                <w:szCs w:val="9"/>
                <w:color w:val="auto"/>
              </w:rPr>
            </w:pPr>
          </w:p>
        </w:tc>
        <w:tc>
          <w:tcPr>
            <w:tcW w:w="140" w:type="dxa"/>
            <w:vAlign w:val="bottom"/>
          </w:tcPr>
          <w:p>
            <w:pPr>
              <w:spacing w:after="0"/>
              <w:rPr>
                <w:sz w:val="9"/>
                <w:szCs w:val="9"/>
                <w:color w:val="auto"/>
              </w:rPr>
            </w:pPr>
          </w:p>
        </w:tc>
        <w:tc>
          <w:tcPr>
            <w:tcW w:w="2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00" w:type="dxa"/>
            <w:vAlign w:val="bottom"/>
            <w:gridSpan w:val="2"/>
          </w:tcPr>
          <w:p>
            <w:pPr>
              <w:jc w:val="right"/>
              <w:ind w:right="420"/>
              <w:spacing w:after="0" w:line="111" w:lineRule="exact"/>
              <w:rPr>
                <w:sz w:val="20"/>
                <w:szCs w:val="20"/>
                <w:color w:val="auto"/>
              </w:rPr>
            </w:pPr>
            <w:r>
              <w:rPr>
                <w:rFonts w:ascii="Times New Roman" w:cs="Times New Roman" w:eastAsia="Times New Roman" w:hAnsi="Times New Roman"/>
                <w:sz w:val="11"/>
                <w:szCs w:val="11"/>
                <w:b w:val="1"/>
                <w:bCs w:val="1"/>
                <w:color w:val="auto"/>
              </w:rPr>
              <w:t>Current</w:t>
            </w:r>
          </w:p>
        </w:tc>
        <w:tc>
          <w:tcPr>
            <w:tcW w:w="140" w:type="dxa"/>
            <w:vAlign w:val="bottom"/>
          </w:tcPr>
          <w:p>
            <w:pPr>
              <w:spacing w:after="0"/>
              <w:rPr>
                <w:sz w:val="9"/>
                <w:szCs w:val="9"/>
                <w:color w:val="auto"/>
              </w:rPr>
            </w:pPr>
          </w:p>
        </w:tc>
        <w:tc>
          <w:tcPr>
            <w:tcW w:w="780" w:type="dxa"/>
            <w:vAlign w:val="bottom"/>
          </w:tcPr>
          <w:p>
            <w:pPr>
              <w:jc w:val="center"/>
              <w:spacing w:after="0" w:line="111" w:lineRule="exact"/>
              <w:rPr>
                <w:sz w:val="20"/>
                <w:szCs w:val="20"/>
                <w:color w:val="auto"/>
              </w:rPr>
            </w:pPr>
            <w:r>
              <w:rPr>
                <w:rFonts w:ascii="Times New Roman" w:cs="Times New Roman" w:eastAsia="Times New Roman" w:hAnsi="Times New Roman"/>
                <w:sz w:val="11"/>
                <w:szCs w:val="11"/>
                <w:b w:val="1"/>
                <w:bCs w:val="1"/>
                <w:color w:val="auto"/>
                <w:w w:val="93"/>
              </w:rPr>
              <w:t>Above</w:t>
            </w:r>
          </w:p>
        </w:tc>
        <w:tc>
          <w:tcPr>
            <w:tcW w:w="220" w:type="dxa"/>
            <w:vAlign w:val="bottom"/>
          </w:tcPr>
          <w:p>
            <w:pPr>
              <w:spacing w:after="0"/>
              <w:rPr>
                <w:sz w:val="9"/>
                <w:szCs w:val="9"/>
                <w:color w:val="auto"/>
              </w:rPr>
            </w:pPr>
          </w:p>
        </w:tc>
        <w:tc>
          <w:tcPr>
            <w:tcW w:w="820" w:type="dxa"/>
            <w:vAlign w:val="bottom"/>
          </w:tcPr>
          <w:p>
            <w:pPr>
              <w:jc w:val="right"/>
              <w:ind w:right="246"/>
              <w:spacing w:after="0" w:line="111" w:lineRule="exact"/>
              <w:rPr>
                <w:sz w:val="20"/>
                <w:szCs w:val="20"/>
                <w:color w:val="auto"/>
              </w:rPr>
            </w:pPr>
            <w:r>
              <w:rPr>
                <w:rFonts w:ascii="Times New Roman" w:cs="Times New Roman" w:eastAsia="Times New Roman" w:hAnsi="Times New Roman"/>
                <w:sz w:val="11"/>
                <w:szCs w:val="11"/>
                <w:b w:val="1"/>
                <w:bCs w:val="1"/>
                <w:color w:val="auto"/>
              </w:rPr>
              <w:t>Par /</w:t>
            </w: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vMerge w:val="restart"/>
          </w:tcPr>
          <w:p>
            <w:pPr>
              <w:jc w:val="right"/>
              <w:ind w:right="46"/>
              <w:spacing w:after="0"/>
              <w:rPr>
                <w:sz w:val="20"/>
                <w:szCs w:val="20"/>
                <w:color w:val="auto"/>
              </w:rPr>
            </w:pPr>
            <w:r>
              <w:rPr>
                <w:rFonts w:ascii="Times New Roman" w:cs="Times New Roman" w:eastAsia="Times New Roman" w:hAnsi="Times New Roman"/>
                <w:sz w:val="11"/>
                <w:szCs w:val="11"/>
                <w:b w:val="1"/>
                <w:bCs w:val="1"/>
                <w:color w:val="auto"/>
                <w:w w:val="93"/>
              </w:rPr>
              <w:t xml:space="preserve">Fair Value </w:t>
            </w:r>
            <w:r>
              <w:rPr>
                <w:rFonts w:ascii="Times New Roman" w:cs="Times New Roman" w:eastAsia="Times New Roman" w:hAnsi="Times New Roman"/>
                <w:sz w:val="14"/>
                <w:szCs w:val="14"/>
                <w:b w:val="1"/>
                <w:bCs w:val="1"/>
                <w:color w:val="auto"/>
                <w:w w:val="93"/>
                <w:vertAlign w:val="superscript"/>
              </w:rPr>
              <w:t>(2)</w:t>
            </w:r>
          </w:p>
        </w:tc>
        <w:tc>
          <w:tcPr>
            <w:tcW w:w="10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156"/>
        </w:trPr>
        <w:tc>
          <w:tcPr>
            <w:tcW w:w="2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1"/>
                <w:szCs w:val="11"/>
                <w:b w:val="1"/>
                <w:bCs w:val="1"/>
                <w:color w:val="auto"/>
              </w:rPr>
              <w:t>Issuer Name</w:t>
            </w:r>
          </w:p>
        </w:tc>
        <w:tc>
          <w:tcPr>
            <w:tcW w:w="140" w:type="dxa"/>
            <w:vAlign w:val="bottom"/>
          </w:tcPr>
          <w:p>
            <w:pPr>
              <w:spacing w:after="0"/>
              <w:rPr>
                <w:sz w:val="13"/>
                <w:szCs w:val="13"/>
                <w:color w:val="auto"/>
              </w:rPr>
            </w:pPr>
          </w:p>
        </w:tc>
        <w:tc>
          <w:tcPr>
            <w:tcW w:w="74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1"/>
                <w:szCs w:val="11"/>
                <w:b w:val="1"/>
                <w:bCs w:val="1"/>
                <w:color w:val="auto"/>
              </w:rPr>
              <w:t>Maturity</w:t>
            </w:r>
          </w:p>
        </w:tc>
        <w:tc>
          <w:tcPr>
            <w:tcW w:w="140" w:type="dxa"/>
            <w:vAlign w:val="bottom"/>
          </w:tcPr>
          <w:p>
            <w:pPr>
              <w:spacing w:after="0"/>
              <w:rPr>
                <w:sz w:val="13"/>
                <w:szCs w:val="13"/>
                <w:color w:val="auto"/>
              </w:rPr>
            </w:pPr>
          </w:p>
        </w:tc>
        <w:tc>
          <w:tcPr>
            <w:tcW w:w="25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Industry</w:t>
            </w:r>
          </w:p>
        </w:tc>
        <w:tc>
          <w:tcPr>
            <w:tcW w:w="120" w:type="dxa"/>
            <w:vAlign w:val="bottom"/>
          </w:tcPr>
          <w:p>
            <w:pPr>
              <w:spacing w:after="0"/>
              <w:rPr>
                <w:sz w:val="13"/>
                <w:szCs w:val="13"/>
                <w:color w:val="auto"/>
              </w:rPr>
            </w:pPr>
          </w:p>
        </w:tc>
        <w:tc>
          <w:tcPr>
            <w:tcW w:w="980" w:type="dxa"/>
            <w:vAlign w:val="bottom"/>
            <w:tcBorders>
              <w:bottom w:val="single" w:sz="8" w:color="auto"/>
            </w:tcBorders>
          </w:tcPr>
          <w:p>
            <w:pPr>
              <w:jc w:val="right"/>
              <w:ind w:right="246"/>
              <w:spacing w:after="0"/>
              <w:rPr>
                <w:sz w:val="20"/>
                <w:szCs w:val="20"/>
                <w:color w:val="auto"/>
              </w:rPr>
            </w:pPr>
            <w:r>
              <w:rPr>
                <w:rFonts w:ascii="Times New Roman" w:cs="Times New Roman" w:eastAsia="Times New Roman" w:hAnsi="Times New Roman"/>
                <w:sz w:val="11"/>
                <w:szCs w:val="11"/>
                <w:b w:val="1"/>
                <w:bCs w:val="1"/>
                <w:color w:val="auto"/>
              </w:rPr>
              <w:t>Coupon</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Borders>
              <w:bottom w:val="single" w:sz="8" w:color="auto"/>
            </w:tcBorders>
          </w:tcPr>
          <w:p>
            <w:pPr>
              <w:jc w:val="center"/>
              <w:spacing w:after="0" w:line="143" w:lineRule="exact"/>
              <w:rPr>
                <w:sz w:val="20"/>
                <w:szCs w:val="20"/>
                <w:color w:val="auto"/>
              </w:rPr>
            </w:pPr>
            <w:r>
              <w:rPr>
                <w:rFonts w:ascii="Times New Roman" w:cs="Times New Roman" w:eastAsia="Times New Roman" w:hAnsi="Times New Roman"/>
                <w:sz w:val="11"/>
                <w:szCs w:val="11"/>
                <w:b w:val="1"/>
                <w:bCs w:val="1"/>
                <w:color w:val="auto"/>
                <w:w w:val="93"/>
              </w:rPr>
              <w:t xml:space="preserve">Index </w:t>
            </w:r>
            <w:r>
              <w:rPr>
                <w:rFonts w:ascii="Times New Roman" w:cs="Times New Roman" w:eastAsia="Times New Roman" w:hAnsi="Times New Roman"/>
                <w:sz w:val="14"/>
                <w:szCs w:val="14"/>
                <w:b w:val="1"/>
                <w:bCs w:val="1"/>
                <w:color w:val="auto"/>
                <w:w w:val="93"/>
                <w:vertAlign w:val="superscript"/>
              </w:rPr>
              <w:t>(1)</w:t>
            </w:r>
          </w:p>
        </w:tc>
        <w:tc>
          <w:tcPr>
            <w:tcW w:w="220" w:type="dxa"/>
            <w:vAlign w:val="bottom"/>
          </w:tcPr>
          <w:p>
            <w:pPr>
              <w:spacing w:after="0"/>
              <w:rPr>
                <w:sz w:val="13"/>
                <w:szCs w:val="13"/>
                <w:color w:val="auto"/>
              </w:rPr>
            </w:pPr>
          </w:p>
        </w:tc>
        <w:tc>
          <w:tcPr>
            <w:tcW w:w="820" w:type="dxa"/>
            <w:vAlign w:val="bottom"/>
            <w:tcBorders>
              <w:bottom w:val="single" w:sz="8" w:color="auto"/>
            </w:tcBorders>
          </w:tcPr>
          <w:p>
            <w:pPr>
              <w:jc w:val="right"/>
              <w:ind w:right="186"/>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22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226"/>
              <w:spacing w:after="0"/>
              <w:rPr>
                <w:sz w:val="20"/>
                <w:szCs w:val="20"/>
                <w:color w:val="auto"/>
              </w:rPr>
            </w:pPr>
            <w:r>
              <w:rPr>
                <w:rFonts w:ascii="Times New Roman" w:cs="Times New Roman" w:eastAsia="Times New Roman" w:hAnsi="Times New Roman"/>
                <w:sz w:val="11"/>
                <w:szCs w:val="11"/>
                <w:b w:val="1"/>
                <w:bCs w:val="1"/>
                <w:color w:val="auto"/>
              </w:rPr>
              <w:t>Cost</w:t>
            </w:r>
          </w:p>
        </w:tc>
        <w:tc>
          <w:tcPr>
            <w:tcW w:w="2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9"/>
        </w:trPr>
        <w:tc>
          <w:tcPr>
            <w:tcW w:w="2500" w:type="dxa"/>
            <w:vAlign w:val="bottom"/>
            <w:gridSpan w:val="2"/>
          </w:tcPr>
          <w:p>
            <w:pPr>
              <w:ind w:left="20"/>
              <w:spacing w:after="0" w:line="120" w:lineRule="exact"/>
              <w:rPr>
                <w:sz w:val="20"/>
                <w:szCs w:val="20"/>
                <w:color w:val="auto"/>
              </w:rPr>
            </w:pPr>
            <w:r>
              <w:rPr>
                <w:rFonts w:ascii="Times New Roman" w:cs="Times New Roman" w:eastAsia="Times New Roman" w:hAnsi="Times New Roman"/>
                <w:sz w:val="11"/>
                <w:szCs w:val="11"/>
                <w:b w:val="1"/>
                <w:bCs w:val="1"/>
                <w:color w:val="auto"/>
                <w:w w:val="93"/>
              </w:rPr>
              <w:t>Investments in Non-Controlled, Non-Affiliated Portfolio</w:t>
            </w:r>
          </w:p>
        </w:tc>
        <w:tc>
          <w:tcPr>
            <w:tcW w:w="880" w:type="dxa"/>
            <w:vAlign w:val="bottom"/>
            <w:gridSpan w:val="2"/>
          </w:tcPr>
          <w:p>
            <w:pPr>
              <w:ind w:left="120"/>
              <w:spacing w:after="0" w:line="120" w:lineRule="exact"/>
              <w:rPr>
                <w:sz w:val="20"/>
                <w:szCs w:val="20"/>
                <w:color w:val="auto"/>
              </w:rPr>
            </w:pPr>
            <w:r>
              <w:rPr>
                <w:rFonts w:ascii="Times New Roman" w:cs="Times New Roman" w:eastAsia="Times New Roman" w:hAnsi="Times New Roman"/>
                <w:sz w:val="11"/>
                <w:szCs w:val="11"/>
                <w:b w:val="1"/>
                <w:bCs w:val="1"/>
                <w:color w:val="auto"/>
                <w:w w:val="74"/>
              </w:rPr>
              <w:t>Companies—174.6%</w:t>
            </w:r>
          </w:p>
        </w:tc>
        <w:tc>
          <w:tcPr>
            <w:tcW w:w="2560" w:type="dxa"/>
            <w:vAlign w:val="bottom"/>
          </w:tcPr>
          <w:p>
            <w:pPr>
              <w:jc w:val="right"/>
              <w:ind w:right="2046"/>
              <w:spacing w:after="0" w:line="63" w:lineRule="exact"/>
              <w:rPr>
                <w:sz w:val="20"/>
                <w:szCs w:val="20"/>
                <w:color w:val="auto"/>
              </w:rPr>
            </w:pPr>
            <w:r>
              <w:rPr>
                <w:rFonts w:ascii="Times New Roman" w:cs="Times New Roman" w:eastAsia="Times New Roman" w:hAnsi="Times New Roman"/>
                <w:sz w:val="7"/>
                <w:szCs w:val="7"/>
                <w:b w:val="1"/>
                <w:bCs w:val="1"/>
                <w:color w:val="auto"/>
              </w:rPr>
              <w:t>(3), (4)</w:t>
            </w:r>
          </w:p>
        </w:tc>
        <w:tc>
          <w:tcPr>
            <w:tcW w:w="1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6"/>
        </w:trPr>
        <w:tc>
          <w:tcPr>
            <w:tcW w:w="236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First Lien Secured Debt—155.8%</w:t>
            </w: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3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18 Freemont Street Acquisition, LLC</w:t>
            </w:r>
          </w:p>
        </w:tc>
        <w:tc>
          <w:tcPr>
            <w:tcW w:w="880" w:type="dxa"/>
            <w:vAlign w:val="bottom"/>
            <w:gridSpan w:val="2"/>
            <w:shd w:val="clear" w:color="auto" w:fill="CCECFF"/>
          </w:tcPr>
          <w:p>
            <w:pPr>
              <w:ind w:left="260"/>
              <w:spacing w:after="0"/>
              <w:rPr>
                <w:sz w:val="20"/>
                <w:szCs w:val="20"/>
                <w:color w:val="auto"/>
              </w:rPr>
            </w:pPr>
            <w:r>
              <w:rPr>
                <w:rFonts w:ascii="Times New Roman" w:cs="Times New Roman" w:eastAsia="Times New Roman" w:hAnsi="Times New Roman"/>
                <w:sz w:val="11"/>
                <w:szCs w:val="11"/>
                <w:color w:val="auto"/>
              </w:rPr>
              <w:t>08/11/2025</w:t>
            </w:r>
          </w:p>
        </w:tc>
        <w:tc>
          <w:tcPr>
            <w:tcW w:w="140" w:type="dxa"/>
            <w:vAlign w:val="bottom"/>
            <w:shd w:val="clear" w:color="auto" w:fill="CCECFF"/>
          </w:tcPr>
          <w:p>
            <w:pPr>
              <w:spacing w:after="0"/>
              <w:rPr>
                <w:sz w:val="12"/>
                <w:szCs w:val="12"/>
                <w:color w:val="auto"/>
              </w:rPr>
            </w:pPr>
          </w:p>
        </w:tc>
        <w:tc>
          <w:tcPr>
            <w:tcW w:w="25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Hotels, Restaurants and Leisure</w:t>
            </w:r>
          </w:p>
        </w:tc>
        <w:tc>
          <w:tcPr>
            <w:tcW w:w="1220" w:type="dxa"/>
            <w:vAlign w:val="bottom"/>
            <w:gridSpan w:val="3"/>
            <w:shd w:val="clear" w:color="auto" w:fill="CCECFF"/>
          </w:tcPr>
          <w:p>
            <w:pPr>
              <w:jc w:val="right"/>
              <w:ind w:right="20"/>
              <w:spacing w:after="0"/>
              <w:rPr>
                <w:sz w:val="20"/>
                <w:szCs w:val="20"/>
                <w:color w:val="auto"/>
              </w:rPr>
            </w:pPr>
            <w:r>
              <w:rPr>
                <w:rFonts w:ascii="Times New Roman" w:cs="Times New Roman" w:eastAsia="Times New Roman" w:hAnsi="Times New Roman"/>
                <w:sz w:val="11"/>
                <w:szCs w:val="11"/>
                <w:color w:val="auto"/>
              </w:rPr>
              <w:t>9.50 %</w:t>
            </w:r>
          </w:p>
        </w:tc>
        <w:tc>
          <w:tcPr>
            <w:tcW w:w="140" w:type="dxa"/>
            <w:vAlign w:val="bottom"/>
            <w:shd w:val="clear" w:color="auto" w:fill="CCECFF"/>
          </w:tcPr>
          <w:p>
            <w:pPr>
              <w:spacing w:after="0"/>
              <w:rPr>
                <w:sz w:val="12"/>
                <w:szCs w:val="12"/>
                <w:color w:val="auto"/>
              </w:rPr>
            </w:pPr>
          </w:p>
        </w:tc>
        <w:tc>
          <w:tcPr>
            <w:tcW w:w="7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1M L+800</w:t>
            </w:r>
          </w:p>
        </w:tc>
        <w:tc>
          <w:tcPr>
            <w:tcW w:w="10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5,996</w:t>
            </w:r>
          </w:p>
        </w:tc>
        <w:tc>
          <w:tcPr>
            <w:tcW w:w="400" w:type="dxa"/>
            <w:vAlign w:val="bottom"/>
            <w:gridSpan w:val="2"/>
            <w:shd w:val="clear" w:color="auto" w:fill="CCEC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5,910</w:t>
            </w:r>
          </w:p>
        </w:tc>
        <w:tc>
          <w:tcPr>
            <w:tcW w:w="300" w:type="dxa"/>
            <w:vAlign w:val="bottom"/>
            <w:gridSpan w:val="2"/>
            <w:shd w:val="clear" w:color="auto" w:fill="CCECFF"/>
          </w:tcPr>
          <w:p>
            <w:pPr>
              <w:jc w:val="right"/>
              <w:ind w:right="2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6,101</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03"/>
        </w:trPr>
        <w:tc>
          <w:tcPr>
            <w:tcW w:w="2360" w:type="dxa"/>
            <w:vAlign w:val="bottom"/>
          </w:tcPr>
          <w:p>
            <w:pPr>
              <w:ind w:left="20"/>
              <w:spacing w:after="0" w:line="103" w:lineRule="exact"/>
              <w:rPr>
                <w:sz w:val="20"/>
                <w:szCs w:val="20"/>
                <w:color w:val="auto"/>
              </w:rPr>
            </w:pPr>
            <w:r>
              <w:rPr>
                <w:rFonts w:ascii="Times New Roman" w:cs="Times New Roman" w:eastAsia="Times New Roman" w:hAnsi="Times New Roman"/>
                <w:sz w:val="11"/>
                <w:szCs w:val="11"/>
                <w:color w:val="auto"/>
              </w:rPr>
              <w:t>Ad.net Acquisition, LLC</w:t>
            </w:r>
          </w:p>
        </w:tc>
        <w:tc>
          <w:tcPr>
            <w:tcW w:w="880" w:type="dxa"/>
            <w:vAlign w:val="bottom"/>
            <w:gridSpan w:val="2"/>
          </w:tcPr>
          <w:p>
            <w:pPr>
              <w:ind w:left="260"/>
              <w:spacing w:after="0" w:line="103" w:lineRule="exact"/>
              <w:rPr>
                <w:sz w:val="20"/>
                <w:szCs w:val="20"/>
                <w:color w:val="auto"/>
              </w:rPr>
            </w:pPr>
            <w:r>
              <w:rPr>
                <w:rFonts w:ascii="Times New Roman" w:cs="Times New Roman" w:eastAsia="Times New Roman" w:hAnsi="Times New Roman"/>
                <w:sz w:val="11"/>
                <w:szCs w:val="11"/>
                <w:color w:val="auto"/>
              </w:rPr>
              <w:t>05/06/2026</w:t>
            </w:r>
          </w:p>
        </w:tc>
        <w:tc>
          <w:tcPr>
            <w:tcW w:w="140" w:type="dxa"/>
            <w:vAlign w:val="bottom"/>
          </w:tcPr>
          <w:p>
            <w:pPr>
              <w:spacing w:after="0"/>
              <w:rPr>
                <w:sz w:val="8"/>
                <w:szCs w:val="8"/>
                <w:color w:val="auto"/>
              </w:rPr>
            </w:pPr>
          </w:p>
        </w:tc>
        <w:tc>
          <w:tcPr>
            <w:tcW w:w="2560" w:type="dxa"/>
            <w:vAlign w:val="bottom"/>
          </w:tcPr>
          <w:p>
            <w:pPr>
              <w:jc w:val="center"/>
              <w:spacing w:after="0" w:line="103" w:lineRule="exact"/>
              <w:rPr>
                <w:sz w:val="20"/>
                <w:szCs w:val="20"/>
                <w:color w:val="auto"/>
              </w:rPr>
            </w:pPr>
            <w:r>
              <w:rPr>
                <w:rFonts w:ascii="Times New Roman" w:cs="Times New Roman" w:eastAsia="Times New Roman" w:hAnsi="Times New Roman"/>
                <w:sz w:val="11"/>
                <w:szCs w:val="11"/>
                <w:color w:val="auto"/>
                <w:w w:val="99"/>
              </w:rPr>
              <w:t>Media</w:t>
            </w:r>
          </w:p>
        </w:tc>
        <w:tc>
          <w:tcPr>
            <w:tcW w:w="1220" w:type="dxa"/>
            <w:vAlign w:val="bottom"/>
            <w:gridSpan w:val="3"/>
          </w:tcPr>
          <w:p>
            <w:pPr>
              <w:jc w:val="right"/>
              <w:ind w:right="20"/>
              <w:spacing w:after="0" w:line="103" w:lineRule="exact"/>
              <w:rPr>
                <w:sz w:val="20"/>
                <w:szCs w:val="20"/>
                <w:color w:val="auto"/>
              </w:rPr>
            </w:pPr>
            <w:r>
              <w:rPr>
                <w:rFonts w:ascii="Times New Roman" w:cs="Times New Roman" w:eastAsia="Times New Roman" w:hAnsi="Times New Roman"/>
                <w:sz w:val="11"/>
                <w:szCs w:val="11"/>
                <w:color w:val="auto"/>
              </w:rPr>
              <w:t>7.00 %</w:t>
            </w:r>
          </w:p>
        </w:tc>
        <w:tc>
          <w:tcPr>
            <w:tcW w:w="140" w:type="dxa"/>
            <w:vAlign w:val="bottom"/>
          </w:tcPr>
          <w:p>
            <w:pPr>
              <w:spacing w:after="0"/>
              <w:rPr>
                <w:sz w:val="8"/>
                <w:szCs w:val="8"/>
                <w:color w:val="auto"/>
              </w:rPr>
            </w:pPr>
          </w:p>
        </w:tc>
        <w:tc>
          <w:tcPr>
            <w:tcW w:w="780" w:type="dxa"/>
            <w:vAlign w:val="bottom"/>
          </w:tcPr>
          <w:p>
            <w:pPr>
              <w:jc w:val="right"/>
              <w:spacing w:after="0" w:line="103" w:lineRule="exact"/>
              <w:rPr>
                <w:sz w:val="20"/>
                <w:szCs w:val="20"/>
                <w:color w:val="auto"/>
              </w:rPr>
            </w:pPr>
            <w:r>
              <w:rPr>
                <w:rFonts w:ascii="Times New Roman" w:cs="Times New Roman" w:eastAsia="Times New Roman" w:hAnsi="Times New Roman"/>
                <w:sz w:val="11"/>
                <w:szCs w:val="11"/>
                <w:color w:val="auto"/>
              </w:rPr>
              <w:t>3M L+600</w:t>
            </w:r>
          </w:p>
        </w:tc>
        <w:tc>
          <w:tcPr>
            <w:tcW w:w="1040" w:type="dxa"/>
            <w:vAlign w:val="bottom"/>
            <w:gridSpan w:val="2"/>
          </w:tcPr>
          <w:p>
            <w:pPr>
              <w:jc w:val="right"/>
              <w:spacing w:after="0" w:line="103" w:lineRule="exact"/>
              <w:rPr>
                <w:sz w:val="20"/>
                <w:szCs w:val="20"/>
                <w:color w:val="auto"/>
              </w:rPr>
            </w:pPr>
            <w:r>
              <w:rPr>
                <w:rFonts w:ascii="Times New Roman" w:cs="Times New Roman" w:eastAsia="Times New Roman" w:hAnsi="Times New Roman"/>
                <w:sz w:val="11"/>
                <w:szCs w:val="11"/>
                <w:color w:val="auto"/>
              </w:rPr>
              <w:t>4,988</w:t>
            </w: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tcPr>
          <w:p>
            <w:pPr>
              <w:jc w:val="right"/>
              <w:spacing w:after="0" w:line="103" w:lineRule="exact"/>
              <w:rPr>
                <w:sz w:val="20"/>
                <w:szCs w:val="20"/>
                <w:color w:val="auto"/>
              </w:rPr>
            </w:pPr>
            <w:r>
              <w:rPr>
                <w:rFonts w:ascii="Times New Roman" w:cs="Times New Roman" w:eastAsia="Times New Roman" w:hAnsi="Times New Roman"/>
                <w:sz w:val="11"/>
                <w:szCs w:val="11"/>
                <w:color w:val="auto"/>
              </w:rPr>
              <w:t>4,917</w:t>
            </w: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jc w:val="right"/>
              <w:spacing w:after="0" w:line="103" w:lineRule="exact"/>
              <w:rPr>
                <w:sz w:val="20"/>
                <w:szCs w:val="20"/>
                <w:color w:val="auto"/>
              </w:rPr>
            </w:pPr>
            <w:r>
              <w:rPr>
                <w:rFonts w:ascii="Times New Roman" w:cs="Times New Roman" w:eastAsia="Times New Roman" w:hAnsi="Times New Roman"/>
                <w:sz w:val="11"/>
                <w:szCs w:val="11"/>
                <w:color w:val="auto"/>
              </w:rPr>
              <w:t>4,913</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236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Ad.net Acquisition, LLC (Revolver) </w:t>
            </w:r>
            <w:r>
              <w:rPr>
                <w:rFonts w:ascii="Times New Roman" w:cs="Times New Roman" w:eastAsia="Times New Roman" w:hAnsi="Times New Roman"/>
                <w:sz w:val="14"/>
                <w:szCs w:val="14"/>
                <w:color w:val="auto"/>
                <w:vertAlign w:val="superscript"/>
              </w:rPr>
              <w:t>(7)</w:t>
            </w:r>
          </w:p>
        </w:tc>
        <w:tc>
          <w:tcPr>
            <w:tcW w:w="880" w:type="dxa"/>
            <w:vAlign w:val="bottom"/>
            <w:gridSpan w:val="2"/>
          </w:tcPr>
          <w:p>
            <w:pPr>
              <w:ind w:left="260"/>
              <w:spacing w:after="0"/>
              <w:rPr>
                <w:sz w:val="20"/>
                <w:szCs w:val="20"/>
                <w:color w:val="auto"/>
              </w:rPr>
            </w:pPr>
            <w:r>
              <w:rPr>
                <w:rFonts w:ascii="Times New Roman" w:cs="Times New Roman" w:eastAsia="Times New Roman" w:hAnsi="Times New Roman"/>
                <w:sz w:val="11"/>
                <w:szCs w:val="11"/>
                <w:color w:val="auto"/>
              </w:rPr>
              <w:t>05/06/2026</w:t>
            </w:r>
          </w:p>
        </w:tc>
        <w:tc>
          <w:tcPr>
            <w:tcW w:w="140" w:type="dxa"/>
            <w:vAlign w:val="bottom"/>
          </w:tcPr>
          <w:p>
            <w:pPr>
              <w:spacing w:after="0"/>
              <w:rPr>
                <w:sz w:val="11"/>
                <w:szCs w:val="11"/>
                <w:color w:val="auto"/>
              </w:rPr>
            </w:pPr>
          </w:p>
        </w:tc>
        <w:tc>
          <w:tcPr>
            <w:tcW w:w="25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Media</w:t>
            </w:r>
          </w:p>
        </w:tc>
        <w:tc>
          <w:tcPr>
            <w:tcW w:w="1220" w:type="dxa"/>
            <w:vAlign w:val="bottom"/>
            <w:gridSpan w:val="3"/>
          </w:tcPr>
          <w:p>
            <w:pPr>
              <w:jc w:val="right"/>
              <w:ind w:right="20"/>
              <w:spacing w:after="0"/>
              <w:rPr>
                <w:sz w:val="20"/>
                <w:szCs w:val="20"/>
                <w:color w:val="auto"/>
              </w:rPr>
            </w:pPr>
            <w:r>
              <w:rPr>
                <w:rFonts w:ascii="Times New Roman" w:cs="Times New Roman" w:eastAsia="Times New Roman" w:hAnsi="Times New Roman"/>
                <w:sz w:val="11"/>
                <w:szCs w:val="11"/>
                <w:color w:val="auto"/>
              </w:rPr>
              <w:t>7.00 %</w:t>
            </w:r>
          </w:p>
        </w:tc>
        <w:tc>
          <w:tcPr>
            <w:tcW w:w="14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L+600</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212</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212</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208</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360" w:type="dxa"/>
            <w:vAlign w:val="bottom"/>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Ad.net Acquisition, LLC (Revolver) </w:t>
            </w:r>
            <w:r>
              <w:rPr>
                <w:rFonts w:ascii="Times New Roman" w:cs="Times New Roman" w:eastAsia="Times New Roman" w:hAnsi="Times New Roman"/>
                <w:sz w:val="14"/>
                <w:szCs w:val="14"/>
                <w:color w:val="auto"/>
                <w:vertAlign w:val="superscript"/>
              </w:rPr>
              <w:t>(7), (9)</w:t>
            </w:r>
          </w:p>
        </w:tc>
        <w:tc>
          <w:tcPr>
            <w:tcW w:w="880" w:type="dxa"/>
            <w:vAlign w:val="bottom"/>
            <w:gridSpan w:val="2"/>
          </w:tcPr>
          <w:p>
            <w:pPr>
              <w:ind w:left="260"/>
              <w:spacing w:after="0"/>
              <w:rPr>
                <w:sz w:val="20"/>
                <w:szCs w:val="20"/>
                <w:color w:val="auto"/>
              </w:rPr>
            </w:pPr>
            <w:r>
              <w:rPr>
                <w:rFonts w:ascii="Times New Roman" w:cs="Times New Roman" w:eastAsia="Times New Roman" w:hAnsi="Times New Roman"/>
                <w:sz w:val="11"/>
                <w:szCs w:val="11"/>
                <w:color w:val="auto"/>
              </w:rPr>
              <w:t>05/06/2026</w:t>
            </w:r>
          </w:p>
        </w:tc>
        <w:tc>
          <w:tcPr>
            <w:tcW w:w="140" w:type="dxa"/>
            <w:vAlign w:val="bottom"/>
          </w:tcPr>
          <w:p>
            <w:pPr>
              <w:spacing w:after="0"/>
              <w:rPr>
                <w:sz w:val="13"/>
                <w:szCs w:val="13"/>
                <w:color w:val="auto"/>
              </w:rPr>
            </w:pPr>
          </w:p>
        </w:tc>
        <w:tc>
          <w:tcPr>
            <w:tcW w:w="25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Media</w:t>
            </w:r>
          </w:p>
        </w:tc>
        <w:tc>
          <w:tcPr>
            <w:tcW w:w="120" w:type="dxa"/>
            <w:vAlign w:val="bottom"/>
          </w:tcPr>
          <w:p>
            <w:pPr>
              <w:spacing w:after="0"/>
              <w:rPr>
                <w:sz w:val="13"/>
                <w:szCs w:val="13"/>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1,033</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(15 )</w:t>
            </w:r>
          </w:p>
        </w:tc>
        <w:tc>
          <w:tcPr>
            <w:tcW w:w="0" w:type="dxa"/>
            <w:vAlign w:val="bottom"/>
          </w:tcPr>
          <w:p>
            <w:pPr>
              <w:spacing w:after="0"/>
              <w:rPr>
                <w:sz w:val="1"/>
                <w:szCs w:val="1"/>
                <w:color w:val="auto"/>
              </w:rPr>
            </w:pPr>
          </w:p>
        </w:tc>
      </w:tr>
      <w:tr>
        <w:trPr>
          <w:trHeight w:val="117"/>
        </w:trPr>
        <w:tc>
          <w:tcPr>
            <w:tcW w:w="2360" w:type="dxa"/>
            <w:vAlign w:val="bottom"/>
          </w:tcPr>
          <w:p>
            <w:pPr>
              <w:ind w:left="20"/>
              <w:spacing w:after="0" w:line="117" w:lineRule="exact"/>
              <w:rPr>
                <w:sz w:val="20"/>
                <w:szCs w:val="20"/>
                <w:color w:val="auto"/>
              </w:rPr>
            </w:pPr>
            <w:r>
              <w:rPr>
                <w:rFonts w:ascii="Times New Roman" w:cs="Times New Roman" w:eastAsia="Times New Roman" w:hAnsi="Times New Roman"/>
                <w:sz w:val="11"/>
                <w:szCs w:val="11"/>
                <w:color w:val="auto"/>
              </w:rPr>
              <w:t>Altamira Technologies, LLC</w:t>
            </w:r>
          </w:p>
        </w:tc>
        <w:tc>
          <w:tcPr>
            <w:tcW w:w="880" w:type="dxa"/>
            <w:vAlign w:val="bottom"/>
            <w:gridSpan w:val="2"/>
          </w:tcPr>
          <w:p>
            <w:pPr>
              <w:ind w:left="260"/>
              <w:spacing w:after="0" w:line="117" w:lineRule="exact"/>
              <w:rPr>
                <w:sz w:val="20"/>
                <w:szCs w:val="20"/>
                <w:color w:val="auto"/>
              </w:rPr>
            </w:pPr>
            <w:r>
              <w:rPr>
                <w:rFonts w:ascii="Times New Roman" w:cs="Times New Roman" w:eastAsia="Times New Roman" w:hAnsi="Times New Roman"/>
                <w:sz w:val="11"/>
                <w:szCs w:val="11"/>
                <w:color w:val="auto"/>
              </w:rPr>
              <w:t>07/24/2025</w:t>
            </w:r>
          </w:p>
        </w:tc>
        <w:tc>
          <w:tcPr>
            <w:tcW w:w="140" w:type="dxa"/>
            <w:vAlign w:val="bottom"/>
          </w:tcPr>
          <w:p>
            <w:pPr>
              <w:spacing w:after="0"/>
              <w:rPr>
                <w:sz w:val="10"/>
                <w:szCs w:val="10"/>
                <w:color w:val="auto"/>
              </w:rPr>
            </w:pPr>
          </w:p>
        </w:tc>
        <w:tc>
          <w:tcPr>
            <w:tcW w:w="256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color w:val="auto"/>
                <w:w w:val="95"/>
              </w:rPr>
              <w:t>IT Services</w:t>
            </w:r>
          </w:p>
        </w:tc>
        <w:tc>
          <w:tcPr>
            <w:tcW w:w="1220" w:type="dxa"/>
            <w:vAlign w:val="bottom"/>
            <w:gridSpan w:val="3"/>
          </w:tcPr>
          <w:p>
            <w:pPr>
              <w:jc w:val="right"/>
              <w:ind w:right="20"/>
              <w:spacing w:after="0" w:line="117" w:lineRule="exact"/>
              <w:rPr>
                <w:sz w:val="20"/>
                <w:szCs w:val="20"/>
                <w:color w:val="auto"/>
              </w:rPr>
            </w:pPr>
            <w:r>
              <w:rPr>
                <w:rFonts w:ascii="Times New Roman" w:cs="Times New Roman" w:eastAsia="Times New Roman" w:hAnsi="Times New Roman"/>
                <w:sz w:val="11"/>
                <w:szCs w:val="11"/>
                <w:color w:val="auto"/>
              </w:rPr>
              <w:t>8.00 %</w:t>
            </w:r>
          </w:p>
        </w:tc>
        <w:tc>
          <w:tcPr>
            <w:tcW w:w="140" w:type="dxa"/>
            <w:vAlign w:val="bottom"/>
          </w:tcPr>
          <w:p>
            <w:pPr>
              <w:spacing w:after="0"/>
              <w:rPr>
                <w:sz w:val="10"/>
                <w:szCs w:val="10"/>
                <w:color w:val="auto"/>
              </w:rPr>
            </w:pPr>
          </w:p>
        </w:tc>
        <w:tc>
          <w:tcPr>
            <w:tcW w:w="78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3M L+700</w:t>
            </w:r>
          </w:p>
        </w:tc>
        <w:tc>
          <w:tcPr>
            <w:tcW w:w="104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1"/>
                <w:szCs w:val="11"/>
                <w:color w:val="auto"/>
              </w:rPr>
              <w:t>5,069</w:t>
            </w: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5,016</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4,752</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36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Altamira Technologies, LLC (Revolver) </w:t>
            </w:r>
            <w:r>
              <w:rPr>
                <w:rFonts w:ascii="Times New Roman" w:cs="Times New Roman" w:eastAsia="Times New Roman" w:hAnsi="Times New Roman"/>
                <w:sz w:val="14"/>
                <w:szCs w:val="14"/>
                <w:color w:val="auto"/>
                <w:vertAlign w:val="superscript"/>
              </w:rPr>
              <w:t>(7)</w:t>
            </w:r>
          </w:p>
        </w:tc>
        <w:tc>
          <w:tcPr>
            <w:tcW w:w="880" w:type="dxa"/>
            <w:vAlign w:val="bottom"/>
            <w:gridSpan w:val="2"/>
          </w:tcPr>
          <w:p>
            <w:pPr>
              <w:ind w:left="260"/>
              <w:spacing w:after="0"/>
              <w:rPr>
                <w:sz w:val="20"/>
                <w:szCs w:val="20"/>
                <w:color w:val="auto"/>
              </w:rPr>
            </w:pPr>
            <w:r>
              <w:rPr>
                <w:rFonts w:ascii="Times New Roman" w:cs="Times New Roman" w:eastAsia="Times New Roman" w:hAnsi="Times New Roman"/>
                <w:sz w:val="11"/>
                <w:szCs w:val="11"/>
                <w:color w:val="auto"/>
              </w:rPr>
              <w:t>07/24/2025</w:t>
            </w:r>
          </w:p>
        </w:tc>
        <w:tc>
          <w:tcPr>
            <w:tcW w:w="140" w:type="dxa"/>
            <w:vAlign w:val="bottom"/>
          </w:tcPr>
          <w:p>
            <w:pPr>
              <w:spacing w:after="0"/>
              <w:rPr>
                <w:sz w:val="11"/>
                <w:szCs w:val="11"/>
                <w:color w:val="auto"/>
              </w:rPr>
            </w:pPr>
          </w:p>
        </w:tc>
        <w:tc>
          <w:tcPr>
            <w:tcW w:w="25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5"/>
              </w:rPr>
              <w:t>IT Services</w:t>
            </w:r>
          </w:p>
        </w:tc>
        <w:tc>
          <w:tcPr>
            <w:tcW w:w="1220" w:type="dxa"/>
            <w:vAlign w:val="bottom"/>
            <w:gridSpan w:val="3"/>
          </w:tcPr>
          <w:p>
            <w:pPr>
              <w:jc w:val="right"/>
              <w:ind w:right="20"/>
              <w:spacing w:after="0"/>
              <w:rPr>
                <w:sz w:val="20"/>
                <w:szCs w:val="20"/>
                <w:color w:val="auto"/>
              </w:rPr>
            </w:pPr>
            <w:r>
              <w:rPr>
                <w:rFonts w:ascii="Times New Roman" w:cs="Times New Roman" w:eastAsia="Times New Roman" w:hAnsi="Times New Roman"/>
                <w:sz w:val="11"/>
                <w:szCs w:val="11"/>
                <w:color w:val="auto"/>
              </w:rPr>
              <w:t>8.00 %</w:t>
            </w:r>
          </w:p>
        </w:tc>
        <w:tc>
          <w:tcPr>
            <w:tcW w:w="14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L+700</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575</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575</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539</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360" w:type="dxa"/>
            <w:vAlign w:val="bottom"/>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Altamira Technologies, LLC (Revolver) </w:t>
            </w:r>
            <w:r>
              <w:rPr>
                <w:rFonts w:ascii="Times New Roman" w:cs="Times New Roman" w:eastAsia="Times New Roman" w:hAnsi="Times New Roman"/>
                <w:sz w:val="14"/>
                <w:szCs w:val="14"/>
                <w:color w:val="auto"/>
                <w:vertAlign w:val="superscript"/>
              </w:rPr>
              <w:t>(7), (9)</w:t>
            </w:r>
          </w:p>
        </w:tc>
        <w:tc>
          <w:tcPr>
            <w:tcW w:w="880" w:type="dxa"/>
            <w:vAlign w:val="bottom"/>
            <w:gridSpan w:val="2"/>
          </w:tcPr>
          <w:p>
            <w:pPr>
              <w:ind w:left="260"/>
              <w:spacing w:after="0"/>
              <w:rPr>
                <w:sz w:val="20"/>
                <w:szCs w:val="20"/>
                <w:color w:val="auto"/>
              </w:rPr>
            </w:pPr>
            <w:r>
              <w:rPr>
                <w:rFonts w:ascii="Times New Roman" w:cs="Times New Roman" w:eastAsia="Times New Roman" w:hAnsi="Times New Roman"/>
                <w:sz w:val="11"/>
                <w:szCs w:val="11"/>
                <w:color w:val="auto"/>
              </w:rPr>
              <w:t>07/24/2025</w:t>
            </w:r>
          </w:p>
        </w:tc>
        <w:tc>
          <w:tcPr>
            <w:tcW w:w="140" w:type="dxa"/>
            <w:vAlign w:val="bottom"/>
          </w:tcPr>
          <w:p>
            <w:pPr>
              <w:spacing w:after="0"/>
              <w:rPr>
                <w:sz w:val="13"/>
                <w:szCs w:val="13"/>
                <w:color w:val="auto"/>
              </w:rPr>
            </w:pPr>
          </w:p>
        </w:tc>
        <w:tc>
          <w:tcPr>
            <w:tcW w:w="25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5"/>
              </w:rPr>
              <w:t>IT Services</w:t>
            </w:r>
          </w:p>
        </w:tc>
        <w:tc>
          <w:tcPr>
            <w:tcW w:w="120" w:type="dxa"/>
            <w:vAlign w:val="bottom"/>
          </w:tcPr>
          <w:p>
            <w:pPr>
              <w:spacing w:after="0"/>
              <w:rPr>
                <w:sz w:val="13"/>
                <w:szCs w:val="13"/>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1,581</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(99 )</w:t>
            </w:r>
          </w:p>
        </w:tc>
        <w:tc>
          <w:tcPr>
            <w:tcW w:w="0" w:type="dxa"/>
            <w:vAlign w:val="bottom"/>
          </w:tcPr>
          <w:p>
            <w:pPr>
              <w:spacing w:after="0"/>
              <w:rPr>
                <w:sz w:val="1"/>
                <w:szCs w:val="1"/>
                <w:color w:val="auto"/>
              </w:rPr>
            </w:pPr>
          </w:p>
        </w:tc>
      </w:tr>
      <w:tr>
        <w:trPr>
          <w:trHeight w:val="125"/>
        </w:trPr>
        <w:tc>
          <w:tcPr>
            <w:tcW w:w="2360" w:type="dxa"/>
            <w:vAlign w:val="bottom"/>
          </w:tcPr>
          <w:p>
            <w:pPr>
              <w:ind w:left="20"/>
              <w:spacing w:after="0" w:line="125" w:lineRule="exact"/>
              <w:rPr>
                <w:sz w:val="20"/>
                <w:szCs w:val="20"/>
                <w:color w:val="auto"/>
              </w:rPr>
            </w:pPr>
            <w:r>
              <w:rPr>
                <w:rFonts w:ascii="Times New Roman" w:cs="Times New Roman" w:eastAsia="Times New Roman" w:hAnsi="Times New Roman"/>
                <w:sz w:val="11"/>
                <w:szCs w:val="11"/>
                <w:color w:val="auto"/>
              </w:rPr>
              <w:t>American Insulated Glass, LLC</w:t>
            </w:r>
          </w:p>
        </w:tc>
        <w:tc>
          <w:tcPr>
            <w:tcW w:w="880" w:type="dxa"/>
            <w:vAlign w:val="bottom"/>
            <w:gridSpan w:val="2"/>
          </w:tcPr>
          <w:p>
            <w:pPr>
              <w:ind w:left="260"/>
              <w:spacing w:after="0" w:line="125" w:lineRule="exact"/>
              <w:rPr>
                <w:sz w:val="20"/>
                <w:szCs w:val="20"/>
                <w:color w:val="auto"/>
              </w:rPr>
            </w:pPr>
            <w:r>
              <w:rPr>
                <w:rFonts w:ascii="Times New Roman" w:cs="Times New Roman" w:eastAsia="Times New Roman" w:hAnsi="Times New Roman"/>
                <w:sz w:val="11"/>
                <w:szCs w:val="11"/>
                <w:color w:val="auto"/>
              </w:rPr>
              <w:t>12/21/2023</w:t>
            </w:r>
          </w:p>
        </w:tc>
        <w:tc>
          <w:tcPr>
            <w:tcW w:w="140" w:type="dxa"/>
            <w:vAlign w:val="bottom"/>
          </w:tcPr>
          <w:p>
            <w:pPr>
              <w:spacing w:after="0"/>
              <w:rPr>
                <w:sz w:val="10"/>
                <w:szCs w:val="10"/>
                <w:color w:val="auto"/>
              </w:rPr>
            </w:pPr>
          </w:p>
        </w:tc>
        <w:tc>
          <w:tcPr>
            <w:tcW w:w="2560" w:type="dxa"/>
            <w:vAlign w:val="bottom"/>
          </w:tcPr>
          <w:p>
            <w:pPr>
              <w:jc w:val="center"/>
              <w:spacing w:after="0" w:line="125" w:lineRule="exact"/>
              <w:rPr>
                <w:sz w:val="20"/>
                <w:szCs w:val="20"/>
                <w:color w:val="auto"/>
              </w:rPr>
            </w:pPr>
            <w:r>
              <w:rPr>
                <w:rFonts w:ascii="Times New Roman" w:cs="Times New Roman" w:eastAsia="Times New Roman" w:hAnsi="Times New Roman"/>
                <w:sz w:val="11"/>
                <w:szCs w:val="11"/>
                <w:color w:val="auto"/>
              </w:rPr>
              <w:t>Building Products</w:t>
            </w:r>
          </w:p>
        </w:tc>
        <w:tc>
          <w:tcPr>
            <w:tcW w:w="1220" w:type="dxa"/>
            <w:vAlign w:val="bottom"/>
            <w:gridSpan w:val="3"/>
          </w:tcPr>
          <w:p>
            <w:pPr>
              <w:jc w:val="right"/>
              <w:ind w:right="20"/>
              <w:spacing w:after="0" w:line="125" w:lineRule="exact"/>
              <w:rPr>
                <w:sz w:val="20"/>
                <w:szCs w:val="20"/>
                <w:color w:val="auto"/>
              </w:rPr>
            </w:pPr>
            <w:r>
              <w:rPr>
                <w:rFonts w:ascii="Times New Roman" w:cs="Times New Roman" w:eastAsia="Times New Roman" w:hAnsi="Times New Roman"/>
                <w:sz w:val="11"/>
                <w:szCs w:val="11"/>
                <w:color w:val="auto"/>
              </w:rPr>
              <w:t>6.50 %</w:t>
            </w:r>
          </w:p>
        </w:tc>
        <w:tc>
          <w:tcPr>
            <w:tcW w:w="140" w:type="dxa"/>
            <w:vAlign w:val="bottom"/>
          </w:tcPr>
          <w:p>
            <w:pPr>
              <w:jc w:val="right"/>
              <w:ind w:right="4"/>
              <w:spacing w:after="0"/>
              <w:rPr>
                <w:sz w:val="20"/>
                <w:szCs w:val="20"/>
                <w:color w:val="auto"/>
              </w:rPr>
            </w:pPr>
            <w:r>
              <w:rPr>
                <w:rFonts w:ascii="Times New Roman" w:cs="Times New Roman" w:eastAsia="Times New Roman" w:hAnsi="Times New Roman"/>
                <w:sz w:val="7"/>
                <w:szCs w:val="7"/>
                <w:color w:val="auto"/>
                <w:w w:val="97"/>
              </w:rPr>
              <w:t>(6)</w:t>
            </w:r>
          </w:p>
        </w:tc>
        <w:tc>
          <w:tcPr>
            <w:tcW w:w="780" w:type="dxa"/>
            <w:vAlign w:val="bottom"/>
          </w:tcPr>
          <w:p>
            <w:pPr>
              <w:jc w:val="right"/>
              <w:spacing w:after="0" w:line="125" w:lineRule="exact"/>
              <w:rPr>
                <w:sz w:val="20"/>
                <w:szCs w:val="20"/>
                <w:color w:val="auto"/>
              </w:rPr>
            </w:pPr>
            <w:r>
              <w:rPr>
                <w:rFonts w:ascii="Times New Roman" w:cs="Times New Roman" w:eastAsia="Times New Roman" w:hAnsi="Times New Roman"/>
                <w:sz w:val="11"/>
                <w:szCs w:val="11"/>
                <w:color w:val="auto"/>
              </w:rPr>
              <w:t>3M L+550</w:t>
            </w:r>
          </w:p>
        </w:tc>
        <w:tc>
          <w:tcPr>
            <w:tcW w:w="1040" w:type="dxa"/>
            <w:vAlign w:val="bottom"/>
            <w:gridSpan w:val="2"/>
          </w:tcPr>
          <w:p>
            <w:pPr>
              <w:jc w:val="right"/>
              <w:spacing w:after="0" w:line="125" w:lineRule="exact"/>
              <w:rPr>
                <w:sz w:val="20"/>
                <w:szCs w:val="20"/>
                <w:color w:val="auto"/>
              </w:rPr>
            </w:pPr>
            <w:r>
              <w:rPr>
                <w:rFonts w:ascii="Times New Roman" w:cs="Times New Roman" w:eastAsia="Times New Roman" w:hAnsi="Times New Roman"/>
                <w:sz w:val="11"/>
                <w:szCs w:val="11"/>
                <w:color w:val="auto"/>
              </w:rPr>
              <w:t>8,905</w:t>
            </w: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Pr>
          <w:p>
            <w:pPr>
              <w:jc w:val="right"/>
              <w:spacing w:after="0" w:line="125" w:lineRule="exact"/>
              <w:rPr>
                <w:sz w:val="20"/>
                <w:szCs w:val="20"/>
                <w:color w:val="auto"/>
              </w:rPr>
            </w:pPr>
            <w:r>
              <w:rPr>
                <w:rFonts w:ascii="Times New Roman" w:cs="Times New Roman" w:eastAsia="Times New Roman" w:hAnsi="Times New Roman"/>
                <w:sz w:val="11"/>
                <w:szCs w:val="11"/>
                <w:color w:val="auto"/>
              </w:rPr>
              <w:t>8,818</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jc w:val="right"/>
              <w:spacing w:after="0" w:line="125" w:lineRule="exact"/>
              <w:rPr>
                <w:sz w:val="20"/>
                <w:szCs w:val="20"/>
                <w:color w:val="auto"/>
              </w:rPr>
            </w:pPr>
            <w:r>
              <w:rPr>
                <w:rFonts w:ascii="Times New Roman" w:cs="Times New Roman" w:eastAsia="Times New Roman" w:hAnsi="Times New Roman"/>
                <w:sz w:val="11"/>
                <w:szCs w:val="11"/>
                <w:color w:val="auto"/>
              </w:rPr>
              <w:t>8,816</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2360" w:type="dxa"/>
            <w:vAlign w:val="bottom"/>
          </w:tcPr>
          <w:p>
            <w:pPr>
              <w:ind w:left="20"/>
              <w:spacing w:after="0" w:line="145" w:lineRule="exact"/>
              <w:rPr>
                <w:sz w:val="20"/>
                <w:szCs w:val="20"/>
                <w:color w:val="auto"/>
              </w:rPr>
            </w:pPr>
            <w:r>
              <w:rPr>
                <w:rFonts w:ascii="Times New Roman" w:cs="Times New Roman" w:eastAsia="Times New Roman" w:hAnsi="Times New Roman"/>
                <w:sz w:val="11"/>
                <w:szCs w:val="11"/>
                <w:color w:val="auto"/>
              </w:rPr>
              <w:t>American Teleconferencing Services, Ltd.</w:t>
            </w:r>
            <w:r>
              <w:rPr>
                <w:rFonts w:ascii="Times New Roman" w:cs="Times New Roman" w:eastAsia="Times New Roman" w:hAnsi="Times New Roman"/>
                <w:sz w:val="14"/>
                <w:szCs w:val="14"/>
                <w:color w:val="auto"/>
                <w:vertAlign w:val="superscript"/>
              </w:rPr>
              <w:t>(7)</w:t>
            </w:r>
          </w:p>
        </w:tc>
        <w:tc>
          <w:tcPr>
            <w:tcW w:w="880" w:type="dxa"/>
            <w:vAlign w:val="bottom"/>
            <w:gridSpan w:val="2"/>
          </w:tcPr>
          <w:p>
            <w:pPr>
              <w:ind w:left="260"/>
              <w:spacing w:after="0"/>
              <w:rPr>
                <w:sz w:val="20"/>
                <w:szCs w:val="20"/>
                <w:color w:val="auto"/>
              </w:rPr>
            </w:pPr>
            <w:r>
              <w:rPr>
                <w:rFonts w:ascii="Times New Roman" w:cs="Times New Roman" w:eastAsia="Times New Roman" w:hAnsi="Times New Roman"/>
                <w:sz w:val="11"/>
                <w:szCs w:val="11"/>
                <w:color w:val="auto"/>
              </w:rPr>
              <w:t>09/09/2021</w:t>
            </w:r>
          </w:p>
        </w:tc>
        <w:tc>
          <w:tcPr>
            <w:tcW w:w="140" w:type="dxa"/>
            <w:vAlign w:val="bottom"/>
          </w:tcPr>
          <w:p>
            <w:pPr>
              <w:spacing w:after="0"/>
              <w:rPr>
                <w:sz w:val="12"/>
                <w:szCs w:val="12"/>
                <w:color w:val="auto"/>
              </w:rPr>
            </w:pPr>
          </w:p>
        </w:tc>
        <w:tc>
          <w:tcPr>
            <w:tcW w:w="25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Telecommunications</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0.00%</w:t>
            </w:r>
          </w:p>
        </w:tc>
        <w:tc>
          <w:tcPr>
            <w:tcW w:w="120" w:type="dxa"/>
            <w:vAlign w:val="bottom"/>
          </w:tcPr>
          <w:p>
            <w:pPr>
              <w:spacing w:after="0"/>
              <w:rPr>
                <w:sz w:val="12"/>
                <w:szCs w:val="12"/>
                <w:color w:val="auto"/>
              </w:rPr>
            </w:pPr>
          </w:p>
        </w:tc>
        <w:tc>
          <w:tcPr>
            <w:tcW w:w="140" w:type="dxa"/>
            <w:vAlign w:val="bottom"/>
            <w:vMerge w:val="restart"/>
          </w:tcPr>
          <w:p>
            <w:pPr>
              <w:jc w:val="right"/>
              <w:ind w:right="4"/>
              <w:spacing w:after="0"/>
              <w:rPr>
                <w:sz w:val="20"/>
                <w:szCs w:val="20"/>
                <w:color w:val="auto"/>
              </w:rPr>
            </w:pPr>
            <w:r>
              <w:rPr>
                <w:rFonts w:ascii="Times New Roman" w:cs="Times New Roman" w:eastAsia="Times New Roman" w:hAnsi="Times New Roman"/>
                <w:sz w:val="7"/>
                <w:szCs w:val="7"/>
                <w:color w:val="auto"/>
                <w:w w:val="97"/>
              </w:rPr>
              <w:t>(6)</w:t>
            </w: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7,986</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7,915</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1,278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9"/>
        </w:trPr>
        <w:tc>
          <w:tcPr>
            <w:tcW w:w="2360" w:type="dxa"/>
            <w:vAlign w:val="bottom"/>
            <w:vMerge w:val="restart"/>
          </w:tcPr>
          <w:p>
            <w:pPr>
              <w:ind w:left="20"/>
              <w:spacing w:after="0" w:line="109" w:lineRule="exact"/>
              <w:rPr>
                <w:sz w:val="20"/>
                <w:szCs w:val="20"/>
                <w:color w:val="auto"/>
              </w:rPr>
            </w:pPr>
            <w:r>
              <w:rPr>
                <w:rFonts w:ascii="Times New Roman" w:cs="Times New Roman" w:eastAsia="Times New Roman" w:hAnsi="Times New Roman"/>
                <w:sz w:val="11"/>
                <w:szCs w:val="11"/>
                <w:color w:val="auto"/>
                <w:w w:val="97"/>
              </w:rPr>
              <w:t>American Teleconferencing Services, Ltd. (Revolver)</w:t>
            </w:r>
          </w:p>
        </w:tc>
        <w:tc>
          <w:tcPr>
            <w:tcW w:w="880" w:type="dxa"/>
            <w:vAlign w:val="bottom"/>
            <w:gridSpan w:val="2"/>
            <w:vMerge w:val="restart"/>
          </w:tcPr>
          <w:p>
            <w:pPr>
              <w:ind w:left="260"/>
              <w:spacing w:after="0" w:line="109" w:lineRule="exact"/>
              <w:rPr>
                <w:sz w:val="20"/>
                <w:szCs w:val="20"/>
                <w:color w:val="auto"/>
              </w:rPr>
            </w:pPr>
            <w:r>
              <w:rPr>
                <w:rFonts w:ascii="Times New Roman" w:cs="Times New Roman" w:eastAsia="Times New Roman" w:hAnsi="Times New Roman"/>
                <w:sz w:val="11"/>
                <w:szCs w:val="11"/>
                <w:color w:val="auto"/>
              </w:rPr>
              <w:t>12/08/2022</w:t>
            </w:r>
          </w:p>
        </w:tc>
        <w:tc>
          <w:tcPr>
            <w:tcW w:w="140" w:type="dxa"/>
            <w:vAlign w:val="bottom"/>
          </w:tcPr>
          <w:p>
            <w:pPr>
              <w:spacing w:after="0"/>
              <w:rPr>
                <w:sz w:val="4"/>
                <w:szCs w:val="4"/>
                <w:color w:val="auto"/>
              </w:rPr>
            </w:pPr>
          </w:p>
        </w:tc>
        <w:tc>
          <w:tcPr>
            <w:tcW w:w="2560" w:type="dxa"/>
            <w:vAlign w:val="bottom"/>
            <w:vMerge w:val="restart"/>
          </w:tcPr>
          <w:p>
            <w:pPr>
              <w:jc w:val="center"/>
              <w:spacing w:after="0" w:line="109" w:lineRule="exact"/>
              <w:rPr>
                <w:sz w:val="20"/>
                <w:szCs w:val="20"/>
                <w:color w:val="auto"/>
              </w:rPr>
            </w:pPr>
            <w:r>
              <w:rPr>
                <w:rFonts w:ascii="Times New Roman" w:cs="Times New Roman" w:eastAsia="Times New Roman" w:hAnsi="Times New Roman"/>
                <w:sz w:val="11"/>
                <w:szCs w:val="11"/>
                <w:color w:val="auto"/>
                <w:w w:val="97"/>
              </w:rPr>
              <w:t>Telecommunications</w:t>
            </w:r>
          </w:p>
        </w:tc>
        <w:tc>
          <w:tcPr>
            <w:tcW w:w="1100" w:type="dxa"/>
            <w:vAlign w:val="bottom"/>
            <w:gridSpan w:val="2"/>
            <w:vMerge w:val="restart"/>
          </w:tcPr>
          <w:p>
            <w:pPr>
              <w:jc w:val="right"/>
              <w:spacing w:after="0" w:line="109" w:lineRule="exact"/>
              <w:rPr>
                <w:sz w:val="20"/>
                <w:szCs w:val="20"/>
                <w:color w:val="auto"/>
              </w:rPr>
            </w:pPr>
            <w:r>
              <w:rPr>
                <w:rFonts w:ascii="Times New Roman" w:cs="Times New Roman" w:eastAsia="Times New Roman" w:hAnsi="Times New Roman"/>
                <w:sz w:val="11"/>
                <w:szCs w:val="11"/>
                <w:color w:val="auto"/>
              </w:rPr>
              <w:t>0.00%</w:t>
            </w:r>
          </w:p>
        </w:tc>
        <w:tc>
          <w:tcPr>
            <w:tcW w:w="120" w:type="dxa"/>
            <w:vAlign w:val="bottom"/>
          </w:tcPr>
          <w:p>
            <w:pPr>
              <w:spacing w:after="0"/>
              <w:rPr>
                <w:sz w:val="4"/>
                <w:szCs w:val="4"/>
                <w:color w:val="auto"/>
              </w:rPr>
            </w:pPr>
          </w:p>
        </w:tc>
        <w:tc>
          <w:tcPr>
            <w:tcW w:w="140" w:type="dxa"/>
            <w:vAlign w:val="bottom"/>
            <w:vMerge w:val="continue"/>
          </w:tcPr>
          <w:p>
            <w:pPr>
              <w:spacing w:after="0"/>
              <w:rPr>
                <w:sz w:val="4"/>
                <w:szCs w:val="4"/>
                <w:color w:val="auto"/>
              </w:rPr>
            </w:pPr>
          </w:p>
        </w:tc>
        <w:tc>
          <w:tcPr>
            <w:tcW w:w="780" w:type="dxa"/>
            <w:vAlign w:val="bottom"/>
            <w:vMerge w:val="restart"/>
          </w:tcPr>
          <w:p>
            <w:pPr>
              <w:jc w:val="right"/>
              <w:spacing w:after="0" w:line="109"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4"/>
                <w:szCs w:val="4"/>
                <w:color w:val="auto"/>
              </w:rPr>
            </w:pPr>
          </w:p>
        </w:tc>
        <w:tc>
          <w:tcPr>
            <w:tcW w:w="8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7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9"/>
        </w:trPr>
        <w:tc>
          <w:tcPr>
            <w:tcW w:w="2360" w:type="dxa"/>
            <w:vAlign w:val="bottom"/>
            <w:vMerge w:val="continue"/>
          </w:tcPr>
          <w:p>
            <w:pPr>
              <w:spacing w:after="0"/>
              <w:rPr>
                <w:sz w:val="5"/>
                <w:szCs w:val="5"/>
                <w:color w:val="auto"/>
              </w:rPr>
            </w:pPr>
          </w:p>
        </w:tc>
        <w:tc>
          <w:tcPr>
            <w:tcW w:w="88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2560" w:type="dxa"/>
            <w:vAlign w:val="bottom"/>
            <w:vMerge w:val="continue"/>
          </w:tcPr>
          <w:p>
            <w:pPr>
              <w:spacing w:after="0"/>
              <w:rPr>
                <w:sz w:val="5"/>
                <w:szCs w:val="5"/>
                <w:color w:val="auto"/>
              </w:rPr>
            </w:pPr>
          </w:p>
        </w:tc>
        <w:tc>
          <w:tcPr>
            <w:tcW w:w="110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8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 w:type="dxa"/>
            <w:vAlign w:val="bottom"/>
          </w:tcPr>
          <w:p>
            <w:pPr>
              <w:spacing w:after="0"/>
              <w:rPr>
                <w:sz w:val="5"/>
                <w:szCs w:val="5"/>
                <w:color w:val="auto"/>
              </w:rPr>
            </w:pPr>
          </w:p>
        </w:tc>
        <w:tc>
          <w:tcPr>
            <w:tcW w:w="7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360" w:type="dxa"/>
            <w:vAlign w:val="bottom"/>
          </w:tcPr>
          <w:p>
            <w:pPr>
              <w:ind w:left="20"/>
              <w:spacing w:after="0"/>
              <w:rPr>
                <w:sz w:val="20"/>
                <w:szCs w:val="20"/>
                <w:color w:val="auto"/>
              </w:rPr>
            </w:pPr>
            <w:r>
              <w:rPr>
                <w:rFonts w:ascii="Times New Roman" w:cs="Times New Roman" w:eastAsia="Times New Roman" w:hAnsi="Times New Roman"/>
                <w:sz w:val="7"/>
                <w:szCs w:val="7"/>
                <w:color w:val="auto"/>
              </w:rPr>
              <w:t>(7)</w:t>
            </w:r>
          </w:p>
        </w:tc>
        <w:tc>
          <w:tcPr>
            <w:tcW w:w="140" w:type="dxa"/>
            <w:vAlign w:val="bottom"/>
          </w:tcPr>
          <w:p>
            <w:pPr>
              <w:spacing w:after="0"/>
              <w:rPr>
                <w:sz w:val="7"/>
                <w:szCs w:val="7"/>
                <w:color w:val="auto"/>
              </w:rPr>
            </w:pPr>
          </w:p>
        </w:tc>
        <w:tc>
          <w:tcPr>
            <w:tcW w:w="740" w:type="dxa"/>
            <w:vAlign w:val="bottom"/>
          </w:tcPr>
          <w:p>
            <w:pPr>
              <w:spacing w:after="0"/>
              <w:rPr>
                <w:sz w:val="7"/>
                <w:szCs w:val="7"/>
                <w:color w:val="auto"/>
              </w:rPr>
            </w:pPr>
          </w:p>
        </w:tc>
        <w:tc>
          <w:tcPr>
            <w:tcW w:w="140" w:type="dxa"/>
            <w:vAlign w:val="bottom"/>
          </w:tcPr>
          <w:p>
            <w:pPr>
              <w:spacing w:after="0"/>
              <w:rPr>
                <w:sz w:val="7"/>
                <w:szCs w:val="7"/>
                <w:color w:val="auto"/>
              </w:rPr>
            </w:pPr>
          </w:p>
        </w:tc>
        <w:tc>
          <w:tcPr>
            <w:tcW w:w="2560" w:type="dxa"/>
            <w:vAlign w:val="bottom"/>
          </w:tcPr>
          <w:p>
            <w:pPr>
              <w:spacing w:after="0"/>
              <w:rPr>
                <w:sz w:val="7"/>
                <w:szCs w:val="7"/>
                <w:color w:val="auto"/>
              </w:rPr>
            </w:pPr>
          </w:p>
        </w:tc>
        <w:tc>
          <w:tcPr>
            <w:tcW w:w="120" w:type="dxa"/>
            <w:vAlign w:val="bottom"/>
          </w:tcPr>
          <w:p>
            <w:pPr>
              <w:spacing w:after="0"/>
              <w:rPr>
                <w:sz w:val="7"/>
                <w:szCs w:val="7"/>
                <w:color w:val="auto"/>
              </w:rPr>
            </w:pPr>
          </w:p>
        </w:tc>
        <w:tc>
          <w:tcPr>
            <w:tcW w:w="9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40" w:type="dxa"/>
            <w:vAlign w:val="bottom"/>
            <w:gridSpan w:val="2"/>
            <w:vMerge w:val="restart"/>
          </w:tcPr>
          <w:p>
            <w:pPr>
              <w:jc w:val="right"/>
              <w:spacing w:after="0" w:line="108" w:lineRule="exact"/>
              <w:rPr>
                <w:sz w:val="20"/>
                <w:szCs w:val="20"/>
                <w:color w:val="auto"/>
              </w:rPr>
            </w:pPr>
            <w:r>
              <w:rPr>
                <w:rFonts w:ascii="Times New Roman" w:cs="Times New Roman" w:eastAsia="Times New Roman" w:hAnsi="Times New Roman"/>
                <w:sz w:val="11"/>
                <w:szCs w:val="11"/>
                <w:color w:val="auto"/>
              </w:rPr>
              <w:t>1,656</w:t>
            </w:r>
          </w:p>
        </w:tc>
        <w:tc>
          <w:tcPr>
            <w:tcW w:w="22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0" w:type="dxa"/>
            <w:vAlign w:val="bottom"/>
            <w:vMerge w:val="restart"/>
          </w:tcPr>
          <w:p>
            <w:pPr>
              <w:jc w:val="right"/>
              <w:spacing w:after="0" w:line="108" w:lineRule="exact"/>
              <w:rPr>
                <w:sz w:val="20"/>
                <w:szCs w:val="20"/>
                <w:color w:val="auto"/>
              </w:rPr>
            </w:pPr>
            <w:r>
              <w:rPr>
                <w:rFonts w:ascii="Times New Roman" w:cs="Times New Roman" w:eastAsia="Times New Roman" w:hAnsi="Times New Roman"/>
                <w:sz w:val="11"/>
                <w:szCs w:val="11"/>
                <w:color w:val="auto"/>
              </w:rPr>
              <w:t>1,642</w:t>
            </w:r>
          </w:p>
        </w:tc>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720" w:type="dxa"/>
            <w:vAlign w:val="bottom"/>
            <w:vMerge w:val="restart"/>
          </w:tcPr>
          <w:p>
            <w:pPr>
              <w:jc w:val="right"/>
              <w:spacing w:after="0" w:line="108" w:lineRule="exact"/>
              <w:rPr>
                <w:sz w:val="20"/>
                <w:szCs w:val="20"/>
                <w:color w:val="auto"/>
              </w:rPr>
            </w:pPr>
            <w:r>
              <w:rPr>
                <w:rFonts w:ascii="Times New Roman" w:cs="Times New Roman" w:eastAsia="Times New Roman" w:hAnsi="Times New Roman"/>
                <w:sz w:val="11"/>
                <w:szCs w:val="11"/>
                <w:color w:val="auto"/>
              </w:rPr>
              <w:t>1,656</w:t>
            </w: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
        </w:trPr>
        <w:tc>
          <w:tcPr>
            <w:tcW w:w="2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40" w:type="dxa"/>
            <w:vAlign w:val="bottom"/>
            <w:gridSpan w:val="2"/>
            <w:vMerge w:val="continue"/>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vMerge w:val="continue"/>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vMerge w:val="continue"/>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7"/>
        </w:trPr>
        <w:tc>
          <w:tcPr>
            <w:tcW w:w="2360" w:type="dxa"/>
            <w:vAlign w:val="bottom"/>
          </w:tcPr>
          <w:p>
            <w:pPr>
              <w:ind w:left="20"/>
              <w:spacing w:after="0" w:line="117" w:lineRule="exact"/>
              <w:rPr>
                <w:sz w:val="20"/>
                <w:szCs w:val="20"/>
                <w:color w:val="auto"/>
              </w:rPr>
            </w:pPr>
            <w:r>
              <w:rPr>
                <w:rFonts w:ascii="Times New Roman" w:cs="Times New Roman" w:eastAsia="Times New Roman" w:hAnsi="Times New Roman"/>
                <w:sz w:val="11"/>
                <w:szCs w:val="11"/>
                <w:color w:val="auto"/>
              </w:rPr>
              <w:t>Any Hour Services</w:t>
            </w:r>
          </w:p>
        </w:tc>
        <w:tc>
          <w:tcPr>
            <w:tcW w:w="880" w:type="dxa"/>
            <w:vAlign w:val="bottom"/>
            <w:gridSpan w:val="2"/>
          </w:tcPr>
          <w:p>
            <w:pPr>
              <w:ind w:left="260"/>
              <w:spacing w:after="0" w:line="117" w:lineRule="exact"/>
              <w:rPr>
                <w:sz w:val="20"/>
                <w:szCs w:val="20"/>
                <w:color w:val="auto"/>
              </w:rPr>
            </w:pPr>
            <w:r>
              <w:rPr>
                <w:rFonts w:ascii="Times New Roman" w:cs="Times New Roman" w:eastAsia="Times New Roman" w:hAnsi="Times New Roman"/>
                <w:sz w:val="11"/>
                <w:szCs w:val="11"/>
                <w:color w:val="auto"/>
              </w:rPr>
              <w:t>07/21/2027</w:t>
            </w:r>
          </w:p>
        </w:tc>
        <w:tc>
          <w:tcPr>
            <w:tcW w:w="140" w:type="dxa"/>
            <w:vAlign w:val="bottom"/>
          </w:tcPr>
          <w:p>
            <w:pPr>
              <w:spacing w:after="0"/>
              <w:rPr>
                <w:sz w:val="10"/>
                <w:szCs w:val="10"/>
                <w:color w:val="auto"/>
              </w:rPr>
            </w:pPr>
          </w:p>
        </w:tc>
        <w:tc>
          <w:tcPr>
            <w:tcW w:w="256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color w:val="auto"/>
                <w:w w:val="98"/>
              </w:rPr>
              <w:t>Energy Equipment and Services</w:t>
            </w:r>
          </w:p>
        </w:tc>
        <w:tc>
          <w:tcPr>
            <w:tcW w:w="1220" w:type="dxa"/>
            <w:vAlign w:val="bottom"/>
            <w:gridSpan w:val="3"/>
          </w:tcPr>
          <w:p>
            <w:pPr>
              <w:jc w:val="right"/>
              <w:ind w:right="20"/>
              <w:spacing w:after="0" w:line="117" w:lineRule="exact"/>
              <w:rPr>
                <w:sz w:val="20"/>
                <w:szCs w:val="20"/>
                <w:color w:val="auto"/>
              </w:rPr>
            </w:pPr>
            <w:r>
              <w:rPr>
                <w:rFonts w:ascii="Times New Roman" w:cs="Times New Roman" w:eastAsia="Times New Roman" w:hAnsi="Times New Roman"/>
                <w:sz w:val="11"/>
                <w:szCs w:val="11"/>
                <w:color w:val="auto"/>
              </w:rPr>
              <w:t>6.75 %</w:t>
            </w:r>
          </w:p>
        </w:tc>
        <w:tc>
          <w:tcPr>
            <w:tcW w:w="140" w:type="dxa"/>
            <w:vAlign w:val="bottom"/>
          </w:tcPr>
          <w:p>
            <w:pPr>
              <w:spacing w:after="0"/>
              <w:rPr>
                <w:sz w:val="10"/>
                <w:szCs w:val="10"/>
                <w:color w:val="auto"/>
              </w:rPr>
            </w:pPr>
          </w:p>
        </w:tc>
        <w:tc>
          <w:tcPr>
            <w:tcW w:w="78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3M L+575</w:t>
            </w:r>
          </w:p>
        </w:tc>
        <w:tc>
          <w:tcPr>
            <w:tcW w:w="104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1"/>
                <w:szCs w:val="11"/>
                <w:color w:val="auto"/>
              </w:rPr>
              <w:t>6,500</w:t>
            </w: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6,373</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6,370</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36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Any Hour Services </w:t>
            </w:r>
            <w:r>
              <w:rPr>
                <w:rFonts w:ascii="Times New Roman" w:cs="Times New Roman" w:eastAsia="Times New Roman" w:hAnsi="Times New Roman"/>
                <w:sz w:val="14"/>
                <w:szCs w:val="14"/>
                <w:color w:val="auto"/>
                <w:vertAlign w:val="superscript"/>
              </w:rPr>
              <w:t>(7), (9)</w:t>
            </w:r>
          </w:p>
        </w:tc>
        <w:tc>
          <w:tcPr>
            <w:tcW w:w="880" w:type="dxa"/>
            <w:vAlign w:val="bottom"/>
            <w:gridSpan w:val="2"/>
          </w:tcPr>
          <w:p>
            <w:pPr>
              <w:ind w:left="260"/>
              <w:spacing w:after="0"/>
              <w:rPr>
                <w:sz w:val="20"/>
                <w:szCs w:val="20"/>
                <w:color w:val="auto"/>
              </w:rPr>
            </w:pPr>
            <w:r>
              <w:rPr>
                <w:rFonts w:ascii="Times New Roman" w:cs="Times New Roman" w:eastAsia="Times New Roman" w:hAnsi="Times New Roman"/>
                <w:sz w:val="11"/>
                <w:szCs w:val="11"/>
                <w:color w:val="auto"/>
              </w:rPr>
              <w:t>07/21/2027</w:t>
            </w:r>
          </w:p>
        </w:tc>
        <w:tc>
          <w:tcPr>
            <w:tcW w:w="140" w:type="dxa"/>
            <w:vAlign w:val="bottom"/>
          </w:tcPr>
          <w:p>
            <w:pPr>
              <w:spacing w:after="0"/>
              <w:rPr>
                <w:sz w:val="11"/>
                <w:szCs w:val="11"/>
                <w:color w:val="auto"/>
              </w:rPr>
            </w:pPr>
          </w:p>
        </w:tc>
        <w:tc>
          <w:tcPr>
            <w:tcW w:w="25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Energy Equipment and Services</w:t>
            </w:r>
          </w:p>
        </w:tc>
        <w:tc>
          <w:tcPr>
            <w:tcW w:w="120" w:type="dxa"/>
            <w:vAlign w:val="bottom"/>
          </w:tcPr>
          <w:p>
            <w:pPr>
              <w:spacing w:after="0"/>
              <w:rPr>
                <w:sz w:val="11"/>
                <w:szCs w:val="11"/>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3,824</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(38 )</w:t>
            </w:r>
          </w:p>
        </w:tc>
        <w:tc>
          <w:tcPr>
            <w:tcW w:w="0" w:type="dxa"/>
            <w:vAlign w:val="bottom"/>
          </w:tcPr>
          <w:p>
            <w:pPr>
              <w:spacing w:after="0"/>
              <w:rPr>
                <w:sz w:val="1"/>
                <w:szCs w:val="1"/>
                <w:color w:val="auto"/>
              </w:rPr>
            </w:pPr>
          </w:p>
        </w:tc>
      </w:tr>
      <w:tr>
        <w:trPr>
          <w:trHeight w:val="153"/>
        </w:trPr>
        <w:tc>
          <w:tcPr>
            <w:tcW w:w="2360" w:type="dxa"/>
            <w:vAlign w:val="bottom"/>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Any Hour Services (Revolver) </w:t>
            </w:r>
            <w:r>
              <w:rPr>
                <w:rFonts w:ascii="Times New Roman" w:cs="Times New Roman" w:eastAsia="Times New Roman" w:hAnsi="Times New Roman"/>
                <w:sz w:val="14"/>
                <w:szCs w:val="14"/>
                <w:color w:val="auto"/>
                <w:vertAlign w:val="superscript"/>
              </w:rPr>
              <w:t>(7), (9)</w:t>
            </w:r>
          </w:p>
        </w:tc>
        <w:tc>
          <w:tcPr>
            <w:tcW w:w="880" w:type="dxa"/>
            <w:vAlign w:val="bottom"/>
            <w:gridSpan w:val="2"/>
          </w:tcPr>
          <w:p>
            <w:pPr>
              <w:ind w:left="260"/>
              <w:spacing w:after="0"/>
              <w:rPr>
                <w:sz w:val="20"/>
                <w:szCs w:val="20"/>
                <w:color w:val="auto"/>
              </w:rPr>
            </w:pPr>
            <w:r>
              <w:rPr>
                <w:rFonts w:ascii="Times New Roman" w:cs="Times New Roman" w:eastAsia="Times New Roman" w:hAnsi="Times New Roman"/>
                <w:sz w:val="11"/>
                <w:szCs w:val="11"/>
                <w:color w:val="auto"/>
              </w:rPr>
              <w:t>07/21/2027</w:t>
            </w:r>
          </w:p>
        </w:tc>
        <w:tc>
          <w:tcPr>
            <w:tcW w:w="140" w:type="dxa"/>
            <w:vAlign w:val="bottom"/>
          </w:tcPr>
          <w:p>
            <w:pPr>
              <w:spacing w:after="0"/>
              <w:rPr>
                <w:sz w:val="13"/>
                <w:szCs w:val="13"/>
                <w:color w:val="auto"/>
              </w:rPr>
            </w:pPr>
          </w:p>
        </w:tc>
        <w:tc>
          <w:tcPr>
            <w:tcW w:w="25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Energy Equipment and Services</w:t>
            </w:r>
          </w:p>
        </w:tc>
        <w:tc>
          <w:tcPr>
            <w:tcW w:w="120" w:type="dxa"/>
            <w:vAlign w:val="bottom"/>
          </w:tcPr>
          <w:p>
            <w:pPr>
              <w:spacing w:after="0"/>
              <w:rPr>
                <w:sz w:val="13"/>
                <w:szCs w:val="13"/>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1,147</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(23 )</w:t>
            </w:r>
          </w:p>
        </w:tc>
        <w:tc>
          <w:tcPr>
            <w:tcW w:w="0" w:type="dxa"/>
            <w:vAlign w:val="bottom"/>
          </w:tcPr>
          <w:p>
            <w:pPr>
              <w:spacing w:after="0"/>
              <w:rPr>
                <w:sz w:val="1"/>
                <w:szCs w:val="1"/>
                <w:color w:val="auto"/>
              </w:rPr>
            </w:pPr>
          </w:p>
        </w:tc>
      </w:tr>
      <w:tr>
        <w:trPr>
          <w:trHeight w:val="144"/>
        </w:trPr>
        <w:tc>
          <w:tcPr>
            <w:tcW w:w="23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Apex Service Partners, LLC</w:t>
            </w:r>
          </w:p>
        </w:tc>
        <w:tc>
          <w:tcPr>
            <w:tcW w:w="880" w:type="dxa"/>
            <w:vAlign w:val="bottom"/>
            <w:gridSpan w:val="2"/>
          </w:tcPr>
          <w:p>
            <w:pPr>
              <w:ind w:left="260"/>
              <w:spacing w:after="0"/>
              <w:rPr>
                <w:sz w:val="20"/>
                <w:szCs w:val="20"/>
                <w:color w:val="auto"/>
              </w:rPr>
            </w:pPr>
            <w:r>
              <w:rPr>
                <w:rFonts w:ascii="Times New Roman" w:cs="Times New Roman" w:eastAsia="Times New Roman" w:hAnsi="Times New Roman"/>
                <w:sz w:val="11"/>
                <w:szCs w:val="11"/>
                <w:color w:val="auto"/>
              </w:rPr>
              <w:t>07/31/2025</w:t>
            </w:r>
          </w:p>
        </w:tc>
        <w:tc>
          <w:tcPr>
            <w:tcW w:w="140" w:type="dxa"/>
            <w:vAlign w:val="bottom"/>
          </w:tcPr>
          <w:p>
            <w:pPr>
              <w:spacing w:after="0"/>
              <w:rPr>
                <w:sz w:val="12"/>
                <w:szCs w:val="12"/>
                <w:color w:val="auto"/>
              </w:rPr>
            </w:pPr>
          </w:p>
        </w:tc>
        <w:tc>
          <w:tcPr>
            <w:tcW w:w="25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Diversified Consumer Services</w:t>
            </w:r>
          </w:p>
        </w:tc>
        <w:tc>
          <w:tcPr>
            <w:tcW w:w="1220" w:type="dxa"/>
            <w:vAlign w:val="bottom"/>
            <w:gridSpan w:val="3"/>
          </w:tcPr>
          <w:p>
            <w:pPr>
              <w:jc w:val="right"/>
              <w:ind w:right="20"/>
              <w:spacing w:after="0"/>
              <w:rPr>
                <w:sz w:val="20"/>
                <w:szCs w:val="20"/>
                <w:color w:val="auto"/>
              </w:rPr>
            </w:pPr>
            <w:r>
              <w:rPr>
                <w:rFonts w:ascii="Times New Roman" w:cs="Times New Roman" w:eastAsia="Times New Roman" w:hAnsi="Times New Roman"/>
                <w:sz w:val="11"/>
                <w:szCs w:val="11"/>
                <w:color w:val="auto"/>
              </w:rPr>
              <w:t>6.25 %</w:t>
            </w:r>
          </w:p>
        </w:tc>
        <w:tc>
          <w:tcPr>
            <w:tcW w:w="14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1M L+525</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6,272</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6,216</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6,209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3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Apex Service Partners, LLC Term Loan B</w:t>
            </w:r>
          </w:p>
        </w:tc>
        <w:tc>
          <w:tcPr>
            <w:tcW w:w="880" w:type="dxa"/>
            <w:vAlign w:val="bottom"/>
            <w:gridSpan w:val="2"/>
            <w:shd w:val="clear" w:color="auto" w:fill="CCECFF"/>
          </w:tcPr>
          <w:p>
            <w:pPr>
              <w:ind w:left="260"/>
              <w:spacing w:after="0"/>
              <w:rPr>
                <w:sz w:val="20"/>
                <w:szCs w:val="20"/>
                <w:color w:val="auto"/>
              </w:rPr>
            </w:pPr>
            <w:r>
              <w:rPr>
                <w:rFonts w:ascii="Times New Roman" w:cs="Times New Roman" w:eastAsia="Times New Roman" w:hAnsi="Times New Roman"/>
                <w:sz w:val="11"/>
                <w:szCs w:val="11"/>
                <w:color w:val="auto"/>
              </w:rPr>
              <w:t>07/31/2025</w:t>
            </w:r>
          </w:p>
        </w:tc>
        <w:tc>
          <w:tcPr>
            <w:tcW w:w="140" w:type="dxa"/>
            <w:vAlign w:val="bottom"/>
            <w:shd w:val="clear" w:color="auto" w:fill="CCECFF"/>
          </w:tcPr>
          <w:p>
            <w:pPr>
              <w:spacing w:after="0"/>
              <w:rPr>
                <w:sz w:val="12"/>
                <w:szCs w:val="12"/>
                <w:color w:val="auto"/>
              </w:rPr>
            </w:pPr>
          </w:p>
        </w:tc>
        <w:tc>
          <w:tcPr>
            <w:tcW w:w="25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Diversified Consumer Services</w:t>
            </w:r>
          </w:p>
        </w:tc>
        <w:tc>
          <w:tcPr>
            <w:tcW w:w="1220" w:type="dxa"/>
            <w:vAlign w:val="bottom"/>
            <w:gridSpan w:val="3"/>
            <w:shd w:val="clear" w:color="auto" w:fill="CCECFF"/>
          </w:tcPr>
          <w:p>
            <w:pPr>
              <w:jc w:val="right"/>
              <w:ind w:right="20"/>
              <w:spacing w:after="0"/>
              <w:rPr>
                <w:sz w:val="20"/>
                <w:szCs w:val="20"/>
                <w:color w:val="auto"/>
              </w:rPr>
            </w:pPr>
            <w:r>
              <w:rPr>
                <w:rFonts w:ascii="Times New Roman" w:cs="Times New Roman" w:eastAsia="Times New Roman" w:hAnsi="Times New Roman"/>
                <w:sz w:val="11"/>
                <w:szCs w:val="11"/>
                <w:color w:val="auto"/>
              </w:rPr>
              <w:t>6.50 %</w:t>
            </w:r>
          </w:p>
        </w:tc>
        <w:tc>
          <w:tcPr>
            <w:tcW w:w="140" w:type="dxa"/>
            <w:vAlign w:val="bottom"/>
            <w:shd w:val="clear" w:color="auto" w:fill="CCECFF"/>
          </w:tcPr>
          <w:p>
            <w:pPr>
              <w:spacing w:after="0"/>
              <w:rPr>
                <w:sz w:val="12"/>
                <w:szCs w:val="12"/>
                <w:color w:val="auto"/>
              </w:rPr>
            </w:pPr>
          </w:p>
        </w:tc>
        <w:tc>
          <w:tcPr>
            <w:tcW w:w="7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1M L+550</w:t>
            </w:r>
          </w:p>
        </w:tc>
        <w:tc>
          <w:tcPr>
            <w:tcW w:w="10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300</w:t>
            </w:r>
          </w:p>
        </w:tc>
        <w:tc>
          <w:tcPr>
            <w:tcW w:w="22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300</w:t>
            </w:r>
          </w:p>
        </w:tc>
        <w:tc>
          <w:tcPr>
            <w:tcW w:w="22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7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297</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03"/>
        </w:trPr>
        <w:tc>
          <w:tcPr>
            <w:tcW w:w="2360" w:type="dxa"/>
            <w:vAlign w:val="bottom"/>
          </w:tcPr>
          <w:p>
            <w:pPr>
              <w:ind w:left="20"/>
              <w:spacing w:after="0" w:line="103" w:lineRule="exact"/>
              <w:rPr>
                <w:sz w:val="20"/>
                <w:szCs w:val="20"/>
                <w:color w:val="auto"/>
              </w:rPr>
            </w:pPr>
            <w:r>
              <w:rPr>
                <w:rFonts w:ascii="Times New Roman" w:cs="Times New Roman" w:eastAsia="Times New Roman" w:hAnsi="Times New Roman"/>
                <w:sz w:val="11"/>
                <w:szCs w:val="11"/>
                <w:color w:val="auto"/>
              </w:rPr>
              <w:t>Apex Service Partners, LLC Term Loan C</w:t>
            </w:r>
          </w:p>
        </w:tc>
        <w:tc>
          <w:tcPr>
            <w:tcW w:w="880" w:type="dxa"/>
            <w:vAlign w:val="bottom"/>
            <w:gridSpan w:val="2"/>
          </w:tcPr>
          <w:p>
            <w:pPr>
              <w:ind w:left="260"/>
              <w:spacing w:after="0" w:line="103" w:lineRule="exact"/>
              <w:rPr>
                <w:sz w:val="20"/>
                <w:szCs w:val="20"/>
                <w:color w:val="auto"/>
              </w:rPr>
            </w:pPr>
            <w:r>
              <w:rPr>
                <w:rFonts w:ascii="Times New Roman" w:cs="Times New Roman" w:eastAsia="Times New Roman" w:hAnsi="Times New Roman"/>
                <w:sz w:val="11"/>
                <w:szCs w:val="11"/>
                <w:color w:val="auto"/>
              </w:rPr>
              <w:t>07/31/2025</w:t>
            </w:r>
          </w:p>
        </w:tc>
        <w:tc>
          <w:tcPr>
            <w:tcW w:w="140" w:type="dxa"/>
            <w:vAlign w:val="bottom"/>
          </w:tcPr>
          <w:p>
            <w:pPr>
              <w:spacing w:after="0"/>
              <w:rPr>
                <w:sz w:val="8"/>
                <w:szCs w:val="8"/>
                <w:color w:val="auto"/>
              </w:rPr>
            </w:pPr>
          </w:p>
        </w:tc>
        <w:tc>
          <w:tcPr>
            <w:tcW w:w="2560" w:type="dxa"/>
            <w:vAlign w:val="bottom"/>
          </w:tcPr>
          <w:p>
            <w:pPr>
              <w:jc w:val="center"/>
              <w:spacing w:after="0" w:line="103" w:lineRule="exact"/>
              <w:rPr>
                <w:sz w:val="20"/>
                <w:szCs w:val="20"/>
                <w:color w:val="auto"/>
              </w:rPr>
            </w:pPr>
            <w:r>
              <w:rPr>
                <w:rFonts w:ascii="Times New Roman" w:cs="Times New Roman" w:eastAsia="Times New Roman" w:hAnsi="Times New Roman"/>
                <w:sz w:val="11"/>
                <w:szCs w:val="11"/>
                <w:color w:val="auto"/>
                <w:w w:val="98"/>
              </w:rPr>
              <w:t>Diversified Consumer Services</w:t>
            </w:r>
          </w:p>
        </w:tc>
        <w:tc>
          <w:tcPr>
            <w:tcW w:w="1220" w:type="dxa"/>
            <w:vAlign w:val="bottom"/>
            <w:gridSpan w:val="3"/>
          </w:tcPr>
          <w:p>
            <w:pPr>
              <w:jc w:val="right"/>
              <w:ind w:right="20"/>
              <w:spacing w:after="0" w:line="103" w:lineRule="exact"/>
              <w:rPr>
                <w:sz w:val="20"/>
                <w:szCs w:val="20"/>
                <w:color w:val="auto"/>
              </w:rPr>
            </w:pPr>
            <w:r>
              <w:rPr>
                <w:rFonts w:ascii="Times New Roman" w:cs="Times New Roman" w:eastAsia="Times New Roman" w:hAnsi="Times New Roman"/>
                <w:sz w:val="11"/>
                <w:szCs w:val="11"/>
                <w:color w:val="auto"/>
              </w:rPr>
              <w:t>6.25 %</w:t>
            </w:r>
          </w:p>
        </w:tc>
        <w:tc>
          <w:tcPr>
            <w:tcW w:w="140" w:type="dxa"/>
            <w:vAlign w:val="bottom"/>
          </w:tcPr>
          <w:p>
            <w:pPr>
              <w:spacing w:after="0"/>
              <w:rPr>
                <w:sz w:val="8"/>
                <w:szCs w:val="8"/>
                <w:color w:val="auto"/>
              </w:rPr>
            </w:pPr>
          </w:p>
        </w:tc>
        <w:tc>
          <w:tcPr>
            <w:tcW w:w="780" w:type="dxa"/>
            <w:vAlign w:val="bottom"/>
          </w:tcPr>
          <w:p>
            <w:pPr>
              <w:jc w:val="right"/>
              <w:spacing w:after="0" w:line="103" w:lineRule="exact"/>
              <w:rPr>
                <w:sz w:val="20"/>
                <w:szCs w:val="20"/>
                <w:color w:val="auto"/>
              </w:rPr>
            </w:pPr>
            <w:r>
              <w:rPr>
                <w:rFonts w:ascii="Times New Roman" w:cs="Times New Roman" w:eastAsia="Times New Roman" w:hAnsi="Times New Roman"/>
                <w:sz w:val="11"/>
                <w:szCs w:val="11"/>
                <w:color w:val="auto"/>
              </w:rPr>
              <w:t>1M L+525</w:t>
            </w:r>
          </w:p>
        </w:tc>
        <w:tc>
          <w:tcPr>
            <w:tcW w:w="1040" w:type="dxa"/>
            <w:vAlign w:val="bottom"/>
            <w:gridSpan w:val="2"/>
          </w:tcPr>
          <w:p>
            <w:pPr>
              <w:jc w:val="right"/>
              <w:spacing w:after="0" w:line="103" w:lineRule="exact"/>
              <w:rPr>
                <w:sz w:val="20"/>
                <w:szCs w:val="20"/>
                <w:color w:val="auto"/>
              </w:rPr>
            </w:pPr>
            <w:r>
              <w:rPr>
                <w:rFonts w:ascii="Times New Roman" w:cs="Times New Roman" w:eastAsia="Times New Roman" w:hAnsi="Times New Roman"/>
                <w:sz w:val="11"/>
                <w:szCs w:val="11"/>
                <w:color w:val="auto"/>
              </w:rPr>
              <w:t>6,897</w:t>
            </w: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tcPr>
          <w:p>
            <w:pPr>
              <w:jc w:val="right"/>
              <w:spacing w:after="0" w:line="103" w:lineRule="exact"/>
              <w:rPr>
                <w:sz w:val="20"/>
                <w:szCs w:val="20"/>
                <w:color w:val="auto"/>
              </w:rPr>
            </w:pPr>
            <w:r>
              <w:rPr>
                <w:rFonts w:ascii="Times New Roman" w:cs="Times New Roman" w:eastAsia="Times New Roman" w:hAnsi="Times New Roman"/>
                <w:sz w:val="11"/>
                <w:szCs w:val="11"/>
                <w:color w:val="auto"/>
              </w:rPr>
              <w:t>6,802</w:t>
            </w: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jc w:val="right"/>
              <w:spacing w:after="0" w:line="103" w:lineRule="exact"/>
              <w:rPr>
                <w:sz w:val="20"/>
                <w:szCs w:val="20"/>
                <w:color w:val="auto"/>
              </w:rPr>
            </w:pPr>
            <w:r>
              <w:rPr>
                <w:rFonts w:ascii="Times New Roman" w:cs="Times New Roman" w:eastAsia="Times New Roman" w:hAnsi="Times New Roman"/>
                <w:sz w:val="11"/>
                <w:szCs w:val="11"/>
                <w:color w:val="auto"/>
              </w:rPr>
              <w:t>6,828</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236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Apex Service Partners, LLC Term Loan C </w:t>
            </w:r>
            <w:r>
              <w:rPr>
                <w:rFonts w:ascii="Times New Roman" w:cs="Times New Roman" w:eastAsia="Times New Roman" w:hAnsi="Times New Roman"/>
                <w:sz w:val="14"/>
                <w:szCs w:val="14"/>
                <w:color w:val="auto"/>
                <w:vertAlign w:val="superscript"/>
              </w:rPr>
              <w:t>(7),(9)</w:t>
            </w:r>
          </w:p>
        </w:tc>
        <w:tc>
          <w:tcPr>
            <w:tcW w:w="880" w:type="dxa"/>
            <w:vAlign w:val="bottom"/>
            <w:gridSpan w:val="2"/>
          </w:tcPr>
          <w:p>
            <w:pPr>
              <w:ind w:left="260"/>
              <w:spacing w:after="0"/>
              <w:rPr>
                <w:sz w:val="20"/>
                <w:szCs w:val="20"/>
                <w:color w:val="auto"/>
              </w:rPr>
            </w:pPr>
            <w:r>
              <w:rPr>
                <w:rFonts w:ascii="Times New Roman" w:cs="Times New Roman" w:eastAsia="Times New Roman" w:hAnsi="Times New Roman"/>
                <w:sz w:val="11"/>
                <w:szCs w:val="11"/>
                <w:color w:val="auto"/>
              </w:rPr>
              <w:t>01/31/2022</w:t>
            </w:r>
          </w:p>
        </w:tc>
        <w:tc>
          <w:tcPr>
            <w:tcW w:w="140" w:type="dxa"/>
            <w:vAlign w:val="bottom"/>
          </w:tcPr>
          <w:p>
            <w:pPr>
              <w:spacing w:after="0"/>
              <w:rPr>
                <w:sz w:val="11"/>
                <w:szCs w:val="11"/>
                <w:color w:val="auto"/>
              </w:rPr>
            </w:pPr>
          </w:p>
        </w:tc>
        <w:tc>
          <w:tcPr>
            <w:tcW w:w="25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Diversified Consumer Services</w:t>
            </w:r>
          </w:p>
        </w:tc>
        <w:tc>
          <w:tcPr>
            <w:tcW w:w="120" w:type="dxa"/>
            <w:vAlign w:val="bottom"/>
          </w:tcPr>
          <w:p>
            <w:pPr>
              <w:spacing w:after="0"/>
              <w:rPr>
                <w:sz w:val="11"/>
                <w:szCs w:val="11"/>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13,179</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(16 )</w:t>
            </w:r>
          </w:p>
        </w:tc>
        <w:tc>
          <w:tcPr>
            <w:tcW w:w="0" w:type="dxa"/>
            <w:vAlign w:val="bottom"/>
          </w:tcPr>
          <w:p>
            <w:pPr>
              <w:spacing w:after="0"/>
              <w:rPr>
                <w:sz w:val="1"/>
                <w:szCs w:val="1"/>
                <w:color w:val="auto"/>
              </w:rPr>
            </w:pPr>
          </w:p>
        </w:tc>
      </w:tr>
      <w:tr>
        <w:trPr>
          <w:trHeight w:val="135"/>
        </w:trPr>
        <w:tc>
          <w:tcPr>
            <w:tcW w:w="236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Apex Service Partners, LLC (Revolver) </w:t>
            </w:r>
            <w:r>
              <w:rPr>
                <w:rFonts w:ascii="Times New Roman" w:cs="Times New Roman" w:eastAsia="Times New Roman" w:hAnsi="Times New Roman"/>
                <w:sz w:val="14"/>
                <w:szCs w:val="14"/>
                <w:color w:val="auto"/>
                <w:vertAlign w:val="superscript"/>
              </w:rPr>
              <w:t>(7)</w:t>
            </w:r>
          </w:p>
        </w:tc>
        <w:tc>
          <w:tcPr>
            <w:tcW w:w="880" w:type="dxa"/>
            <w:vAlign w:val="bottom"/>
            <w:gridSpan w:val="2"/>
          </w:tcPr>
          <w:p>
            <w:pPr>
              <w:ind w:left="260"/>
              <w:spacing w:after="0"/>
              <w:rPr>
                <w:sz w:val="20"/>
                <w:szCs w:val="20"/>
                <w:color w:val="auto"/>
              </w:rPr>
            </w:pPr>
            <w:r>
              <w:rPr>
                <w:rFonts w:ascii="Times New Roman" w:cs="Times New Roman" w:eastAsia="Times New Roman" w:hAnsi="Times New Roman"/>
                <w:sz w:val="11"/>
                <w:szCs w:val="11"/>
                <w:color w:val="auto"/>
              </w:rPr>
              <w:t>07/29/2024</w:t>
            </w:r>
          </w:p>
        </w:tc>
        <w:tc>
          <w:tcPr>
            <w:tcW w:w="140" w:type="dxa"/>
            <w:vAlign w:val="bottom"/>
          </w:tcPr>
          <w:p>
            <w:pPr>
              <w:spacing w:after="0"/>
              <w:rPr>
                <w:sz w:val="11"/>
                <w:szCs w:val="11"/>
                <w:color w:val="auto"/>
              </w:rPr>
            </w:pPr>
          </w:p>
        </w:tc>
        <w:tc>
          <w:tcPr>
            <w:tcW w:w="25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Diversified Consumer Services</w:t>
            </w:r>
          </w:p>
        </w:tc>
        <w:tc>
          <w:tcPr>
            <w:tcW w:w="1220" w:type="dxa"/>
            <w:vAlign w:val="bottom"/>
            <w:gridSpan w:val="3"/>
          </w:tcPr>
          <w:p>
            <w:pPr>
              <w:jc w:val="right"/>
              <w:ind w:right="20"/>
              <w:spacing w:after="0"/>
              <w:rPr>
                <w:sz w:val="20"/>
                <w:szCs w:val="20"/>
                <w:color w:val="auto"/>
              </w:rPr>
            </w:pPr>
            <w:r>
              <w:rPr>
                <w:rFonts w:ascii="Times New Roman" w:cs="Times New Roman" w:eastAsia="Times New Roman" w:hAnsi="Times New Roman"/>
                <w:sz w:val="11"/>
                <w:szCs w:val="11"/>
                <w:color w:val="auto"/>
              </w:rPr>
              <w:t>6.25 %</w:t>
            </w:r>
          </w:p>
        </w:tc>
        <w:tc>
          <w:tcPr>
            <w:tcW w:w="14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1M L+525</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473</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473</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465</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360" w:type="dxa"/>
            <w:vAlign w:val="bottom"/>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Apex Service Partners, LLC (Revolver) </w:t>
            </w:r>
            <w:r>
              <w:rPr>
                <w:rFonts w:ascii="Times New Roman" w:cs="Times New Roman" w:eastAsia="Times New Roman" w:hAnsi="Times New Roman"/>
                <w:sz w:val="14"/>
                <w:szCs w:val="14"/>
                <w:color w:val="auto"/>
                <w:vertAlign w:val="superscript"/>
              </w:rPr>
              <w:t>(7), (9)</w:t>
            </w:r>
          </w:p>
        </w:tc>
        <w:tc>
          <w:tcPr>
            <w:tcW w:w="880" w:type="dxa"/>
            <w:vAlign w:val="bottom"/>
            <w:gridSpan w:val="2"/>
          </w:tcPr>
          <w:p>
            <w:pPr>
              <w:ind w:left="260"/>
              <w:spacing w:after="0"/>
              <w:rPr>
                <w:sz w:val="20"/>
                <w:szCs w:val="20"/>
                <w:color w:val="auto"/>
              </w:rPr>
            </w:pPr>
            <w:r>
              <w:rPr>
                <w:rFonts w:ascii="Times New Roman" w:cs="Times New Roman" w:eastAsia="Times New Roman" w:hAnsi="Times New Roman"/>
                <w:sz w:val="11"/>
                <w:szCs w:val="11"/>
                <w:color w:val="auto"/>
              </w:rPr>
              <w:t>07/29/2024</w:t>
            </w:r>
          </w:p>
        </w:tc>
        <w:tc>
          <w:tcPr>
            <w:tcW w:w="140" w:type="dxa"/>
            <w:vAlign w:val="bottom"/>
          </w:tcPr>
          <w:p>
            <w:pPr>
              <w:spacing w:after="0"/>
              <w:rPr>
                <w:sz w:val="13"/>
                <w:szCs w:val="13"/>
                <w:color w:val="auto"/>
              </w:rPr>
            </w:pPr>
          </w:p>
        </w:tc>
        <w:tc>
          <w:tcPr>
            <w:tcW w:w="25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Diversified Consumer Services</w:t>
            </w:r>
          </w:p>
        </w:tc>
        <w:tc>
          <w:tcPr>
            <w:tcW w:w="120" w:type="dxa"/>
            <w:vAlign w:val="bottom"/>
          </w:tcPr>
          <w:p>
            <w:pPr>
              <w:spacing w:after="0"/>
              <w:rPr>
                <w:sz w:val="13"/>
                <w:szCs w:val="13"/>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1,372</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(24 )</w:t>
            </w:r>
          </w:p>
        </w:tc>
        <w:tc>
          <w:tcPr>
            <w:tcW w:w="0" w:type="dxa"/>
            <w:vAlign w:val="bottom"/>
          </w:tcPr>
          <w:p>
            <w:pPr>
              <w:spacing w:after="0"/>
              <w:rPr>
                <w:sz w:val="1"/>
                <w:szCs w:val="1"/>
                <w:color w:val="auto"/>
              </w:rPr>
            </w:pPr>
          </w:p>
        </w:tc>
      </w:tr>
      <w:tr>
        <w:trPr>
          <w:trHeight w:val="135"/>
        </w:trPr>
        <w:tc>
          <w:tcPr>
            <w:tcW w:w="23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API Technologies Corp.</w:t>
            </w:r>
          </w:p>
        </w:tc>
        <w:tc>
          <w:tcPr>
            <w:tcW w:w="880" w:type="dxa"/>
            <w:vAlign w:val="bottom"/>
            <w:gridSpan w:val="2"/>
          </w:tcPr>
          <w:p>
            <w:pPr>
              <w:ind w:left="260"/>
              <w:spacing w:after="0"/>
              <w:rPr>
                <w:sz w:val="20"/>
                <w:szCs w:val="20"/>
                <w:color w:val="auto"/>
              </w:rPr>
            </w:pPr>
            <w:r>
              <w:rPr>
                <w:rFonts w:ascii="Times New Roman" w:cs="Times New Roman" w:eastAsia="Times New Roman" w:hAnsi="Times New Roman"/>
                <w:sz w:val="11"/>
                <w:szCs w:val="11"/>
                <w:color w:val="auto"/>
              </w:rPr>
              <w:t>05/11/2026</w:t>
            </w:r>
          </w:p>
        </w:tc>
        <w:tc>
          <w:tcPr>
            <w:tcW w:w="140" w:type="dxa"/>
            <w:vAlign w:val="bottom"/>
          </w:tcPr>
          <w:p>
            <w:pPr>
              <w:spacing w:after="0"/>
              <w:rPr>
                <w:sz w:val="11"/>
                <w:szCs w:val="11"/>
                <w:color w:val="auto"/>
              </w:rPr>
            </w:pPr>
          </w:p>
        </w:tc>
        <w:tc>
          <w:tcPr>
            <w:tcW w:w="25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Electronic Equipment, Instruments, and Components</w:t>
            </w:r>
          </w:p>
        </w:tc>
        <w:tc>
          <w:tcPr>
            <w:tcW w:w="1220" w:type="dxa"/>
            <w:vAlign w:val="bottom"/>
            <w:gridSpan w:val="3"/>
          </w:tcPr>
          <w:p>
            <w:pPr>
              <w:jc w:val="right"/>
              <w:ind w:right="20"/>
              <w:spacing w:after="0"/>
              <w:rPr>
                <w:sz w:val="20"/>
                <w:szCs w:val="20"/>
                <w:color w:val="auto"/>
              </w:rPr>
            </w:pPr>
            <w:r>
              <w:rPr>
                <w:rFonts w:ascii="Times New Roman" w:cs="Times New Roman" w:eastAsia="Times New Roman" w:hAnsi="Times New Roman"/>
                <w:sz w:val="11"/>
                <w:szCs w:val="11"/>
                <w:color w:val="auto"/>
              </w:rPr>
              <w:t>4.33 %</w:t>
            </w:r>
          </w:p>
        </w:tc>
        <w:tc>
          <w:tcPr>
            <w:tcW w:w="14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1M L+425</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5,865</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5,841</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5,689</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2360" w:type="dxa"/>
            <w:vAlign w:val="bottom"/>
          </w:tcPr>
          <w:p>
            <w:pPr>
              <w:ind w:left="20"/>
              <w:spacing w:after="0" w:line="117" w:lineRule="exact"/>
              <w:rPr>
                <w:sz w:val="20"/>
                <w:szCs w:val="20"/>
                <w:color w:val="auto"/>
              </w:rPr>
            </w:pPr>
            <w:r>
              <w:rPr>
                <w:rFonts w:ascii="Times New Roman" w:cs="Times New Roman" w:eastAsia="Times New Roman" w:hAnsi="Times New Roman"/>
                <w:sz w:val="11"/>
                <w:szCs w:val="11"/>
                <w:color w:val="auto"/>
              </w:rPr>
              <w:t>Applied Technical Services, LLC</w:t>
            </w:r>
          </w:p>
        </w:tc>
        <w:tc>
          <w:tcPr>
            <w:tcW w:w="880" w:type="dxa"/>
            <w:vAlign w:val="bottom"/>
            <w:gridSpan w:val="2"/>
          </w:tcPr>
          <w:p>
            <w:pPr>
              <w:ind w:left="260"/>
              <w:spacing w:after="0" w:line="117" w:lineRule="exact"/>
              <w:rPr>
                <w:sz w:val="20"/>
                <w:szCs w:val="20"/>
                <w:color w:val="auto"/>
              </w:rPr>
            </w:pPr>
            <w:r>
              <w:rPr>
                <w:rFonts w:ascii="Times New Roman" w:cs="Times New Roman" w:eastAsia="Times New Roman" w:hAnsi="Times New Roman"/>
                <w:sz w:val="11"/>
                <w:szCs w:val="11"/>
                <w:color w:val="auto"/>
              </w:rPr>
              <w:t>12/29/2026</w:t>
            </w:r>
          </w:p>
        </w:tc>
        <w:tc>
          <w:tcPr>
            <w:tcW w:w="140" w:type="dxa"/>
            <w:vAlign w:val="bottom"/>
          </w:tcPr>
          <w:p>
            <w:pPr>
              <w:spacing w:after="0"/>
              <w:rPr>
                <w:sz w:val="10"/>
                <w:szCs w:val="10"/>
                <w:color w:val="auto"/>
              </w:rPr>
            </w:pPr>
          </w:p>
        </w:tc>
        <w:tc>
          <w:tcPr>
            <w:tcW w:w="256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color w:val="auto"/>
                <w:w w:val="98"/>
              </w:rPr>
              <w:t>Commercial Services &amp; Supplies</w:t>
            </w:r>
          </w:p>
        </w:tc>
        <w:tc>
          <w:tcPr>
            <w:tcW w:w="1220" w:type="dxa"/>
            <w:vAlign w:val="bottom"/>
            <w:gridSpan w:val="3"/>
          </w:tcPr>
          <w:p>
            <w:pPr>
              <w:jc w:val="right"/>
              <w:ind w:right="20"/>
              <w:spacing w:after="0" w:line="117" w:lineRule="exact"/>
              <w:rPr>
                <w:sz w:val="20"/>
                <w:szCs w:val="20"/>
                <w:color w:val="auto"/>
              </w:rPr>
            </w:pPr>
            <w:r>
              <w:rPr>
                <w:rFonts w:ascii="Times New Roman" w:cs="Times New Roman" w:eastAsia="Times New Roman" w:hAnsi="Times New Roman"/>
                <w:sz w:val="11"/>
                <w:szCs w:val="11"/>
                <w:color w:val="auto"/>
              </w:rPr>
              <w:t>6.75 %</w:t>
            </w:r>
          </w:p>
        </w:tc>
        <w:tc>
          <w:tcPr>
            <w:tcW w:w="140" w:type="dxa"/>
            <w:vAlign w:val="bottom"/>
          </w:tcPr>
          <w:p>
            <w:pPr>
              <w:spacing w:after="0"/>
              <w:rPr>
                <w:sz w:val="10"/>
                <w:szCs w:val="10"/>
                <w:color w:val="auto"/>
              </w:rPr>
            </w:pPr>
          </w:p>
        </w:tc>
        <w:tc>
          <w:tcPr>
            <w:tcW w:w="78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3M L+575</w:t>
            </w:r>
          </w:p>
        </w:tc>
        <w:tc>
          <w:tcPr>
            <w:tcW w:w="104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1"/>
                <w:szCs w:val="11"/>
                <w:color w:val="auto"/>
              </w:rPr>
              <w:t>4,963</w:t>
            </w: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4,863</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4,863</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36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Applied Technical Services, LLC </w:t>
            </w:r>
            <w:r>
              <w:rPr>
                <w:rFonts w:ascii="Times New Roman" w:cs="Times New Roman" w:eastAsia="Times New Roman" w:hAnsi="Times New Roman"/>
                <w:sz w:val="14"/>
                <w:szCs w:val="14"/>
                <w:color w:val="auto"/>
                <w:vertAlign w:val="superscript"/>
              </w:rPr>
              <w:t>(7), (9)</w:t>
            </w:r>
          </w:p>
        </w:tc>
        <w:tc>
          <w:tcPr>
            <w:tcW w:w="880" w:type="dxa"/>
            <w:vAlign w:val="bottom"/>
            <w:gridSpan w:val="2"/>
          </w:tcPr>
          <w:p>
            <w:pPr>
              <w:ind w:left="260"/>
              <w:spacing w:after="0"/>
              <w:rPr>
                <w:sz w:val="20"/>
                <w:szCs w:val="20"/>
                <w:color w:val="auto"/>
              </w:rPr>
            </w:pPr>
            <w:r>
              <w:rPr>
                <w:rFonts w:ascii="Times New Roman" w:cs="Times New Roman" w:eastAsia="Times New Roman" w:hAnsi="Times New Roman"/>
                <w:sz w:val="11"/>
                <w:szCs w:val="11"/>
                <w:color w:val="auto"/>
              </w:rPr>
              <w:t>06/29/2022</w:t>
            </w:r>
          </w:p>
        </w:tc>
        <w:tc>
          <w:tcPr>
            <w:tcW w:w="140" w:type="dxa"/>
            <w:vAlign w:val="bottom"/>
          </w:tcPr>
          <w:p>
            <w:pPr>
              <w:spacing w:after="0"/>
              <w:rPr>
                <w:sz w:val="11"/>
                <w:szCs w:val="11"/>
                <w:color w:val="auto"/>
              </w:rPr>
            </w:pPr>
          </w:p>
        </w:tc>
        <w:tc>
          <w:tcPr>
            <w:tcW w:w="25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Commercial Services &amp; Supplies</w:t>
            </w:r>
          </w:p>
        </w:tc>
        <w:tc>
          <w:tcPr>
            <w:tcW w:w="120" w:type="dxa"/>
            <w:vAlign w:val="bottom"/>
          </w:tcPr>
          <w:p>
            <w:pPr>
              <w:spacing w:after="0"/>
              <w:rPr>
                <w:sz w:val="11"/>
                <w:szCs w:val="11"/>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8,567</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(75 )</w:t>
            </w:r>
          </w:p>
        </w:tc>
        <w:tc>
          <w:tcPr>
            <w:tcW w:w="0" w:type="dxa"/>
            <w:vAlign w:val="bottom"/>
          </w:tcPr>
          <w:p>
            <w:pPr>
              <w:spacing w:after="0"/>
              <w:rPr>
                <w:sz w:val="1"/>
                <w:szCs w:val="1"/>
                <w:color w:val="auto"/>
              </w:rPr>
            </w:pPr>
          </w:p>
        </w:tc>
      </w:tr>
      <w:tr>
        <w:trPr>
          <w:trHeight w:val="153"/>
        </w:trPr>
        <w:tc>
          <w:tcPr>
            <w:tcW w:w="2360" w:type="dxa"/>
            <w:vAlign w:val="bottom"/>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Applied Technical Services, LLC (Revolver) </w:t>
            </w:r>
            <w:r>
              <w:rPr>
                <w:rFonts w:ascii="Times New Roman" w:cs="Times New Roman" w:eastAsia="Times New Roman" w:hAnsi="Times New Roman"/>
                <w:sz w:val="14"/>
                <w:szCs w:val="14"/>
                <w:color w:val="auto"/>
                <w:vertAlign w:val="superscript"/>
              </w:rPr>
              <w:t>(7), (9)</w:t>
            </w:r>
          </w:p>
        </w:tc>
        <w:tc>
          <w:tcPr>
            <w:tcW w:w="880" w:type="dxa"/>
            <w:vAlign w:val="bottom"/>
            <w:gridSpan w:val="2"/>
          </w:tcPr>
          <w:p>
            <w:pPr>
              <w:ind w:left="260"/>
              <w:spacing w:after="0"/>
              <w:rPr>
                <w:sz w:val="20"/>
                <w:szCs w:val="20"/>
                <w:color w:val="auto"/>
              </w:rPr>
            </w:pPr>
            <w:r>
              <w:rPr>
                <w:rFonts w:ascii="Times New Roman" w:cs="Times New Roman" w:eastAsia="Times New Roman" w:hAnsi="Times New Roman"/>
                <w:sz w:val="11"/>
                <w:szCs w:val="11"/>
                <w:color w:val="auto"/>
              </w:rPr>
              <w:t>12/29/2026</w:t>
            </w:r>
          </w:p>
        </w:tc>
        <w:tc>
          <w:tcPr>
            <w:tcW w:w="140" w:type="dxa"/>
            <w:vAlign w:val="bottom"/>
          </w:tcPr>
          <w:p>
            <w:pPr>
              <w:spacing w:after="0"/>
              <w:rPr>
                <w:sz w:val="13"/>
                <w:szCs w:val="13"/>
                <w:color w:val="auto"/>
              </w:rPr>
            </w:pPr>
          </w:p>
        </w:tc>
        <w:tc>
          <w:tcPr>
            <w:tcW w:w="25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Commercial Services &amp; Supplies</w:t>
            </w:r>
          </w:p>
        </w:tc>
        <w:tc>
          <w:tcPr>
            <w:tcW w:w="120" w:type="dxa"/>
            <w:vAlign w:val="bottom"/>
          </w:tcPr>
          <w:p>
            <w:pPr>
              <w:spacing w:after="0"/>
              <w:rPr>
                <w:sz w:val="13"/>
                <w:szCs w:val="13"/>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1,273</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(25 )</w:t>
            </w:r>
          </w:p>
        </w:tc>
        <w:tc>
          <w:tcPr>
            <w:tcW w:w="0" w:type="dxa"/>
            <w:vAlign w:val="bottom"/>
          </w:tcPr>
          <w:p>
            <w:pPr>
              <w:spacing w:after="0"/>
              <w:rPr>
                <w:sz w:val="1"/>
                <w:szCs w:val="1"/>
                <w:color w:val="auto"/>
              </w:rPr>
            </w:pPr>
          </w:p>
        </w:tc>
      </w:tr>
      <w:tr>
        <w:trPr>
          <w:trHeight w:val="135"/>
        </w:trPr>
        <w:tc>
          <w:tcPr>
            <w:tcW w:w="23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By Light Professional IT Services, LLC</w:t>
            </w:r>
          </w:p>
        </w:tc>
        <w:tc>
          <w:tcPr>
            <w:tcW w:w="880" w:type="dxa"/>
            <w:vAlign w:val="bottom"/>
            <w:gridSpan w:val="2"/>
          </w:tcPr>
          <w:p>
            <w:pPr>
              <w:ind w:left="260"/>
              <w:spacing w:after="0"/>
              <w:rPr>
                <w:sz w:val="20"/>
                <w:szCs w:val="20"/>
                <w:color w:val="auto"/>
              </w:rPr>
            </w:pPr>
            <w:r>
              <w:rPr>
                <w:rFonts w:ascii="Times New Roman" w:cs="Times New Roman" w:eastAsia="Times New Roman" w:hAnsi="Times New Roman"/>
                <w:sz w:val="11"/>
                <w:szCs w:val="11"/>
                <w:color w:val="auto"/>
              </w:rPr>
              <w:t>05/16/2022</w:t>
            </w:r>
          </w:p>
        </w:tc>
        <w:tc>
          <w:tcPr>
            <w:tcW w:w="140" w:type="dxa"/>
            <w:vAlign w:val="bottom"/>
          </w:tcPr>
          <w:p>
            <w:pPr>
              <w:spacing w:after="0"/>
              <w:rPr>
                <w:sz w:val="11"/>
                <w:szCs w:val="11"/>
                <w:color w:val="auto"/>
              </w:rPr>
            </w:pPr>
          </w:p>
        </w:tc>
        <w:tc>
          <w:tcPr>
            <w:tcW w:w="25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High Tech Industries</w:t>
            </w:r>
          </w:p>
        </w:tc>
        <w:tc>
          <w:tcPr>
            <w:tcW w:w="1220" w:type="dxa"/>
            <w:vAlign w:val="bottom"/>
            <w:gridSpan w:val="3"/>
          </w:tcPr>
          <w:p>
            <w:pPr>
              <w:jc w:val="right"/>
              <w:ind w:right="20"/>
              <w:spacing w:after="0"/>
              <w:rPr>
                <w:sz w:val="20"/>
                <w:szCs w:val="20"/>
                <w:color w:val="auto"/>
              </w:rPr>
            </w:pPr>
            <w:r>
              <w:rPr>
                <w:rFonts w:ascii="Times New Roman" w:cs="Times New Roman" w:eastAsia="Times New Roman" w:hAnsi="Times New Roman"/>
                <w:sz w:val="11"/>
                <w:szCs w:val="11"/>
                <w:color w:val="auto"/>
              </w:rPr>
              <w:t>7.25 %</w:t>
            </w:r>
          </w:p>
        </w:tc>
        <w:tc>
          <w:tcPr>
            <w:tcW w:w="14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L+625</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22,681</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22,627</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22,681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360" w:type="dxa"/>
            <w:vAlign w:val="bottom"/>
          </w:tcPr>
          <w:p>
            <w:pPr>
              <w:ind w:left="20"/>
              <w:spacing w:after="0" w:line="109" w:lineRule="exact"/>
              <w:rPr>
                <w:sz w:val="20"/>
                <w:szCs w:val="20"/>
                <w:color w:val="auto"/>
              </w:rPr>
            </w:pPr>
            <w:r>
              <w:rPr>
                <w:rFonts w:ascii="Times New Roman" w:cs="Times New Roman" w:eastAsia="Times New Roman" w:hAnsi="Times New Roman"/>
                <w:sz w:val="11"/>
                <w:szCs w:val="11"/>
                <w:color w:val="auto"/>
              </w:rPr>
              <w:t>By Light Professional IT Services, LLC</w:t>
            </w:r>
          </w:p>
        </w:tc>
        <w:tc>
          <w:tcPr>
            <w:tcW w:w="880" w:type="dxa"/>
            <w:vAlign w:val="bottom"/>
            <w:gridSpan w:val="2"/>
          </w:tcPr>
          <w:p>
            <w:pPr>
              <w:ind w:left="260"/>
              <w:spacing w:after="0" w:line="109" w:lineRule="exact"/>
              <w:rPr>
                <w:sz w:val="20"/>
                <w:szCs w:val="20"/>
                <w:color w:val="auto"/>
              </w:rPr>
            </w:pPr>
            <w:r>
              <w:rPr>
                <w:rFonts w:ascii="Times New Roman" w:cs="Times New Roman" w:eastAsia="Times New Roman" w:hAnsi="Times New Roman"/>
                <w:sz w:val="11"/>
                <w:szCs w:val="11"/>
                <w:color w:val="auto"/>
              </w:rPr>
              <w:t>05/16/2022</w:t>
            </w:r>
          </w:p>
        </w:tc>
        <w:tc>
          <w:tcPr>
            <w:tcW w:w="140" w:type="dxa"/>
            <w:vAlign w:val="bottom"/>
          </w:tcPr>
          <w:p>
            <w:pPr>
              <w:spacing w:after="0"/>
              <w:rPr>
                <w:sz w:val="9"/>
                <w:szCs w:val="9"/>
                <w:color w:val="auto"/>
              </w:rPr>
            </w:pPr>
          </w:p>
        </w:tc>
        <w:tc>
          <w:tcPr>
            <w:tcW w:w="2560" w:type="dxa"/>
            <w:vAlign w:val="bottom"/>
          </w:tcPr>
          <w:p>
            <w:pPr>
              <w:jc w:val="center"/>
              <w:spacing w:after="0" w:line="109" w:lineRule="exact"/>
              <w:rPr>
                <w:sz w:val="20"/>
                <w:szCs w:val="20"/>
                <w:color w:val="auto"/>
              </w:rPr>
            </w:pPr>
            <w:r>
              <w:rPr>
                <w:rFonts w:ascii="Times New Roman" w:cs="Times New Roman" w:eastAsia="Times New Roman" w:hAnsi="Times New Roman"/>
                <w:sz w:val="11"/>
                <w:szCs w:val="11"/>
                <w:color w:val="auto"/>
                <w:w w:val="99"/>
              </w:rPr>
              <w:t>High Tech Industries</w:t>
            </w:r>
          </w:p>
        </w:tc>
        <w:tc>
          <w:tcPr>
            <w:tcW w:w="120" w:type="dxa"/>
            <w:vAlign w:val="bottom"/>
          </w:tcPr>
          <w:p>
            <w:pPr>
              <w:spacing w:after="0"/>
              <w:rPr>
                <w:sz w:val="9"/>
                <w:szCs w:val="9"/>
                <w:color w:val="auto"/>
              </w:rPr>
            </w:pPr>
          </w:p>
        </w:tc>
        <w:tc>
          <w:tcPr>
            <w:tcW w:w="1100" w:type="dxa"/>
            <w:vAlign w:val="bottom"/>
            <w:gridSpan w:val="2"/>
          </w:tcPr>
          <w:p>
            <w:pPr>
              <w:jc w:val="right"/>
              <w:ind w:right="140"/>
              <w:spacing w:after="0" w:line="109"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9"/>
                <w:szCs w:val="9"/>
                <w:color w:val="auto"/>
              </w:rPr>
            </w:pPr>
          </w:p>
        </w:tc>
        <w:tc>
          <w:tcPr>
            <w:tcW w:w="780" w:type="dxa"/>
            <w:vAlign w:val="bottom"/>
          </w:tcPr>
          <w:p>
            <w:pPr>
              <w:jc w:val="right"/>
              <w:spacing w:after="0" w:line="109"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tcPr>
          <w:p>
            <w:pPr>
              <w:jc w:val="right"/>
              <w:spacing w:after="0" w:line="109"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gridSpan w:val="2"/>
          </w:tcPr>
          <w:p>
            <w:pPr>
              <w:jc w:val="right"/>
              <w:ind w:right="120"/>
              <w:spacing w:after="0" w:line="109"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30"/>
        </w:trPr>
        <w:tc>
          <w:tcPr>
            <w:tcW w:w="2360" w:type="dxa"/>
            <w:vAlign w:val="bottom"/>
          </w:tcPr>
          <w:p>
            <w:pPr>
              <w:ind w:left="20"/>
              <w:spacing w:after="0" w:line="130" w:lineRule="exact"/>
              <w:rPr>
                <w:sz w:val="20"/>
                <w:szCs w:val="20"/>
                <w:color w:val="auto"/>
              </w:rPr>
            </w:pPr>
            <w:r>
              <w:rPr>
                <w:rFonts w:ascii="Times New Roman" w:cs="Times New Roman" w:eastAsia="Times New Roman" w:hAnsi="Times New Roman"/>
                <w:sz w:val="11"/>
                <w:szCs w:val="11"/>
                <w:color w:val="auto"/>
              </w:rPr>
              <w:t xml:space="preserve">(Revolver) </w:t>
            </w:r>
            <w:r>
              <w:rPr>
                <w:rFonts w:ascii="Times New Roman" w:cs="Times New Roman" w:eastAsia="Times New Roman" w:hAnsi="Times New Roman"/>
                <w:sz w:val="14"/>
                <w:szCs w:val="14"/>
                <w:color w:val="auto"/>
                <w:vertAlign w:val="superscript"/>
              </w:rPr>
              <w:t>(9)</w:t>
            </w: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3,063</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360" w:type="dxa"/>
            <w:vAlign w:val="bottom"/>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Cadence Aerospace, LLC </w:t>
            </w:r>
            <w:r>
              <w:rPr>
                <w:rFonts w:ascii="Times New Roman" w:cs="Times New Roman" w:eastAsia="Times New Roman" w:hAnsi="Times New Roman"/>
                <w:sz w:val="14"/>
                <w:szCs w:val="14"/>
                <w:color w:val="auto"/>
                <w:vertAlign w:val="superscript"/>
              </w:rPr>
              <w:t>(7)</w:t>
            </w:r>
          </w:p>
        </w:tc>
        <w:tc>
          <w:tcPr>
            <w:tcW w:w="880" w:type="dxa"/>
            <w:vAlign w:val="bottom"/>
            <w:gridSpan w:val="2"/>
          </w:tcPr>
          <w:p>
            <w:pPr>
              <w:ind w:left="260"/>
              <w:spacing w:after="0"/>
              <w:rPr>
                <w:sz w:val="20"/>
                <w:szCs w:val="20"/>
                <w:color w:val="auto"/>
              </w:rPr>
            </w:pPr>
            <w:r>
              <w:rPr>
                <w:rFonts w:ascii="Times New Roman" w:cs="Times New Roman" w:eastAsia="Times New Roman" w:hAnsi="Times New Roman"/>
                <w:sz w:val="11"/>
                <w:szCs w:val="11"/>
                <w:color w:val="auto"/>
              </w:rPr>
              <w:t>11/14/2023</w:t>
            </w:r>
          </w:p>
        </w:tc>
        <w:tc>
          <w:tcPr>
            <w:tcW w:w="140" w:type="dxa"/>
            <w:vAlign w:val="bottom"/>
          </w:tcPr>
          <w:p>
            <w:pPr>
              <w:spacing w:after="0"/>
              <w:rPr>
                <w:sz w:val="13"/>
                <w:szCs w:val="13"/>
                <w:color w:val="auto"/>
              </w:rPr>
            </w:pPr>
          </w:p>
        </w:tc>
        <w:tc>
          <w:tcPr>
            <w:tcW w:w="25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1220" w:type="dxa"/>
            <w:vAlign w:val="bottom"/>
            <w:gridSpan w:val="3"/>
          </w:tcPr>
          <w:p>
            <w:pPr>
              <w:jc w:val="right"/>
              <w:ind w:right="20"/>
              <w:spacing w:after="0"/>
              <w:rPr>
                <w:sz w:val="20"/>
                <w:szCs w:val="20"/>
                <w:color w:val="auto"/>
              </w:rPr>
            </w:pPr>
            <w:r>
              <w:rPr>
                <w:rFonts w:ascii="Times New Roman" w:cs="Times New Roman" w:eastAsia="Times New Roman" w:hAnsi="Times New Roman"/>
                <w:sz w:val="11"/>
                <w:szCs w:val="11"/>
                <w:color w:val="auto"/>
              </w:rPr>
              <w:t>9.50 %</w:t>
            </w:r>
          </w:p>
        </w:tc>
        <w:tc>
          <w:tcPr>
            <w:tcW w:w="14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L+850</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3,002</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2,985</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2,928</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(PIK 9.50%)</w:t>
            </w: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3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Cano Health, LLC</w:t>
            </w:r>
          </w:p>
        </w:tc>
        <w:tc>
          <w:tcPr>
            <w:tcW w:w="880" w:type="dxa"/>
            <w:vAlign w:val="bottom"/>
            <w:gridSpan w:val="2"/>
            <w:shd w:val="clear" w:color="auto" w:fill="CCECFF"/>
          </w:tcPr>
          <w:p>
            <w:pPr>
              <w:ind w:left="260"/>
              <w:spacing w:after="0"/>
              <w:rPr>
                <w:sz w:val="20"/>
                <w:szCs w:val="20"/>
                <w:color w:val="auto"/>
              </w:rPr>
            </w:pPr>
            <w:r>
              <w:rPr>
                <w:rFonts w:ascii="Times New Roman" w:cs="Times New Roman" w:eastAsia="Times New Roman" w:hAnsi="Times New Roman"/>
                <w:sz w:val="11"/>
                <w:szCs w:val="11"/>
                <w:color w:val="auto"/>
              </w:rPr>
              <w:t>11/23/2027</w:t>
            </w:r>
          </w:p>
        </w:tc>
        <w:tc>
          <w:tcPr>
            <w:tcW w:w="140" w:type="dxa"/>
            <w:vAlign w:val="bottom"/>
            <w:shd w:val="clear" w:color="auto" w:fill="CCECFF"/>
          </w:tcPr>
          <w:p>
            <w:pPr>
              <w:spacing w:after="0"/>
              <w:rPr>
                <w:sz w:val="12"/>
                <w:szCs w:val="12"/>
                <w:color w:val="auto"/>
              </w:rPr>
            </w:pPr>
          </w:p>
        </w:tc>
        <w:tc>
          <w:tcPr>
            <w:tcW w:w="25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9"/>
              </w:rPr>
              <w:t>Healthcare and Pharmaceuticals</w:t>
            </w:r>
          </w:p>
        </w:tc>
        <w:tc>
          <w:tcPr>
            <w:tcW w:w="1220" w:type="dxa"/>
            <w:vAlign w:val="bottom"/>
            <w:gridSpan w:val="3"/>
            <w:shd w:val="clear" w:color="auto" w:fill="CCECFF"/>
          </w:tcPr>
          <w:p>
            <w:pPr>
              <w:jc w:val="right"/>
              <w:ind w:right="20"/>
              <w:spacing w:after="0"/>
              <w:rPr>
                <w:sz w:val="20"/>
                <w:szCs w:val="20"/>
                <w:color w:val="auto"/>
              </w:rPr>
            </w:pPr>
            <w:r>
              <w:rPr>
                <w:rFonts w:ascii="Times New Roman" w:cs="Times New Roman" w:eastAsia="Times New Roman" w:hAnsi="Times New Roman"/>
                <w:sz w:val="11"/>
                <w:szCs w:val="11"/>
                <w:color w:val="auto"/>
              </w:rPr>
              <w:t>5.25 %</w:t>
            </w:r>
          </w:p>
        </w:tc>
        <w:tc>
          <w:tcPr>
            <w:tcW w:w="140" w:type="dxa"/>
            <w:vAlign w:val="bottom"/>
            <w:shd w:val="clear" w:color="auto" w:fill="CCECFF"/>
          </w:tcPr>
          <w:p>
            <w:pPr>
              <w:spacing w:after="0"/>
              <w:rPr>
                <w:sz w:val="12"/>
                <w:szCs w:val="12"/>
                <w:color w:val="auto"/>
              </w:rPr>
            </w:pPr>
          </w:p>
        </w:tc>
        <w:tc>
          <w:tcPr>
            <w:tcW w:w="7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1M L+450</w:t>
            </w:r>
          </w:p>
        </w:tc>
        <w:tc>
          <w:tcPr>
            <w:tcW w:w="10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2,653</w:t>
            </w:r>
          </w:p>
        </w:tc>
        <w:tc>
          <w:tcPr>
            <w:tcW w:w="22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2,647</w:t>
            </w:r>
          </w:p>
        </w:tc>
        <w:tc>
          <w:tcPr>
            <w:tcW w:w="22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7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2,654</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03"/>
        </w:trPr>
        <w:tc>
          <w:tcPr>
            <w:tcW w:w="2360" w:type="dxa"/>
            <w:vAlign w:val="bottom"/>
          </w:tcPr>
          <w:p>
            <w:pPr>
              <w:ind w:left="20"/>
              <w:spacing w:after="0" w:line="103" w:lineRule="exact"/>
              <w:rPr>
                <w:sz w:val="20"/>
                <w:szCs w:val="20"/>
                <w:color w:val="auto"/>
              </w:rPr>
            </w:pPr>
            <w:r>
              <w:rPr>
                <w:rFonts w:ascii="Times New Roman" w:cs="Times New Roman" w:eastAsia="Times New Roman" w:hAnsi="Times New Roman"/>
                <w:sz w:val="11"/>
                <w:szCs w:val="11"/>
                <w:color w:val="auto"/>
              </w:rPr>
              <w:t>CF512, Inc.</w:t>
            </w:r>
          </w:p>
        </w:tc>
        <w:tc>
          <w:tcPr>
            <w:tcW w:w="880" w:type="dxa"/>
            <w:vAlign w:val="bottom"/>
            <w:gridSpan w:val="2"/>
          </w:tcPr>
          <w:p>
            <w:pPr>
              <w:ind w:left="260"/>
              <w:spacing w:after="0" w:line="103" w:lineRule="exact"/>
              <w:rPr>
                <w:sz w:val="20"/>
                <w:szCs w:val="20"/>
                <w:color w:val="auto"/>
              </w:rPr>
            </w:pPr>
            <w:r>
              <w:rPr>
                <w:rFonts w:ascii="Times New Roman" w:cs="Times New Roman" w:eastAsia="Times New Roman" w:hAnsi="Times New Roman"/>
                <w:sz w:val="11"/>
                <w:szCs w:val="11"/>
                <w:color w:val="auto"/>
              </w:rPr>
              <w:t>08/20/2026</w:t>
            </w:r>
          </w:p>
        </w:tc>
        <w:tc>
          <w:tcPr>
            <w:tcW w:w="140" w:type="dxa"/>
            <w:vAlign w:val="bottom"/>
          </w:tcPr>
          <w:p>
            <w:pPr>
              <w:spacing w:after="0"/>
              <w:rPr>
                <w:sz w:val="8"/>
                <w:szCs w:val="8"/>
                <w:color w:val="auto"/>
              </w:rPr>
            </w:pPr>
          </w:p>
        </w:tc>
        <w:tc>
          <w:tcPr>
            <w:tcW w:w="2560" w:type="dxa"/>
            <w:vAlign w:val="bottom"/>
          </w:tcPr>
          <w:p>
            <w:pPr>
              <w:jc w:val="center"/>
              <w:spacing w:after="0" w:line="103" w:lineRule="exact"/>
              <w:rPr>
                <w:sz w:val="20"/>
                <w:szCs w:val="20"/>
                <w:color w:val="auto"/>
              </w:rPr>
            </w:pPr>
            <w:r>
              <w:rPr>
                <w:rFonts w:ascii="Times New Roman" w:cs="Times New Roman" w:eastAsia="Times New Roman" w:hAnsi="Times New Roman"/>
                <w:sz w:val="11"/>
                <w:szCs w:val="11"/>
                <w:color w:val="auto"/>
                <w:w w:val="99"/>
              </w:rPr>
              <w:t>Media</w:t>
            </w:r>
          </w:p>
        </w:tc>
        <w:tc>
          <w:tcPr>
            <w:tcW w:w="1220" w:type="dxa"/>
            <w:vAlign w:val="bottom"/>
            <w:gridSpan w:val="3"/>
          </w:tcPr>
          <w:p>
            <w:pPr>
              <w:jc w:val="right"/>
              <w:ind w:right="20"/>
              <w:spacing w:after="0" w:line="103" w:lineRule="exact"/>
              <w:rPr>
                <w:sz w:val="20"/>
                <w:szCs w:val="20"/>
                <w:color w:val="auto"/>
              </w:rPr>
            </w:pPr>
            <w:r>
              <w:rPr>
                <w:rFonts w:ascii="Times New Roman" w:cs="Times New Roman" w:eastAsia="Times New Roman" w:hAnsi="Times New Roman"/>
                <w:sz w:val="11"/>
                <w:szCs w:val="11"/>
                <w:color w:val="auto"/>
              </w:rPr>
              <w:t>7.00 %</w:t>
            </w:r>
          </w:p>
        </w:tc>
        <w:tc>
          <w:tcPr>
            <w:tcW w:w="140" w:type="dxa"/>
            <w:vAlign w:val="bottom"/>
          </w:tcPr>
          <w:p>
            <w:pPr>
              <w:spacing w:after="0"/>
              <w:rPr>
                <w:sz w:val="8"/>
                <w:szCs w:val="8"/>
                <w:color w:val="auto"/>
              </w:rPr>
            </w:pPr>
          </w:p>
        </w:tc>
        <w:tc>
          <w:tcPr>
            <w:tcW w:w="780" w:type="dxa"/>
            <w:vAlign w:val="bottom"/>
          </w:tcPr>
          <w:p>
            <w:pPr>
              <w:jc w:val="right"/>
              <w:spacing w:after="0" w:line="103" w:lineRule="exact"/>
              <w:rPr>
                <w:sz w:val="20"/>
                <w:szCs w:val="20"/>
                <w:color w:val="auto"/>
              </w:rPr>
            </w:pPr>
            <w:r>
              <w:rPr>
                <w:rFonts w:ascii="Times New Roman" w:cs="Times New Roman" w:eastAsia="Times New Roman" w:hAnsi="Times New Roman"/>
                <w:sz w:val="11"/>
                <w:szCs w:val="11"/>
                <w:color w:val="auto"/>
              </w:rPr>
              <w:t>3M L+600</w:t>
            </w:r>
          </w:p>
        </w:tc>
        <w:tc>
          <w:tcPr>
            <w:tcW w:w="1040" w:type="dxa"/>
            <w:vAlign w:val="bottom"/>
            <w:gridSpan w:val="2"/>
          </w:tcPr>
          <w:p>
            <w:pPr>
              <w:jc w:val="right"/>
              <w:spacing w:after="0" w:line="103" w:lineRule="exact"/>
              <w:rPr>
                <w:sz w:val="20"/>
                <w:szCs w:val="20"/>
                <w:color w:val="auto"/>
              </w:rPr>
            </w:pPr>
            <w:r>
              <w:rPr>
                <w:rFonts w:ascii="Times New Roman" w:cs="Times New Roman" w:eastAsia="Times New Roman" w:hAnsi="Times New Roman"/>
                <w:sz w:val="11"/>
                <w:szCs w:val="11"/>
                <w:color w:val="auto"/>
              </w:rPr>
              <w:t>10,500</w:t>
            </w: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tcPr>
          <w:p>
            <w:pPr>
              <w:jc w:val="right"/>
              <w:spacing w:after="0" w:line="103" w:lineRule="exact"/>
              <w:rPr>
                <w:sz w:val="20"/>
                <w:szCs w:val="20"/>
                <w:color w:val="auto"/>
              </w:rPr>
            </w:pPr>
            <w:r>
              <w:rPr>
                <w:rFonts w:ascii="Times New Roman" w:cs="Times New Roman" w:eastAsia="Times New Roman" w:hAnsi="Times New Roman"/>
                <w:sz w:val="11"/>
                <w:szCs w:val="11"/>
                <w:color w:val="auto"/>
              </w:rPr>
              <w:t>10,293</w:t>
            </w: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jc w:val="right"/>
              <w:spacing w:after="0" w:line="103" w:lineRule="exact"/>
              <w:rPr>
                <w:sz w:val="20"/>
                <w:szCs w:val="20"/>
                <w:color w:val="auto"/>
              </w:rPr>
            </w:pPr>
            <w:r>
              <w:rPr>
                <w:rFonts w:ascii="Times New Roman" w:cs="Times New Roman" w:eastAsia="Times New Roman" w:hAnsi="Times New Roman"/>
                <w:sz w:val="11"/>
                <w:szCs w:val="11"/>
                <w:color w:val="auto"/>
              </w:rPr>
              <w:t>10,290</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236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CF512, Inc. </w:t>
            </w:r>
            <w:r>
              <w:rPr>
                <w:rFonts w:ascii="Times New Roman" w:cs="Times New Roman" w:eastAsia="Times New Roman" w:hAnsi="Times New Roman"/>
                <w:sz w:val="14"/>
                <w:szCs w:val="14"/>
                <w:color w:val="auto"/>
                <w:vertAlign w:val="superscript"/>
              </w:rPr>
              <w:t>(7), (9)</w:t>
            </w:r>
          </w:p>
        </w:tc>
        <w:tc>
          <w:tcPr>
            <w:tcW w:w="880" w:type="dxa"/>
            <w:vAlign w:val="bottom"/>
            <w:gridSpan w:val="2"/>
          </w:tcPr>
          <w:p>
            <w:pPr>
              <w:ind w:left="260"/>
              <w:spacing w:after="0"/>
              <w:rPr>
                <w:sz w:val="20"/>
                <w:szCs w:val="20"/>
                <w:color w:val="auto"/>
              </w:rPr>
            </w:pPr>
            <w:r>
              <w:rPr>
                <w:rFonts w:ascii="Times New Roman" w:cs="Times New Roman" w:eastAsia="Times New Roman" w:hAnsi="Times New Roman"/>
                <w:sz w:val="11"/>
                <w:szCs w:val="11"/>
                <w:color w:val="auto"/>
              </w:rPr>
              <w:t>08/20/2026</w:t>
            </w:r>
          </w:p>
        </w:tc>
        <w:tc>
          <w:tcPr>
            <w:tcW w:w="140" w:type="dxa"/>
            <w:vAlign w:val="bottom"/>
          </w:tcPr>
          <w:p>
            <w:pPr>
              <w:spacing w:after="0"/>
              <w:rPr>
                <w:sz w:val="11"/>
                <w:szCs w:val="11"/>
                <w:color w:val="auto"/>
              </w:rPr>
            </w:pPr>
          </w:p>
        </w:tc>
        <w:tc>
          <w:tcPr>
            <w:tcW w:w="25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Media</w:t>
            </w:r>
          </w:p>
        </w:tc>
        <w:tc>
          <w:tcPr>
            <w:tcW w:w="120" w:type="dxa"/>
            <w:vAlign w:val="bottom"/>
          </w:tcPr>
          <w:p>
            <w:pPr>
              <w:spacing w:after="0"/>
              <w:rPr>
                <w:sz w:val="11"/>
                <w:szCs w:val="11"/>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2,864</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(29 )</w:t>
            </w:r>
          </w:p>
        </w:tc>
        <w:tc>
          <w:tcPr>
            <w:tcW w:w="0" w:type="dxa"/>
            <w:vAlign w:val="bottom"/>
          </w:tcPr>
          <w:p>
            <w:pPr>
              <w:spacing w:after="0"/>
              <w:rPr>
                <w:sz w:val="1"/>
                <w:szCs w:val="1"/>
                <w:color w:val="auto"/>
              </w:rPr>
            </w:pPr>
          </w:p>
        </w:tc>
      </w:tr>
      <w:tr>
        <w:trPr>
          <w:trHeight w:val="167"/>
        </w:trPr>
        <w:tc>
          <w:tcPr>
            <w:tcW w:w="23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 xml:space="preserve">CF512, Inc. (Revolver) </w:t>
            </w:r>
            <w:r>
              <w:rPr>
                <w:rFonts w:ascii="Times New Roman" w:cs="Times New Roman" w:eastAsia="Times New Roman" w:hAnsi="Times New Roman"/>
                <w:sz w:val="14"/>
                <w:szCs w:val="14"/>
                <w:color w:val="auto"/>
                <w:vertAlign w:val="superscript"/>
              </w:rPr>
              <w:t>(7), (9)</w:t>
            </w:r>
          </w:p>
        </w:tc>
        <w:tc>
          <w:tcPr>
            <w:tcW w:w="880" w:type="dxa"/>
            <w:vAlign w:val="bottom"/>
            <w:gridSpan w:val="2"/>
          </w:tcPr>
          <w:p>
            <w:pPr>
              <w:ind w:left="260"/>
              <w:spacing w:after="0"/>
              <w:rPr>
                <w:sz w:val="20"/>
                <w:szCs w:val="20"/>
                <w:color w:val="auto"/>
              </w:rPr>
            </w:pPr>
            <w:r>
              <w:rPr>
                <w:rFonts w:ascii="Times New Roman" w:cs="Times New Roman" w:eastAsia="Times New Roman" w:hAnsi="Times New Roman"/>
                <w:sz w:val="11"/>
                <w:szCs w:val="11"/>
                <w:color w:val="auto"/>
              </w:rPr>
              <w:t>08/20/2026</w:t>
            </w:r>
          </w:p>
        </w:tc>
        <w:tc>
          <w:tcPr>
            <w:tcW w:w="140" w:type="dxa"/>
            <w:vAlign w:val="bottom"/>
          </w:tcPr>
          <w:p>
            <w:pPr>
              <w:spacing w:after="0"/>
              <w:rPr>
                <w:sz w:val="14"/>
                <w:szCs w:val="14"/>
                <w:color w:val="auto"/>
              </w:rPr>
            </w:pPr>
          </w:p>
        </w:tc>
        <w:tc>
          <w:tcPr>
            <w:tcW w:w="25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Media</w:t>
            </w:r>
          </w:p>
        </w:tc>
        <w:tc>
          <w:tcPr>
            <w:tcW w:w="120" w:type="dxa"/>
            <w:vAlign w:val="bottom"/>
          </w:tcPr>
          <w:p>
            <w:pPr>
              <w:spacing w:after="0"/>
              <w:rPr>
                <w:sz w:val="14"/>
                <w:szCs w:val="14"/>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955</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(19 )</w:t>
            </w:r>
          </w:p>
        </w:tc>
        <w:tc>
          <w:tcPr>
            <w:tcW w:w="0" w:type="dxa"/>
            <w:vAlign w:val="bottom"/>
          </w:tcPr>
          <w:p>
            <w:pPr>
              <w:spacing w:after="0"/>
              <w:rPr>
                <w:sz w:val="1"/>
                <w:szCs w:val="1"/>
                <w:color w:val="auto"/>
              </w:rPr>
            </w:pPr>
          </w:p>
        </w:tc>
      </w:tr>
      <w:tr>
        <w:trPr>
          <w:trHeight w:val="135"/>
        </w:trPr>
        <w:tc>
          <w:tcPr>
            <w:tcW w:w="23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CHA Holdings, Inc.</w:t>
            </w:r>
          </w:p>
        </w:tc>
        <w:tc>
          <w:tcPr>
            <w:tcW w:w="880" w:type="dxa"/>
            <w:vAlign w:val="bottom"/>
            <w:gridSpan w:val="2"/>
            <w:shd w:val="clear" w:color="auto" w:fill="CCECFF"/>
          </w:tcPr>
          <w:p>
            <w:pPr>
              <w:ind w:left="260"/>
              <w:spacing w:after="0"/>
              <w:rPr>
                <w:sz w:val="20"/>
                <w:szCs w:val="20"/>
                <w:color w:val="auto"/>
              </w:rPr>
            </w:pPr>
            <w:r>
              <w:rPr>
                <w:rFonts w:ascii="Times New Roman" w:cs="Times New Roman" w:eastAsia="Times New Roman" w:hAnsi="Times New Roman"/>
                <w:sz w:val="11"/>
                <w:szCs w:val="11"/>
                <w:color w:val="auto"/>
              </w:rPr>
              <w:t>04/10/2025</w:t>
            </w:r>
          </w:p>
        </w:tc>
        <w:tc>
          <w:tcPr>
            <w:tcW w:w="140" w:type="dxa"/>
            <w:vAlign w:val="bottom"/>
            <w:shd w:val="clear" w:color="auto" w:fill="CCECFF"/>
          </w:tcPr>
          <w:p>
            <w:pPr>
              <w:spacing w:after="0"/>
              <w:rPr>
                <w:sz w:val="11"/>
                <w:szCs w:val="11"/>
                <w:color w:val="auto"/>
              </w:rPr>
            </w:pPr>
          </w:p>
        </w:tc>
        <w:tc>
          <w:tcPr>
            <w:tcW w:w="25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6"/>
              </w:rPr>
              <w:t>Environmental Industries</w:t>
            </w:r>
          </w:p>
        </w:tc>
        <w:tc>
          <w:tcPr>
            <w:tcW w:w="1220" w:type="dxa"/>
            <w:vAlign w:val="bottom"/>
            <w:gridSpan w:val="3"/>
            <w:shd w:val="clear" w:color="auto" w:fill="CCECFF"/>
          </w:tcPr>
          <w:p>
            <w:pPr>
              <w:jc w:val="right"/>
              <w:ind w:right="20"/>
              <w:spacing w:after="0"/>
              <w:rPr>
                <w:sz w:val="20"/>
                <w:szCs w:val="20"/>
                <w:color w:val="auto"/>
              </w:rPr>
            </w:pPr>
            <w:r>
              <w:rPr>
                <w:rFonts w:ascii="Times New Roman" w:cs="Times New Roman" w:eastAsia="Times New Roman" w:hAnsi="Times New Roman"/>
                <w:sz w:val="11"/>
                <w:szCs w:val="11"/>
                <w:color w:val="auto"/>
              </w:rPr>
              <w:t>5.50 %</w:t>
            </w:r>
          </w:p>
        </w:tc>
        <w:tc>
          <w:tcPr>
            <w:tcW w:w="140" w:type="dxa"/>
            <w:vAlign w:val="bottom"/>
            <w:shd w:val="clear" w:color="auto" w:fill="CCECFF"/>
          </w:tcPr>
          <w:p>
            <w:pPr>
              <w:spacing w:after="0"/>
              <w:rPr>
                <w:sz w:val="11"/>
                <w:szCs w:val="11"/>
                <w:color w:val="auto"/>
              </w:rPr>
            </w:pPr>
          </w:p>
        </w:tc>
        <w:tc>
          <w:tcPr>
            <w:tcW w:w="7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L+450</w:t>
            </w:r>
          </w:p>
        </w:tc>
        <w:tc>
          <w:tcPr>
            <w:tcW w:w="10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1,597</w:t>
            </w:r>
          </w:p>
        </w:tc>
        <w:tc>
          <w:tcPr>
            <w:tcW w:w="22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1,593</w:t>
            </w:r>
          </w:p>
        </w:tc>
        <w:tc>
          <w:tcPr>
            <w:tcW w:w="22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7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1,573</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360" w:type="dxa"/>
            <w:vAlign w:val="bottom"/>
          </w:tcPr>
          <w:p>
            <w:pPr>
              <w:ind w:left="20"/>
              <w:spacing w:after="0" w:line="95" w:lineRule="exact"/>
              <w:rPr>
                <w:sz w:val="20"/>
                <w:szCs w:val="20"/>
                <w:color w:val="auto"/>
              </w:rPr>
            </w:pPr>
            <w:r>
              <w:rPr>
                <w:rFonts w:ascii="Times New Roman" w:cs="Times New Roman" w:eastAsia="Times New Roman" w:hAnsi="Times New Roman"/>
                <w:sz w:val="10"/>
                <w:szCs w:val="10"/>
                <w:color w:val="auto"/>
              </w:rPr>
              <w:t>Challenger Performance Optimization, Inc.</w:t>
            </w:r>
          </w:p>
        </w:tc>
        <w:tc>
          <w:tcPr>
            <w:tcW w:w="880" w:type="dxa"/>
            <w:vAlign w:val="bottom"/>
            <w:gridSpan w:val="2"/>
          </w:tcPr>
          <w:p>
            <w:pPr>
              <w:ind w:left="260"/>
              <w:spacing w:after="0" w:line="95" w:lineRule="exact"/>
              <w:rPr>
                <w:sz w:val="20"/>
                <w:szCs w:val="20"/>
                <w:color w:val="auto"/>
              </w:rPr>
            </w:pPr>
            <w:r>
              <w:rPr>
                <w:rFonts w:ascii="Times New Roman" w:cs="Times New Roman" w:eastAsia="Times New Roman" w:hAnsi="Times New Roman"/>
                <w:sz w:val="10"/>
                <w:szCs w:val="10"/>
                <w:color w:val="auto"/>
              </w:rPr>
              <w:t>08/31/2023</w:t>
            </w:r>
          </w:p>
        </w:tc>
        <w:tc>
          <w:tcPr>
            <w:tcW w:w="140" w:type="dxa"/>
            <w:vAlign w:val="bottom"/>
          </w:tcPr>
          <w:p>
            <w:pPr>
              <w:spacing w:after="0"/>
              <w:rPr>
                <w:sz w:val="8"/>
                <w:szCs w:val="8"/>
                <w:color w:val="auto"/>
              </w:rPr>
            </w:pPr>
          </w:p>
        </w:tc>
        <w:tc>
          <w:tcPr>
            <w:tcW w:w="2560" w:type="dxa"/>
            <w:vAlign w:val="bottom"/>
          </w:tcPr>
          <w:p>
            <w:pPr>
              <w:jc w:val="center"/>
              <w:spacing w:after="0" w:line="95" w:lineRule="exact"/>
              <w:rPr>
                <w:sz w:val="20"/>
                <w:szCs w:val="20"/>
                <w:color w:val="auto"/>
              </w:rPr>
            </w:pPr>
            <w:r>
              <w:rPr>
                <w:rFonts w:ascii="Times New Roman" w:cs="Times New Roman" w:eastAsia="Times New Roman" w:hAnsi="Times New Roman"/>
                <w:sz w:val="10"/>
                <w:szCs w:val="10"/>
                <w:color w:val="auto"/>
              </w:rPr>
              <w:t>Business Services</w:t>
            </w:r>
          </w:p>
        </w:tc>
        <w:tc>
          <w:tcPr>
            <w:tcW w:w="120" w:type="dxa"/>
            <w:vAlign w:val="bottom"/>
          </w:tcPr>
          <w:p>
            <w:pPr>
              <w:spacing w:after="0"/>
              <w:rPr>
                <w:sz w:val="8"/>
                <w:szCs w:val="8"/>
                <w:color w:val="auto"/>
              </w:rPr>
            </w:pPr>
          </w:p>
        </w:tc>
        <w:tc>
          <w:tcPr>
            <w:tcW w:w="1100" w:type="dxa"/>
            <w:vAlign w:val="bottom"/>
            <w:gridSpan w:val="2"/>
          </w:tcPr>
          <w:p>
            <w:pPr>
              <w:jc w:val="right"/>
              <w:ind w:right="140"/>
              <w:spacing w:after="0" w:line="95" w:lineRule="exact"/>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8"/>
                <w:szCs w:val="8"/>
                <w:color w:val="auto"/>
              </w:rPr>
            </w:pPr>
          </w:p>
        </w:tc>
        <w:tc>
          <w:tcPr>
            <w:tcW w:w="780" w:type="dxa"/>
            <w:vAlign w:val="bottom"/>
          </w:tcPr>
          <w:p>
            <w:pPr>
              <w:jc w:val="right"/>
              <w:spacing w:after="0" w:line="95" w:lineRule="exact"/>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tcPr>
          <w:p>
            <w:pPr>
              <w:jc w:val="right"/>
              <w:spacing w:after="0" w:line="95" w:lineRule="exact"/>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2360" w:type="dxa"/>
            <w:vAlign w:val="bottom"/>
          </w:tcPr>
          <w:p>
            <w:pPr>
              <w:ind w:left="20"/>
              <w:spacing w:after="0" w:line="149" w:lineRule="exact"/>
              <w:rPr>
                <w:sz w:val="20"/>
                <w:szCs w:val="20"/>
                <w:color w:val="auto"/>
              </w:rPr>
            </w:pPr>
            <w:r>
              <w:rPr>
                <w:rFonts w:ascii="Times New Roman" w:cs="Times New Roman" w:eastAsia="Times New Roman" w:hAnsi="Times New Roman"/>
                <w:sz w:val="11"/>
                <w:szCs w:val="11"/>
                <w:color w:val="auto"/>
              </w:rPr>
              <w:t xml:space="preserve">(Revolver) </w:t>
            </w:r>
            <w:r>
              <w:rPr>
                <w:rFonts w:ascii="Times New Roman" w:cs="Times New Roman" w:eastAsia="Times New Roman" w:hAnsi="Times New Roman"/>
                <w:sz w:val="14"/>
                <w:szCs w:val="14"/>
                <w:color w:val="auto"/>
                <w:vertAlign w:val="superscript"/>
              </w:rPr>
              <w:t>(7), (9)</w:t>
            </w: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711</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(21 )</w:t>
            </w:r>
          </w:p>
        </w:tc>
        <w:tc>
          <w:tcPr>
            <w:tcW w:w="0" w:type="dxa"/>
            <w:vAlign w:val="bottom"/>
          </w:tcPr>
          <w:p>
            <w:pPr>
              <w:spacing w:after="0"/>
              <w:rPr>
                <w:sz w:val="1"/>
                <w:szCs w:val="1"/>
                <w:color w:val="auto"/>
              </w:rPr>
            </w:pPr>
          </w:p>
        </w:tc>
      </w:tr>
      <w:tr>
        <w:trPr>
          <w:trHeight w:val="117"/>
        </w:trPr>
        <w:tc>
          <w:tcPr>
            <w:tcW w:w="2360" w:type="dxa"/>
            <w:vAlign w:val="bottom"/>
          </w:tcPr>
          <w:p>
            <w:pPr>
              <w:ind w:left="20"/>
              <w:spacing w:after="0" w:line="117" w:lineRule="exact"/>
              <w:rPr>
                <w:sz w:val="20"/>
                <w:szCs w:val="20"/>
                <w:color w:val="auto"/>
              </w:rPr>
            </w:pPr>
            <w:r>
              <w:rPr>
                <w:rFonts w:ascii="Times New Roman" w:cs="Times New Roman" w:eastAsia="Times New Roman" w:hAnsi="Times New Roman"/>
                <w:sz w:val="11"/>
                <w:szCs w:val="11"/>
                <w:color w:val="auto"/>
              </w:rPr>
              <w:t>Compex Legal Services, Inc.</w:t>
            </w:r>
          </w:p>
        </w:tc>
        <w:tc>
          <w:tcPr>
            <w:tcW w:w="880" w:type="dxa"/>
            <w:vAlign w:val="bottom"/>
            <w:gridSpan w:val="2"/>
          </w:tcPr>
          <w:p>
            <w:pPr>
              <w:ind w:left="260"/>
              <w:spacing w:after="0" w:line="117" w:lineRule="exact"/>
              <w:rPr>
                <w:sz w:val="20"/>
                <w:szCs w:val="20"/>
                <w:color w:val="auto"/>
              </w:rPr>
            </w:pPr>
            <w:r>
              <w:rPr>
                <w:rFonts w:ascii="Times New Roman" w:cs="Times New Roman" w:eastAsia="Times New Roman" w:hAnsi="Times New Roman"/>
                <w:sz w:val="11"/>
                <w:szCs w:val="11"/>
                <w:color w:val="auto"/>
              </w:rPr>
              <w:t>02/09/2026</w:t>
            </w:r>
          </w:p>
        </w:tc>
        <w:tc>
          <w:tcPr>
            <w:tcW w:w="140" w:type="dxa"/>
            <w:vAlign w:val="bottom"/>
          </w:tcPr>
          <w:p>
            <w:pPr>
              <w:spacing w:after="0"/>
              <w:rPr>
                <w:sz w:val="10"/>
                <w:szCs w:val="10"/>
                <w:color w:val="auto"/>
              </w:rPr>
            </w:pPr>
          </w:p>
        </w:tc>
        <w:tc>
          <w:tcPr>
            <w:tcW w:w="256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color w:val="auto"/>
                <w:w w:val="97"/>
              </w:rPr>
              <w:t>Professional Services</w:t>
            </w:r>
          </w:p>
        </w:tc>
        <w:tc>
          <w:tcPr>
            <w:tcW w:w="1220" w:type="dxa"/>
            <w:vAlign w:val="bottom"/>
            <w:gridSpan w:val="3"/>
          </w:tcPr>
          <w:p>
            <w:pPr>
              <w:jc w:val="right"/>
              <w:ind w:right="20"/>
              <w:spacing w:after="0" w:line="117" w:lineRule="exact"/>
              <w:rPr>
                <w:sz w:val="20"/>
                <w:szCs w:val="20"/>
                <w:color w:val="auto"/>
              </w:rPr>
            </w:pPr>
            <w:r>
              <w:rPr>
                <w:rFonts w:ascii="Times New Roman" w:cs="Times New Roman" w:eastAsia="Times New Roman" w:hAnsi="Times New Roman"/>
                <w:sz w:val="11"/>
                <w:szCs w:val="11"/>
                <w:color w:val="auto"/>
              </w:rPr>
              <w:t>6.75 %</w:t>
            </w:r>
          </w:p>
        </w:tc>
        <w:tc>
          <w:tcPr>
            <w:tcW w:w="140" w:type="dxa"/>
            <w:vAlign w:val="bottom"/>
          </w:tcPr>
          <w:p>
            <w:pPr>
              <w:spacing w:after="0"/>
              <w:rPr>
                <w:sz w:val="10"/>
                <w:szCs w:val="10"/>
                <w:color w:val="auto"/>
              </w:rPr>
            </w:pPr>
          </w:p>
        </w:tc>
        <w:tc>
          <w:tcPr>
            <w:tcW w:w="78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3M L+575</w:t>
            </w:r>
          </w:p>
        </w:tc>
        <w:tc>
          <w:tcPr>
            <w:tcW w:w="104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1"/>
                <w:szCs w:val="11"/>
                <w:color w:val="auto"/>
              </w:rPr>
              <w:t>7,653</w:t>
            </w: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7,530</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7,566</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36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Compex Legal Services, Inc. (Revolver) </w:t>
            </w:r>
            <w:r>
              <w:rPr>
                <w:rFonts w:ascii="Times New Roman" w:cs="Times New Roman" w:eastAsia="Times New Roman" w:hAnsi="Times New Roman"/>
                <w:sz w:val="14"/>
                <w:szCs w:val="14"/>
                <w:color w:val="auto"/>
                <w:vertAlign w:val="superscript"/>
              </w:rPr>
              <w:t>(7)</w:t>
            </w:r>
          </w:p>
        </w:tc>
        <w:tc>
          <w:tcPr>
            <w:tcW w:w="880" w:type="dxa"/>
            <w:vAlign w:val="bottom"/>
            <w:gridSpan w:val="2"/>
          </w:tcPr>
          <w:p>
            <w:pPr>
              <w:ind w:left="260"/>
              <w:spacing w:after="0"/>
              <w:rPr>
                <w:sz w:val="20"/>
                <w:szCs w:val="20"/>
                <w:color w:val="auto"/>
              </w:rPr>
            </w:pPr>
            <w:r>
              <w:rPr>
                <w:rFonts w:ascii="Times New Roman" w:cs="Times New Roman" w:eastAsia="Times New Roman" w:hAnsi="Times New Roman"/>
                <w:sz w:val="11"/>
                <w:szCs w:val="11"/>
                <w:color w:val="auto"/>
              </w:rPr>
              <w:t>02/07/2025</w:t>
            </w:r>
          </w:p>
        </w:tc>
        <w:tc>
          <w:tcPr>
            <w:tcW w:w="140" w:type="dxa"/>
            <w:vAlign w:val="bottom"/>
          </w:tcPr>
          <w:p>
            <w:pPr>
              <w:spacing w:after="0"/>
              <w:rPr>
                <w:sz w:val="11"/>
                <w:szCs w:val="11"/>
                <w:color w:val="auto"/>
              </w:rPr>
            </w:pPr>
          </w:p>
        </w:tc>
        <w:tc>
          <w:tcPr>
            <w:tcW w:w="25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Professional Services</w:t>
            </w:r>
          </w:p>
        </w:tc>
        <w:tc>
          <w:tcPr>
            <w:tcW w:w="1220" w:type="dxa"/>
            <w:vAlign w:val="bottom"/>
            <w:gridSpan w:val="3"/>
          </w:tcPr>
          <w:p>
            <w:pPr>
              <w:jc w:val="right"/>
              <w:ind w:right="20"/>
              <w:spacing w:after="0"/>
              <w:rPr>
                <w:sz w:val="20"/>
                <w:szCs w:val="20"/>
                <w:color w:val="auto"/>
              </w:rPr>
            </w:pPr>
            <w:r>
              <w:rPr>
                <w:rFonts w:ascii="Times New Roman" w:cs="Times New Roman" w:eastAsia="Times New Roman" w:hAnsi="Times New Roman"/>
                <w:sz w:val="11"/>
                <w:szCs w:val="11"/>
                <w:color w:val="auto"/>
              </w:rPr>
              <w:t>6.75 %</w:t>
            </w:r>
          </w:p>
        </w:tc>
        <w:tc>
          <w:tcPr>
            <w:tcW w:w="14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L+575</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984</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984</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973</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360" w:type="dxa"/>
            <w:vAlign w:val="bottom"/>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Compex Legal Services, Inc. (Revolver) </w:t>
            </w:r>
            <w:r>
              <w:rPr>
                <w:rFonts w:ascii="Times New Roman" w:cs="Times New Roman" w:eastAsia="Times New Roman" w:hAnsi="Times New Roman"/>
                <w:sz w:val="14"/>
                <w:szCs w:val="14"/>
                <w:color w:val="auto"/>
                <w:vertAlign w:val="superscript"/>
              </w:rPr>
              <w:t>(7), (9)</w:t>
            </w:r>
          </w:p>
        </w:tc>
        <w:tc>
          <w:tcPr>
            <w:tcW w:w="880" w:type="dxa"/>
            <w:vAlign w:val="bottom"/>
            <w:gridSpan w:val="2"/>
          </w:tcPr>
          <w:p>
            <w:pPr>
              <w:ind w:left="260"/>
              <w:spacing w:after="0"/>
              <w:rPr>
                <w:sz w:val="20"/>
                <w:szCs w:val="20"/>
                <w:color w:val="auto"/>
              </w:rPr>
            </w:pPr>
            <w:r>
              <w:rPr>
                <w:rFonts w:ascii="Times New Roman" w:cs="Times New Roman" w:eastAsia="Times New Roman" w:hAnsi="Times New Roman"/>
                <w:sz w:val="11"/>
                <w:szCs w:val="11"/>
                <w:color w:val="auto"/>
              </w:rPr>
              <w:t>02/07/2025</w:t>
            </w:r>
          </w:p>
        </w:tc>
        <w:tc>
          <w:tcPr>
            <w:tcW w:w="140" w:type="dxa"/>
            <w:vAlign w:val="bottom"/>
          </w:tcPr>
          <w:p>
            <w:pPr>
              <w:spacing w:after="0"/>
              <w:rPr>
                <w:sz w:val="13"/>
                <w:szCs w:val="13"/>
                <w:color w:val="auto"/>
              </w:rPr>
            </w:pPr>
          </w:p>
        </w:tc>
        <w:tc>
          <w:tcPr>
            <w:tcW w:w="25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Professional Services</w:t>
            </w:r>
          </w:p>
        </w:tc>
        <w:tc>
          <w:tcPr>
            <w:tcW w:w="120" w:type="dxa"/>
            <w:vAlign w:val="bottom"/>
          </w:tcPr>
          <w:p>
            <w:pPr>
              <w:spacing w:after="0"/>
              <w:rPr>
                <w:sz w:val="13"/>
                <w:szCs w:val="13"/>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422</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(5 )</w:t>
            </w:r>
          </w:p>
        </w:tc>
        <w:tc>
          <w:tcPr>
            <w:tcW w:w="0" w:type="dxa"/>
            <w:vAlign w:val="bottom"/>
          </w:tcPr>
          <w:p>
            <w:pPr>
              <w:spacing w:after="0"/>
              <w:rPr>
                <w:sz w:val="1"/>
                <w:szCs w:val="1"/>
                <w:color w:val="auto"/>
              </w:rPr>
            </w:pPr>
          </w:p>
        </w:tc>
      </w:tr>
      <w:tr>
        <w:trPr>
          <w:trHeight w:val="135"/>
        </w:trPr>
        <w:tc>
          <w:tcPr>
            <w:tcW w:w="23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Confluent Health, LLC</w:t>
            </w:r>
          </w:p>
        </w:tc>
        <w:tc>
          <w:tcPr>
            <w:tcW w:w="880" w:type="dxa"/>
            <w:vAlign w:val="bottom"/>
            <w:gridSpan w:val="2"/>
          </w:tcPr>
          <w:p>
            <w:pPr>
              <w:ind w:left="260"/>
              <w:spacing w:after="0"/>
              <w:rPr>
                <w:sz w:val="20"/>
                <w:szCs w:val="20"/>
                <w:color w:val="auto"/>
              </w:rPr>
            </w:pPr>
            <w:r>
              <w:rPr>
                <w:rFonts w:ascii="Times New Roman" w:cs="Times New Roman" w:eastAsia="Times New Roman" w:hAnsi="Times New Roman"/>
                <w:sz w:val="11"/>
                <w:szCs w:val="11"/>
                <w:color w:val="auto"/>
              </w:rPr>
              <w:t>06/24/2026</w:t>
            </w:r>
          </w:p>
        </w:tc>
        <w:tc>
          <w:tcPr>
            <w:tcW w:w="140" w:type="dxa"/>
            <w:vAlign w:val="bottom"/>
          </w:tcPr>
          <w:p>
            <w:pPr>
              <w:spacing w:after="0"/>
              <w:rPr>
                <w:sz w:val="11"/>
                <w:szCs w:val="11"/>
                <w:color w:val="auto"/>
              </w:rPr>
            </w:pPr>
          </w:p>
        </w:tc>
        <w:tc>
          <w:tcPr>
            <w:tcW w:w="25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Health Providers and Services</w:t>
            </w:r>
          </w:p>
        </w:tc>
        <w:tc>
          <w:tcPr>
            <w:tcW w:w="1220" w:type="dxa"/>
            <w:vAlign w:val="bottom"/>
            <w:gridSpan w:val="3"/>
          </w:tcPr>
          <w:p>
            <w:pPr>
              <w:jc w:val="right"/>
              <w:ind w:right="20"/>
              <w:spacing w:after="0"/>
              <w:rPr>
                <w:sz w:val="20"/>
                <w:szCs w:val="20"/>
                <w:color w:val="auto"/>
              </w:rPr>
            </w:pPr>
            <w:r>
              <w:rPr>
                <w:rFonts w:ascii="Times New Roman" w:cs="Times New Roman" w:eastAsia="Times New Roman" w:hAnsi="Times New Roman"/>
                <w:sz w:val="11"/>
                <w:szCs w:val="11"/>
                <w:color w:val="auto"/>
              </w:rPr>
              <w:t>5.08 %</w:t>
            </w:r>
          </w:p>
        </w:tc>
        <w:tc>
          <w:tcPr>
            <w:tcW w:w="14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1M L+500</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3,910</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3,879</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3,910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2360" w:type="dxa"/>
            <w:vAlign w:val="bottom"/>
          </w:tcPr>
          <w:p>
            <w:pPr>
              <w:ind w:left="20"/>
              <w:spacing w:after="0" w:line="117" w:lineRule="exact"/>
              <w:rPr>
                <w:sz w:val="20"/>
                <w:szCs w:val="20"/>
                <w:color w:val="auto"/>
              </w:rPr>
            </w:pPr>
            <w:r>
              <w:rPr>
                <w:rFonts w:ascii="Times New Roman" w:cs="Times New Roman" w:eastAsia="Times New Roman" w:hAnsi="Times New Roman"/>
                <w:sz w:val="11"/>
                <w:szCs w:val="11"/>
                <w:color w:val="auto"/>
              </w:rPr>
              <w:t>Connatix Buyer, Inc.</w:t>
            </w:r>
          </w:p>
        </w:tc>
        <w:tc>
          <w:tcPr>
            <w:tcW w:w="880" w:type="dxa"/>
            <w:vAlign w:val="bottom"/>
            <w:gridSpan w:val="2"/>
          </w:tcPr>
          <w:p>
            <w:pPr>
              <w:ind w:left="260"/>
              <w:spacing w:after="0" w:line="117" w:lineRule="exact"/>
              <w:rPr>
                <w:sz w:val="20"/>
                <w:szCs w:val="20"/>
                <w:color w:val="auto"/>
              </w:rPr>
            </w:pPr>
            <w:r>
              <w:rPr>
                <w:rFonts w:ascii="Times New Roman" w:cs="Times New Roman" w:eastAsia="Times New Roman" w:hAnsi="Times New Roman"/>
                <w:sz w:val="11"/>
                <w:szCs w:val="11"/>
                <w:color w:val="auto"/>
              </w:rPr>
              <w:t>07/13/2027</w:t>
            </w:r>
          </w:p>
        </w:tc>
        <w:tc>
          <w:tcPr>
            <w:tcW w:w="140" w:type="dxa"/>
            <w:vAlign w:val="bottom"/>
          </w:tcPr>
          <w:p>
            <w:pPr>
              <w:spacing w:after="0"/>
              <w:rPr>
                <w:sz w:val="10"/>
                <w:szCs w:val="10"/>
                <w:color w:val="auto"/>
              </w:rPr>
            </w:pPr>
          </w:p>
        </w:tc>
        <w:tc>
          <w:tcPr>
            <w:tcW w:w="256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color w:val="auto"/>
                <w:w w:val="99"/>
              </w:rPr>
              <w:t>Media</w:t>
            </w:r>
          </w:p>
        </w:tc>
        <w:tc>
          <w:tcPr>
            <w:tcW w:w="1220" w:type="dxa"/>
            <w:vAlign w:val="bottom"/>
            <w:gridSpan w:val="3"/>
          </w:tcPr>
          <w:p>
            <w:pPr>
              <w:jc w:val="right"/>
              <w:ind w:right="20"/>
              <w:spacing w:after="0" w:line="117" w:lineRule="exact"/>
              <w:rPr>
                <w:sz w:val="20"/>
                <w:szCs w:val="20"/>
                <w:color w:val="auto"/>
              </w:rPr>
            </w:pPr>
            <w:r>
              <w:rPr>
                <w:rFonts w:ascii="Times New Roman" w:cs="Times New Roman" w:eastAsia="Times New Roman" w:hAnsi="Times New Roman"/>
                <w:sz w:val="11"/>
                <w:szCs w:val="11"/>
                <w:color w:val="auto"/>
              </w:rPr>
              <w:t>6.25 %</w:t>
            </w:r>
          </w:p>
        </w:tc>
        <w:tc>
          <w:tcPr>
            <w:tcW w:w="140" w:type="dxa"/>
            <w:vAlign w:val="bottom"/>
          </w:tcPr>
          <w:p>
            <w:pPr>
              <w:spacing w:after="0"/>
              <w:rPr>
                <w:sz w:val="10"/>
                <w:szCs w:val="10"/>
                <w:color w:val="auto"/>
              </w:rPr>
            </w:pPr>
          </w:p>
        </w:tc>
        <w:tc>
          <w:tcPr>
            <w:tcW w:w="78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3M L+550</w:t>
            </w:r>
          </w:p>
        </w:tc>
        <w:tc>
          <w:tcPr>
            <w:tcW w:w="104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1"/>
                <w:szCs w:val="11"/>
                <w:color w:val="auto"/>
              </w:rPr>
              <w:t>4,000</w:t>
            </w: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3,921</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3,920</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36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Connatix Buyer, Inc. </w:t>
            </w:r>
            <w:r>
              <w:rPr>
                <w:rFonts w:ascii="Times New Roman" w:cs="Times New Roman" w:eastAsia="Times New Roman" w:hAnsi="Times New Roman"/>
                <w:sz w:val="14"/>
                <w:szCs w:val="14"/>
                <w:color w:val="auto"/>
                <w:vertAlign w:val="superscript"/>
              </w:rPr>
              <w:t>(7), (9)</w:t>
            </w:r>
          </w:p>
        </w:tc>
        <w:tc>
          <w:tcPr>
            <w:tcW w:w="880" w:type="dxa"/>
            <w:vAlign w:val="bottom"/>
            <w:gridSpan w:val="2"/>
          </w:tcPr>
          <w:p>
            <w:pPr>
              <w:ind w:left="260"/>
              <w:spacing w:after="0"/>
              <w:rPr>
                <w:sz w:val="20"/>
                <w:szCs w:val="20"/>
                <w:color w:val="auto"/>
              </w:rPr>
            </w:pPr>
            <w:r>
              <w:rPr>
                <w:rFonts w:ascii="Times New Roman" w:cs="Times New Roman" w:eastAsia="Times New Roman" w:hAnsi="Times New Roman"/>
                <w:sz w:val="11"/>
                <w:szCs w:val="11"/>
                <w:color w:val="auto"/>
              </w:rPr>
              <w:t>01/13/2023</w:t>
            </w:r>
          </w:p>
        </w:tc>
        <w:tc>
          <w:tcPr>
            <w:tcW w:w="140" w:type="dxa"/>
            <w:vAlign w:val="bottom"/>
          </w:tcPr>
          <w:p>
            <w:pPr>
              <w:spacing w:after="0"/>
              <w:rPr>
                <w:sz w:val="11"/>
                <w:szCs w:val="11"/>
                <w:color w:val="auto"/>
              </w:rPr>
            </w:pPr>
          </w:p>
        </w:tc>
        <w:tc>
          <w:tcPr>
            <w:tcW w:w="25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Media</w:t>
            </w:r>
          </w:p>
        </w:tc>
        <w:tc>
          <w:tcPr>
            <w:tcW w:w="120" w:type="dxa"/>
            <w:vAlign w:val="bottom"/>
          </w:tcPr>
          <w:p>
            <w:pPr>
              <w:spacing w:after="0"/>
              <w:rPr>
                <w:sz w:val="11"/>
                <w:szCs w:val="11"/>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2,105</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(21 )</w:t>
            </w:r>
          </w:p>
        </w:tc>
        <w:tc>
          <w:tcPr>
            <w:tcW w:w="0" w:type="dxa"/>
            <w:vAlign w:val="bottom"/>
          </w:tcPr>
          <w:p>
            <w:pPr>
              <w:spacing w:after="0"/>
              <w:rPr>
                <w:sz w:val="1"/>
                <w:szCs w:val="1"/>
                <w:color w:val="auto"/>
              </w:rPr>
            </w:pPr>
          </w:p>
        </w:tc>
      </w:tr>
      <w:tr>
        <w:trPr>
          <w:trHeight w:val="135"/>
        </w:trPr>
        <w:tc>
          <w:tcPr>
            <w:tcW w:w="236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Connatix Buyer, Inc. (Revolver) </w:t>
            </w:r>
            <w:r>
              <w:rPr>
                <w:rFonts w:ascii="Times New Roman" w:cs="Times New Roman" w:eastAsia="Times New Roman" w:hAnsi="Times New Roman"/>
                <w:sz w:val="14"/>
                <w:szCs w:val="14"/>
                <w:color w:val="auto"/>
                <w:vertAlign w:val="superscript"/>
              </w:rPr>
              <w:t>(7)</w:t>
            </w:r>
          </w:p>
        </w:tc>
        <w:tc>
          <w:tcPr>
            <w:tcW w:w="880" w:type="dxa"/>
            <w:vAlign w:val="bottom"/>
            <w:gridSpan w:val="2"/>
          </w:tcPr>
          <w:p>
            <w:pPr>
              <w:ind w:left="260"/>
              <w:spacing w:after="0"/>
              <w:rPr>
                <w:sz w:val="20"/>
                <w:szCs w:val="20"/>
                <w:color w:val="auto"/>
              </w:rPr>
            </w:pPr>
            <w:r>
              <w:rPr>
                <w:rFonts w:ascii="Times New Roman" w:cs="Times New Roman" w:eastAsia="Times New Roman" w:hAnsi="Times New Roman"/>
                <w:sz w:val="11"/>
                <w:szCs w:val="11"/>
                <w:color w:val="auto"/>
              </w:rPr>
              <w:t>07/13/2027</w:t>
            </w:r>
          </w:p>
        </w:tc>
        <w:tc>
          <w:tcPr>
            <w:tcW w:w="140" w:type="dxa"/>
            <w:vAlign w:val="bottom"/>
          </w:tcPr>
          <w:p>
            <w:pPr>
              <w:spacing w:after="0"/>
              <w:rPr>
                <w:sz w:val="11"/>
                <w:szCs w:val="11"/>
                <w:color w:val="auto"/>
              </w:rPr>
            </w:pPr>
          </w:p>
        </w:tc>
        <w:tc>
          <w:tcPr>
            <w:tcW w:w="25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Media</w:t>
            </w:r>
          </w:p>
        </w:tc>
        <w:tc>
          <w:tcPr>
            <w:tcW w:w="1220" w:type="dxa"/>
            <w:vAlign w:val="bottom"/>
            <w:gridSpan w:val="3"/>
          </w:tcPr>
          <w:p>
            <w:pPr>
              <w:jc w:val="right"/>
              <w:ind w:right="20"/>
              <w:spacing w:after="0"/>
              <w:rPr>
                <w:sz w:val="20"/>
                <w:szCs w:val="20"/>
                <w:color w:val="auto"/>
              </w:rPr>
            </w:pPr>
            <w:r>
              <w:rPr>
                <w:rFonts w:ascii="Times New Roman" w:cs="Times New Roman" w:eastAsia="Times New Roman" w:hAnsi="Times New Roman"/>
                <w:sz w:val="11"/>
                <w:szCs w:val="11"/>
                <w:color w:val="auto"/>
              </w:rPr>
              <w:t>6.25 %</w:t>
            </w:r>
          </w:p>
        </w:tc>
        <w:tc>
          <w:tcPr>
            <w:tcW w:w="14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L+550</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123</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123</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360" w:type="dxa"/>
            <w:vAlign w:val="bottom"/>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Connatix Buyer, Inc. (Revolver) </w:t>
            </w:r>
            <w:r>
              <w:rPr>
                <w:rFonts w:ascii="Times New Roman" w:cs="Times New Roman" w:eastAsia="Times New Roman" w:hAnsi="Times New Roman"/>
                <w:sz w:val="14"/>
                <w:szCs w:val="14"/>
                <w:color w:val="auto"/>
                <w:vertAlign w:val="superscript"/>
              </w:rPr>
              <w:t>(7), (9)</w:t>
            </w:r>
          </w:p>
        </w:tc>
        <w:tc>
          <w:tcPr>
            <w:tcW w:w="880" w:type="dxa"/>
            <w:vAlign w:val="bottom"/>
            <w:gridSpan w:val="2"/>
          </w:tcPr>
          <w:p>
            <w:pPr>
              <w:ind w:left="260"/>
              <w:spacing w:after="0"/>
              <w:rPr>
                <w:sz w:val="20"/>
                <w:szCs w:val="20"/>
                <w:color w:val="auto"/>
              </w:rPr>
            </w:pPr>
            <w:r>
              <w:rPr>
                <w:rFonts w:ascii="Times New Roman" w:cs="Times New Roman" w:eastAsia="Times New Roman" w:hAnsi="Times New Roman"/>
                <w:sz w:val="11"/>
                <w:szCs w:val="11"/>
                <w:color w:val="auto"/>
              </w:rPr>
              <w:t>07/13/2027</w:t>
            </w:r>
          </w:p>
        </w:tc>
        <w:tc>
          <w:tcPr>
            <w:tcW w:w="140" w:type="dxa"/>
            <w:vAlign w:val="bottom"/>
          </w:tcPr>
          <w:p>
            <w:pPr>
              <w:spacing w:after="0"/>
              <w:rPr>
                <w:sz w:val="13"/>
                <w:szCs w:val="13"/>
                <w:color w:val="auto"/>
              </w:rPr>
            </w:pPr>
          </w:p>
        </w:tc>
        <w:tc>
          <w:tcPr>
            <w:tcW w:w="25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Media</w:t>
            </w:r>
          </w:p>
        </w:tc>
        <w:tc>
          <w:tcPr>
            <w:tcW w:w="120" w:type="dxa"/>
            <w:vAlign w:val="bottom"/>
          </w:tcPr>
          <w:p>
            <w:pPr>
              <w:spacing w:after="0"/>
              <w:rPr>
                <w:sz w:val="13"/>
                <w:szCs w:val="13"/>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1,111</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(22 )</w:t>
            </w:r>
          </w:p>
        </w:tc>
        <w:tc>
          <w:tcPr>
            <w:tcW w:w="0" w:type="dxa"/>
            <w:vAlign w:val="bottom"/>
          </w:tcPr>
          <w:p>
            <w:pPr>
              <w:spacing w:after="0"/>
              <w:rPr>
                <w:sz w:val="1"/>
                <w:szCs w:val="1"/>
                <w:color w:val="auto"/>
              </w:rPr>
            </w:pPr>
          </w:p>
        </w:tc>
      </w:tr>
      <w:tr>
        <w:trPr>
          <w:trHeight w:val="117"/>
        </w:trPr>
        <w:tc>
          <w:tcPr>
            <w:tcW w:w="2360" w:type="dxa"/>
            <w:vAlign w:val="bottom"/>
          </w:tcPr>
          <w:p>
            <w:pPr>
              <w:ind w:left="20"/>
              <w:spacing w:after="0" w:line="117" w:lineRule="exact"/>
              <w:rPr>
                <w:sz w:val="20"/>
                <w:szCs w:val="20"/>
                <w:color w:val="auto"/>
              </w:rPr>
            </w:pPr>
            <w:r>
              <w:rPr>
                <w:rFonts w:ascii="Times New Roman" w:cs="Times New Roman" w:eastAsia="Times New Roman" w:hAnsi="Times New Roman"/>
                <w:sz w:val="11"/>
                <w:szCs w:val="11"/>
                <w:color w:val="auto"/>
              </w:rPr>
              <w:t>CoolSys, Inc.</w:t>
            </w:r>
          </w:p>
        </w:tc>
        <w:tc>
          <w:tcPr>
            <w:tcW w:w="880" w:type="dxa"/>
            <w:vAlign w:val="bottom"/>
            <w:gridSpan w:val="2"/>
          </w:tcPr>
          <w:p>
            <w:pPr>
              <w:ind w:left="260"/>
              <w:spacing w:after="0" w:line="117" w:lineRule="exact"/>
              <w:rPr>
                <w:sz w:val="20"/>
                <w:szCs w:val="20"/>
                <w:color w:val="auto"/>
              </w:rPr>
            </w:pPr>
            <w:r>
              <w:rPr>
                <w:rFonts w:ascii="Times New Roman" w:cs="Times New Roman" w:eastAsia="Times New Roman" w:hAnsi="Times New Roman"/>
                <w:sz w:val="11"/>
                <w:szCs w:val="11"/>
                <w:color w:val="auto"/>
              </w:rPr>
              <w:t>08/04/2028</w:t>
            </w:r>
          </w:p>
        </w:tc>
        <w:tc>
          <w:tcPr>
            <w:tcW w:w="140" w:type="dxa"/>
            <w:vAlign w:val="bottom"/>
          </w:tcPr>
          <w:p>
            <w:pPr>
              <w:spacing w:after="0"/>
              <w:rPr>
                <w:sz w:val="10"/>
                <w:szCs w:val="10"/>
                <w:color w:val="auto"/>
              </w:rPr>
            </w:pPr>
          </w:p>
        </w:tc>
        <w:tc>
          <w:tcPr>
            <w:tcW w:w="256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color w:val="auto"/>
                <w:w w:val="98"/>
              </w:rPr>
              <w:t>Commercial Services &amp; Supplies</w:t>
            </w:r>
          </w:p>
        </w:tc>
        <w:tc>
          <w:tcPr>
            <w:tcW w:w="1220" w:type="dxa"/>
            <w:vAlign w:val="bottom"/>
            <w:gridSpan w:val="3"/>
          </w:tcPr>
          <w:p>
            <w:pPr>
              <w:jc w:val="right"/>
              <w:ind w:right="20"/>
              <w:spacing w:after="0" w:line="117" w:lineRule="exact"/>
              <w:rPr>
                <w:sz w:val="20"/>
                <w:szCs w:val="20"/>
                <w:color w:val="auto"/>
              </w:rPr>
            </w:pPr>
            <w:r>
              <w:rPr>
                <w:rFonts w:ascii="Times New Roman" w:cs="Times New Roman" w:eastAsia="Times New Roman" w:hAnsi="Times New Roman"/>
                <w:sz w:val="11"/>
                <w:szCs w:val="11"/>
                <w:color w:val="auto"/>
              </w:rPr>
              <w:t>5.50 %</w:t>
            </w:r>
          </w:p>
        </w:tc>
        <w:tc>
          <w:tcPr>
            <w:tcW w:w="140" w:type="dxa"/>
            <w:vAlign w:val="bottom"/>
          </w:tcPr>
          <w:p>
            <w:pPr>
              <w:spacing w:after="0"/>
              <w:rPr>
                <w:sz w:val="10"/>
                <w:szCs w:val="10"/>
                <w:color w:val="auto"/>
              </w:rPr>
            </w:pPr>
          </w:p>
        </w:tc>
        <w:tc>
          <w:tcPr>
            <w:tcW w:w="78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3M L+475</w:t>
            </w:r>
          </w:p>
        </w:tc>
        <w:tc>
          <w:tcPr>
            <w:tcW w:w="104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1"/>
                <w:szCs w:val="11"/>
                <w:color w:val="auto"/>
              </w:rPr>
              <w:t>1,909</w:t>
            </w: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1,890</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1,914</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36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CoolSys, Inc. </w:t>
            </w:r>
            <w:r>
              <w:rPr>
                <w:rFonts w:ascii="Times New Roman" w:cs="Times New Roman" w:eastAsia="Times New Roman" w:hAnsi="Times New Roman"/>
                <w:sz w:val="14"/>
                <w:szCs w:val="14"/>
                <w:color w:val="auto"/>
                <w:vertAlign w:val="superscript"/>
              </w:rPr>
              <w:t>(7), (9)</w:t>
            </w:r>
          </w:p>
        </w:tc>
        <w:tc>
          <w:tcPr>
            <w:tcW w:w="880" w:type="dxa"/>
            <w:vAlign w:val="bottom"/>
            <w:gridSpan w:val="2"/>
          </w:tcPr>
          <w:p>
            <w:pPr>
              <w:ind w:left="260"/>
              <w:spacing w:after="0"/>
              <w:rPr>
                <w:sz w:val="20"/>
                <w:szCs w:val="20"/>
                <w:color w:val="auto"/>
              </w:rPr>
            </w:pPr>
            <w:r>
              <w:rPr>
                <w:rFonts w:ascii="Times New Roman" w:cs="Times New Roman" w:eastAsia="Times New Roman" w:hAnsi="Times New Roman"/>
                <w:sz w:val="11"/>
                <w:szCs w:val="11"/>
                <w:color w:val="auto"/>
              </w:rPr>
              <w:t>08/04/2028</w:t>
            </w:r>
          </w:p>
        </w:tc>
        <w:tc>
          <w:tcPr>
            <w:tcW w:w="140" w:type="dxa"/>
            <w:vAlign w:val="bottom"/>
          </w:tcPr>
          <w:p>
            <w:pPr>
              <w:spacing w:after="0"/>
              <w:rPr>
                <w:sz w:val="11"/>
                <w:szCs w:val="11"/>
                <w:color w:val="auto"/>
              </w:rPr>
            </w:pPr>
          </w:p>
        </w:tc>
        <w:tc>
          <w:tcPr>
            <w:tcW w:w="25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Commercial Services &amp; Supplies</w:t>
            </w:r>
          </w:p>
        </w:tc>
        <w:tc>
          <w:tcPr>
            <w:tcW w:w="120" w:type="dxa"/>
            <w:vAlign w:val="bottom"/>
          </w:tcPr>
          <w:p>
            <w:pPr>
              <w:spacing w:after="0"/>
              <w:rPr>
                <w:sz w:val="11"/>
                <w:szCs w:val="11"/>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848</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36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Crane 1 Services, Inc. </w:t>
            </w:r>
            <w:r>
              <w:rPr>
                <w:rFonts w:ascii="Times New Roman" w:cs="Times New Roman" w:eastAsia="Times New Roman" w:hAnsi="Times New Roman"/>
                <w:sz w:val="14"/>
                <w:szCs w:val="14"/>
                <w:color w:val="auto"/>
                <w:vertAlign w:val="superscript"/>
              </w:rPr>
              <w:t>(7), (9)</w:t>
            </w:r>
          </w:p>
        </w:tc>
        <w:tc>
          <w:tcPr>
            <w:tcW w:w="880" w:type="dxa"/>
            <w:vAlign w:val="bottom"/>
            <w:gridSpan w:val="2"/>
          </w:tcPr>
          <w:p>
            <w:pPr>
              <w:ind w:left="260"/>
              <w:spacing w:after="0"/>
              <w:rPr>
                <w:sz w:val="20"/>
                <w:szCs w:val="20"/>
                <w:color w:val="auto"/>
              </w:rPr>
            </w:pPr>
            <w:r>
              <w:rPr>
                <w:rFonts w:ascii="Times New Roman" w:cs="Times New Roman" w:eastAsia="Times New Roman" w:hAnsi="Times New Roman"/>
                <w:sz w:val="11"/>
                <w:szCs w:val="11"/>
                <w:color w:val="auto"/>
              </w:rPr>
              <w:t>08/16/2023</w:t>
            </w:r>
          </w:p>
        </w:tc>
        <w:tc>
          <w:tcPr>
            <w:tcW w:w="140" w:type="dxa"/>
            <w:vAlign w:val="bottom"/>
          </w:tcPr>
          <w:p>
            <w:pPr>
              <w:spacing w:after="0"/>
              <w:rPr>
                <w:sz w:val="11"/>
                <w:szCs w:val="11"/>
                <w:color w:val="auto"/>
              </w:rPr>
            </w:pPr>
          </w:p>
        </w:tc>
        <w:tc>
          <w:tcPr>
            <w:tcW w:w="25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Commercial Services &amp; Supplies</w:t>
            </w:r>
          </w:p>
        </w:tc>
        <w:tc>
          <w:tcPr>
            <w:tcW w:w="120" w:type="dxa"/>
            <w:vAlign w:val="bottom"/>
          </w:tcPr>
          <w:p>
            <w:pPr>
              <w:spacing w:after="0"/>
              <w:rPr>
                <w:sz w:val="11"/>
                <w:szCs w:val="11"/>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897</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(2 )</w:t>
            </w:r>
          </w:p>
        </w:tc>
        <w:tc>
          <w:tcPr>
            <w:tcW w:w="0" w:type="dxa"/>
            <w:vAlign w:val="bottom"/>
          </w:tcPr>
          <w:p>
            <w:pPr>
              <w:spacing w:after="0"/>
              <w:rPr>
                <w:sz w:val="1"/>
                <w:szCs w:val="1"/>
                <w:color w:val="auto"/>
              </w:rPr>
            </w:pPr>
          </w:p>
        </w:tc>
      </w:tr>
      <w:tr>
        <w:trPr>
          <w:trHeight w:val="153"/>
        </w:trPr>
        <w:tc>
          <w:tcPr>
            <w:tcW w:w="2360" w:type="dxa"/>
            <w:vAlign w:val="bottom"/>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Crane 1 Services, Inc. (Revolver) </w:t>
            </w:r>
            <w:r>
              <w:rPr>
                <w:rFonts w:ascii="Times New Roman" w:cs="Times New Roman" w:eastAsia="Times New Roman" w:hAnsi="Times New Roman"/>
                <w:sz w:val="14"/>
                <w:szCs w:val="14"/>
                <w:color w:val="auto"/>
                <w:vertAlign w:val="superscript"/>
              </w:rPr>
              <w:t>(7), (9)</w:t>
            </w:r>
          </w:p>
        </w:tc>
        <w:tc>
          <w:tcPr>
            <w:tcW w:w="880" w:type="dxa"/>
            <w:vAlign w:val="bottom"/>
            <w:gridSpan w:val="2"/>
          </w:tcPr>
          <w:p>
            <w:pPr>
              <w:ind w:left="260"/>
              <w:spacing w:after="0"/>
              <w:rPr>
                <w:sz w:val="20"/>
                <w:szCs w:val="20"/>
                <w:color w:val="auto"/>
              </w:rPr>
            </w:pPr>
            <w:r>
              <w:rPr>
                <w:rFonts w:ascii="Times New Roman" w:cs="Times New Roman" w:eastAsia="Times New Roman" w:hAnsi="Times New Roman"/>
                <w:sz w:val="11"/>
                <w:szCs w:val="11"/>
                <w:color w:val="auto"/>
              </w:rPr>
              <w:t>08/16/2027</w:t>
            </w:r>
          </w:p>
        </w:tc>
        <w:tc>
          <w:tcPr>
            <w:tcW w:w="140" w:type="dxa"/>
            <w:vAlign w:val="bottom"/>
          </w:tcPr>
          <w:p>
            <w:pPr>
              <w:spacing w:after="0"/>
              <w:rPr>
                <w:sz w:val="13"/>
                <w:szCs w:val="13"/>
                <w:color w:val="auto"/>
              </w:rPr>
            </w:pPr>
          </w:p>
        </w:tc>
        <w:tc>
          <w:tcPr>
            <w:tcW w:w="25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Commercial Services &amp; Supplies</w:t>
            </w:r>
          </w:p>
        </w:tc>
        <w:tc>
          <w:tcPr>
            <w:tcW w:w="120" w:type="dxa"/>
            <w:vAlign w:val="bottom"/>
          </w:tcPr>
          <w:p>
            <w:pPr>
              <w:spacing w:after="0"/>
              <w:rPr>
                <w:sz w:val="13"/>
                <w:szCs w:val="13"/>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336</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(3 )</w:t>
            </w:r>
          </w:p>
        </w:tc>
        <w:tc>
          <w:tcPr>
            <w:tcW w:w="0" w:type="dxa"/>
            <w:vAlign w:val="bottom"/>
          </w:tcPr>
          <w:p>
            <w:pPr>
              <w:spacing w:after="0"/>
              <w:rPr>
                <w:sz w:val="1"/>
                <w:szCs w:val="1"/>
                <w:color w:val="auto"/>
              </w:rPr>
            </w:pPr>
          </w:p>
        </w:tc>
      </w:tr>
      <w:tr>
        <w:trPr>
          <w:trHeight w:val="117"/>
        </w:trPr>
        <w:tc>
          <w:tcPr>
            <w:tcW w:w="2360" w:type="dxa"/>
            <w:vAlign w:val="bottom"/>
          </w:tcPr>
          <w:p>
            <w:pPr>
              <w:ind w:left="20"/>
              <w:spacing w:after="0" w:line="117" w:lineRule="exact"/>
              <w:rPr>
                <w:sz w:val="20"/>
                <w:szCs w:val="20"/>
                <w:color w:val="auto"/>
              </w:rPr>
            </w:pPr>
            <w:r>
              <w:rPr>
                <w:rFonts w:ascii="Times New Roman" w:cs="Times New Roman" w:eastAsia="Times New Roman" w:hAnsi="Times New Roman"/>
                <w:sz w:val="11"/>
                <w:szCs w:val="11"/>
                <w:color w:val="auto"/>
              </w:rPr>
              <w:t>Crash Champions, LLC</w:t>
            </w:r>
          </w:p>
        </w:tc>
        <w:tc>
          <w:tcPr>
            <w:tcW w:w="880" w:type="dxa"/>
            <w:vAlign w:val="bottom"/>
            <w:gridSpan w:val="2"/>
          </w:tcPr>
          <w:p>
            <w:pPr>
              <w:ind w:left="260"/>
              <w:spacing w:after="0" w:line="117" w:lineRule="exact"/>
              <w:rPr>
                <w:sz w:val="20"/>
                <w:szCs w:val="20"/>
                <w:color w:val="auto"/>
              </w:rPr>
            </w:pPr>
            <w:r>
              <w:rPr>
                <w:rFonts w:ascii="Times New Roman" w:cs="Times New Roman" w:eastAsia="Times New Roman" w:hAnsi="Times New Roman"/>
                <w:sz w:val="11"/>
                <w:szCs w:val="11"/>
                <w:color w:val="auto"/>
              </w:rPr>
              <w:t>08/05/2025</w:t>
            </w:r>
          </w:p>
        </w:tc>
        <w:tc>
          <w:tcPr>
            <w:tcW w:w="140" w:type="dxa"/>
            <w:vAlign w:val="bottom"/>
          </w:tcPr>
          <w:p>
            <w:pPr>
              <w:spacing w:after="0"/>
              <w:rPr>
                <w:sz w:val="10"/>
                <w:szCs w:val="10"/>
                <w:color w:val="auto"/>
              </w:rPr>
            </w:pPr>
          </w:p>
        </w:tc>
        <w:tc>
          <w:tcPr>
            <w:tcW w:w="256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color w:val="auto"/>
                <w:w w:val="98"/>
              </w:rPr>
              <w:t>Automobiles</w:t>
            </w:r>
          </w:p>
        </w:tc>
        <w:tc>
          <w:tcPr>
            <w:tcW w:w="1220" w:type="dxa"/>
            <w:vAlign w:val="bottom"/>
            <w:gridSpan w:val="3"/>
          </w:tcPr>
          <w:p>
            <w:pPr>
              <w:jc w:val="right"/>
              <w:ind w:right="20"/>
              <w:spacing w:after="0" w:line="117" w:lineRule="exact"/>
              <w:rPr>
                <w:sz w:val="20"/>
                <w:szCs w:val="20"/>
                <w:color w:val="auto"/>
              </w:rPr>
            </w:pPr>
            <w:r>
              <w:rPr>
                <w:rFonts w:ascii="Times New Roman" w:cs="Times New Roman" w:eastAsia="Times New Roman" w:hAnsi="Times New Roman"/>
                <w:sz w:val="11"/>
                <w:szCs w:val="11"/>
                <w:color w:val="auto"/>
              </w:rPr>
              <w:t>5.85 %</w:t>
            </w:r>
          </w:p>
        </w:tc>
        <w:tc>
          <w:tcPr>
            <w:tcW w:w="140" w:type="dxa"/>
            <w:vAlign w:val="bottom"/>
          </w:tcPr>
          <w:p>
            <w:pPr>
              <w:spacing w:after="0"/>
              <w:rPr>
                <w:sz w:val="10"/>
                <w:szCs w:val="10"/>
                <w:color w:val="auto"/>
              </w:rPr>
            </w:pPr>
          </w:p>
        </w:tc>
        <w:tc>
          <w:tcPr>
            <w:tcW w:w="78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3M L+500</w:t>
            </w:r>
          </w:p>
        </w:tc>
        <w:tc>
          <w:tcPr>
            <w:tcW w:w="104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1"/>
                <w:szCs w:val="11"/>
                <w:color w:val="auto"/>
              </w:rPr>
              <w:t>13,078</w:t>
            </w: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12,889</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12,817</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3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 xml:space="preserve">Crash Champions, LLC </w:t>
            </w:r>
            <w:r>
              <w:rPr>
                <w:rFonts w:ascii="Times New Roman" w:cs="Times New Roman" w:eastAsia="Times New Roman" w:hAnsi="Times New Roman"/>
                <w:sz w:val="14"/>
                <w:szCs w:val="14"/>
                <w:color w:val="auto"/>
                <w:vertAlign w:val="superscript"/>
              </w:rPr>
              <w:t>(7)(9)</w:t>
            </w:r>
          </w:p>
        </w:tc>
        <w:tc>
          <w:tcPr>
            <w:tcW w:w="880" w:type="dxa"/>
            <w:vAlign w:val="bottom"/>
            <w:gridSpan w:val="2"/>
          </w:tcPr>
          <w:p>
            <w:pPr>
              <w:ind w:left="260"/>
              <w:spacing w:after="0"/>
              <w:rPr>
                <w:sz w:val="20"/>
                <w:szCs w:val="20"/>
                <w:color w:val="auto"/>
              </w:rPr>
            </w:pPr>
            <w:r>
              <w:rPr>
                <w:rFonts w:ascii="Times New Roman" w:cs="Times New Roman" w:eastAsia="Times New Roman" w:hAnsi="Times New Roman"/>
                <w:sz w:val="11"/>
                <w:szCs w:val="11"/>
                <w:color w:val="auto"/>
              </w:rPr>
              <w:t>05/14/2022</w:t>
            </w:r>
          </w:p>
        </w:tc>
        <w:tc>
          <w:tcPr>
            <w:tcW w:w="140" w:type="dxa"/>
            <w:vAlign w:val="bottom"/>
          </w:tcPr>
          <w:p>
            <w:pPr>
              <w:spacing w:after="0"/>
              <w:rPr>
                <w:sz w:val="14"/>
                <w:szCs w:val="14"/>
                <w:color w:val="auto"/>
              </w:rPr>
            </w:pPr>
          </w:p>
        </w:tc>
        <w:tc>
          <w:tcPr>
            <w:tcW w:w="25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Automobiles</w:t>
            </w:r>
          </w:p>
        </w:tc>
        <w:tc>
          <w:tcPr>
            <w:tcW w:w="120" w:type="dxa"/>
            <w:vAlign w:val="bottom"/>
          </w:tcPr>
          <w:p>
            <w:pPr>
              <w:spacing w:after="0"/>
              <w:rPr>
                <w:sz w:val="14"/>
                <w:szCs w:val="14"/>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12,912</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(129 )</w:t>
            </w:r>
          </w:p>
        </w:tc>
        <w:tc>
          <w:tcPr>
            <w:tcW w:w="0" w:type="dxa"/>
            <w:vAlign w:val="bottom"/>
          </w:tcPr>
          <w:p>
            <w:pPr>
              <w:spacing w:after="0"/>
              <w:rPr>
                <w:sz w:val="1"/>
                <w:szCs w:val="1"/>
                <w:color w:val="auto"/>
              </w:rPr>
            </w:pPr>
          </w:p>
        </w:tc>
      </w:tr>
      <w:tr>
        <w:trPr>
          <w:trHeight w:val="135"/>
        </w:trPr>
        <w:tc>
          <w:tcPr>
            <w:tcW w:w="23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Digital Room Holdings, Inc.</w:t>
            </w:r>
          </w:p>
        </w:tc>
        <w:tc>
          <w:tcPr>
            <w:tcW w:w="880" w:type="dxa"/>
            <w:vAlign w:val="bottom"/>
            <w:gridSpan w:val="2"/>
            <w:shd w:val="clear" w:color="auto" w:fill="CCECFF"/>
          </w:tcPr>
          <w:p>
            <w:pPr>
              <w:ind w:left="260"/>
              <w:spacing w:after="0"/>
              <w:rPr>
                <w:sz w:val="20"/>
                <w:szCs w:val="20"/>
                <w:color w:val="auto"/>
              </w:rPr>
            </w:pPr>
            <w:r>
              <w:rPr>
                <w:rFonts w:ascii="Times New Roman" w:cs="Times New Roman" w:eastAsia="Times New Roman" w:hAnsi="Times New Roman"/>
                <w:sz w:val="11"/>
                <w:szCs w:val="11"/>
                <w:color w:val="auto"/>
              </w:rPr>
              <w:t>05/22/2026</w:t>
            </w:r>
          </w:p>
        </w:tc>
        <w:tc>
          <w:tcPr>
            <w:tcW w:w="140" w:type="dxa"/>
            <w:vAlign w:val="bottom"/>
            <w:shd w:val="clear" w:color="auto" w:fill="CCECFF"/>
          </w:tcPr>
          <w:p>
            <w:pPr>
              <w:spacing w:after="0"/>
              <w:rPr>
                <w:sz w:val="11"/>
                <w:szCs w:val="11"/>
                <w:color w:val="auto"/>
              </w:rPr>
            </w:pPr>
          </w:p>
        </w:tc>
        <w:tc>
          <w:tcPr>
            <w:tcW w:w="25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Media: Advertising, Printing and Publishing</w:t>
            </w:r>
          </w:p>
        </w:tc>
        <w:tc>
          <w:tcPr>
            <w:tcW w:w="1220" w:type="dxa"/>
            <w:vAlign w:val="bottom"/>
            <w:gridSpan w:val="3"/>
            <w:shd w:val="clear" w:color="auto" w:fill="CCECFF"/>
          </w:tcPr>
          <w:p>
            <w:pPr>
              <w:jc w:val="right"/>
              <w:ind w:right="20"/>
              <w:spacing w:after="0"/>
              <w:rPr>
                <w:sz w:val="20"/>
                <w:szCs w:val="20"/>
                <w:color w:val="auto"/>
              </w:rPr>
            </w:pPr>
            <w:r>
              <w:rPr>
                <w:rFonts w:ascii="Times New Roman" w:cs="Times New Roman" w:eastAsia="Times New Roman" w:hAnsi="Times New Roman"/>
                <w:sz w:val="11"/>
                <w:szCs w:val="11"/>
                <w:color w:val="auto"/>
              </w:rPr>
              <w:t>5.08 %</w:t>
            </w:r>
          </w:p>
        </w:tc>
        <w:tc>
          <w:tcPr>
            <w:tcW w:w="140" w:type="dxa"/>
            <w:vAlign w:val="bottom"/>
            <w:shd w:val="clear" w:color="auto" w:fill="CCECFF"/>
          </w:tcPr>
          <w:p>
            <w:pPr>
              <w:spacing w:after="0"/>
              <w:rPr>
                <w:sz w:val="11"/>
                <w:szCs w:val="11"/>
                <w:color w:val="auto"/>
              </w:rPr>
            </w:pPr>
          </w:p>
        </w:tc>
        <w:tc>
          <w:tcPr>
            <w:tcW w:w="7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1M L+500</w:t>
            </w:r>
          </w:p>
        </w:tc>
        <w:tc>
          <w:tcPr>
            <w:tcW w:w="10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6,547</w:t>
            </w:r>
          </w:p>
        </w:tc>
        <w:tc>
          <w:tcPr>
            <w:tcW w:w="22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6,468</w:t>
            </w:r>
          </w:p>
        </w:tc>
        <w:tc>
          <w:tcPr>
            <w:tcW w:w="22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7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6,462</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3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Douglas Products and Packaging Company LLC</w:t>
            </w:r>
          </w:p>
        </w:tc>
        <w:tc>
          <w:tcPr>
            <w:tcW w:w="880" w:type="dxa"/>
            <w:vAlign w:val="bottom"/>
            <w:gridSpan w:val="2"/>
          </w:tcPr>
          <w:p>
            <w:pPr>
              <w:ind w:left="260"/>
              <w:spacing w:after="0"/>
              <w:rPr>
                <w:sz w:val="20"/>
                <w:szCs w:val="20"/>
                <w:color w:val="auto"/>
              </w:rPr>
            </w:pPr>
            <w:r>
              <w:rPr>
                <w:rFonts w:ascii="Times New Roman" w:cs="Times New Roman" w:eastAsia="Times New Roman" w:hAnsi="Times New Roman"/>
                <w:sz w:val="11"/>
                <w:szCs w:val="11"/>
                <w:color w:val="auto"/>
              </w:rPr>
              <w:t>10/19/2022</w:t>
            </w:r>
          </w:p>
        </w:tc>
        <w:tc>
          <w:tcPr>
            <w:tcW w:w="140" w:type="dxa"/>
            <w:vAlign w:val="bottom"/>
          </w:tcPr>
          <w:p>
            <w:pPr>
              <w:spacing w:after="0"/>
              <w:rPr>
                <w:sz w:val="11"/>
                <w:szCs w:val="11"/>
                <w:color w:val="auto"/>
              </w:rPr>
            </w:pPr>
          </w:p>
        </w:tc>
        <w:tc>
          <w:tcPr>
            <w:tcW w:w="25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Chemicals, Plastics and Rubber</w:t>
            </w:r>
          </w:p>
        </w:tc>
        <w:tc>
          <w:tcPr>
            <w:tcW w:w="1220" w:type="dxa"/>
            <w:vAlign w:val="bottom"/>
            <w:gridSpan w:val="3"/>
          </w:tcPr>
          <w:p>
            <w:pPr>
              <w:jc w:val="right"/>
              <w:ind w:right="20"/>
              <w:spacing w:after="0"/>
              <w:rPr>
                <w:sz w:val="20"/>
                <w:szCs w:val="20"/>
                <w:color w:val="auto"/>
              </w:rPr>
            </w:pPr>
            <w:r>
              <w:rPr>
                <w:rFonts w:ascii="Times New Roman" w:cs="Times New Roman" w:eastAsia="Times New Roman" w:hAnsi="Times New Roman"/>
                <w:sz w:val="11"/>
                <w:szCs w:val="11"/>
                <w:color w:val="auto"/>
              </w:rPr>
              <w:t>6.75 %</w:t>
            </w:r>
          </w:p>
        </w:tc>
        <w:tc>
          <w:tcPr>
            <w:tcW w:w="14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L+575</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6,545</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6,514</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6,545</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360" w:type="dxa"/>
            <w:vAlign w:val="bottom"/>
            <w:shd w:val="clear" w:color="auto" w:fill="CCECFF"/>
          </w:tcPr>
          <w:p>
            <w:pPr>
              <w:ind w:left="20"/>
              <w:spacing w:after="0" w:line="95" w:lineRule="exact"/>
              <w:rPr>
                <w:sz w:val="20"/>
                <w:szCs w:val="20"/>
                <w:color w:val="auto"/>
              </w:rPr>
            </w:pPr>
            <w:r>
              <w:rPr>
                <w:rFonts w:ascii="Times New Roman" w:cs="Times New Roman" w:eastAsia="Times New Roman" w:hAnsi="Times New Roman"/>
                <w:sz w:val="10"/>
                <w:szCs w:val="10"/>
                <w:color w:val="auto"/>
              </w:rPr>
              <w:t>Douglas Products and Packaging Company LLC</w:t>
            </w:r>
          </w:p>
        </w:tc>
        <w:tc>
          <w:tcPr>
            <w:tcW w:w="880" w:type="dxa"/>
            <w:vAlign w:val="bottom"/>
            <w:gridSpan w:val="2"/>
            <w:shd w:val="clear" w:color="auto" w:fill="CCECFF"/>
          </w:tcPr>
          <w:p>
            <w:pPr>
              <w:ind w:left="260"/>
              <w:spacing w:after="0" w:line="95" w:lineRule="exact"/>
              <w:rPr>
                <w:sz w:val="20"/>
                <w:szCs w:val="20"/>
                <w:color w:val="auto"/>
              </w:rPr>
            </w:pPr>
            <w:r>
              <w:rPr>
                <w:rFonts w:ascii="Times New Roman" w:cs="Times New Roman" w:eastAsia="Times New Roman" w:hAnsi="Times New Roman"/>
                <w:sz w:val="10"/>
                <w:szCs w:val="10"/>
                <w:color w:val="auto"/>
              </w:rPr>
              <w:t>10/19/2022</w:t>
            </w:r>
          </w:p>
        </w:tc>
        <w:tc>
          <w:tcPr>
            <w:tcW w:w="140" w:type="dxa"/>
            <w:vAlign w:val="bottom"/>
            <w:shd w:val="clear" w:color="auto" w:fill="CCECFF"/>
          </w:tcPr>
          <w:p>
            <w:pPr>
              <w:spacing w:after="0"/>
              <w:rPr>
                <w:sz w:val="8"/>
                <w:szCs w:val="8"/>
                <w:color w:val="auto"/>
              </w:rPr>
            </w:pPr>
          </w:p>
        </w:tc>
        <w:tc>
          <w:tcPr>
            <w:tcW w:w="2560" w:type="dxa"/>
            <w:vAlign w:val="bottom"/>
            <w:shd w:val="clear" w:color="auto" w:fill="CCECFF"/>
          </w:tcPr>
          <w:p>
            <w:pPr>
              <w:jc w:val="center"/>
              <w:spacing w:after="0" w:line="95" w:lineRule="exact"/>
              <w:rPr>
                <w:sz w:val="20"/>
                <w:szCs w:val="20"/>
                <w:color w:val="auto"/>
              </w:rPr>
            </w:pPr>
            <w:r>
              <w:rPr>
                <w:rFonts w:ascii="Times New Roman" w:cs="Times New Roman" w:eastAsia="Times New Roman" w:hAnsi="Times New Roman"/>
                <w:sz w:val="10"/>
                <w:szCs w:val="10"/>
                <w:color w:val="auto"/>
              </w:rPr>
              <w:t>Chemicals, Plastics and Rubber</w:t>
            </w:r>
          </w:p>
        </w:tc>
        <w:tc>
          <w:tcPr>
            <w:tcW w:w="120" w:type="dxa"/>
            <w:vAlign w:val="bottom"/>
            <w:shd w:val="clear" w:color="auto" w:fill="CCECFF"/>
          </w:tcPr>
          <w:p>
            <w:pPr>
              <w:spacing w:after="0"/>
              <w:rPr>
                <w:sz w:val="8"/>
                <w:szCs w:val="8"/>
                <w:color w:val="auto"/>
              </w:rPr>
            </w:pPr>
          </w:p>
        </w:tc>
        <w:tc>
          <w:tcPr>
            <w:tcW w:w="980" w:type="dxa"/>
            <w:vAlign w:val="bottom"/>
            <w:shd w:val="clear" w:color="auto" w:fill="CCECFF"/>
          </w:tcPr>
          <w:p>
            <w:pPr>
              <w:spacing w:after="0"/>
              <w:rPr>
                <w:sz w:val="8"/>
                <w:szCs w:val="8"/>
                <w:color w:val="auto"/>
              </w:rPr>
            </w:pPr>
          </w:p>
        </w:tc>
        <w:tc>
          <w:tcPr>
            <w:tcW w:w="120" w:type="dxa"/>
            <w:vAlign w:val="bottom"/>
            <w:shd w:val="clear" w:color="auto" w:fill="CCECFF"/>
          </w:tcPr>
          <w:p>
            <w:pPr>
              <w:spacing w:after="0"/>
              <w:rPr>
                <w:sz w:val="8"/>
                <w:szCs w:val="8"/>
                <w:color w:val="auto"/>
              </w:rPr>
            </w:pPr>
          </w:p>
        </w:tc>
        <w:tc>
          <w:tcPr>
            <w:tcW w:w="140" w:type="dxa"/>
            <w:vAlign w:val="bottom"/>
            <w:shd w:val="clear" w:color="auto" w:fill="CCECFF"/>
          </w:tcPr>
          <w:p>
            <w:pPr>
              <w:spacing w:after="0"/>
              <w:rPr>
                <w:sz w:val="8"/>
                <w:szCs w:val="8"/>
                <w:color w:val="auto"/>
              </w:rPr>
            </w:pPr>
          </w:p>
        </w:tc>
        <w:tc>
          <w:tcPr>
            <w:tcW w:w="780" w:type="dxa"/>
            <w:vAlign w:val="bottom"/>
            <w:shd w:val="clear" w:color="auto" w:fill="CCECFF"/>
          </w:tcPr>
          <w:p>
            <w:pPr>
              <w:jc w:val="right"/>
              <w:spacing w:after="0" w:line="95" w:lineRule="exact"/>
              <w:rPr>
                <w:sz w:val="20"/>
                <w:szCs w:val="20"/>
                <w:color w:val="auto"/>
              </w:rPr>
            </w:pPr>
            <w:r>
              <w:rPr>
                <w:rFonts w:ascii="Times New Roman" w:cs="Times New Roman" w:eastAsia="Times New Roman" w:hAnsi="Times New Roman"/>
                <w:sz w:val="10"/>
                <w:szCs w:val="10"/>
                <w:color w:val="auto"/>
              </w:rPr>
              <w:t>P+475</w:t>
            </w:r>
          </w:p>
        </w:tc>
        <w:tc>
          <w:tcPr>
            <w:tcW w:w="220" w:type="dxa"/>
            <w:vAlign w:val="bottom"/>
            <w:shd w:val="clear" w:color="auto" w:fill="CCECFF"/>
          </w:tcPr>
          <w:p>
            <w:pPr>
              <w:spacing w:after="0"/>
              <w:rPr>
                <w:sz w:val="8"/>
                <w:szCs w:val="8"/>
                <w:color w:val="auto"/>
              </w:rPr>
            </w:pPr>
          </w:p>
        </w:tc>
        <w:tc>
          <w:tcPr>
            <w:tcW w:w="820" w:type="dxa"/>
            <w:vAlign w:val="bottom"/>
            <w:shd w:val="clear" w:color="auto" w:fill="CCECFF"/>
          </w:tcPr>
          <w:p>
            <w:pPr>
              <w:spacing w:after="0"/>
              <w:rPr>
                <w:sz w:val="8"/>
                <w:szCs w:val="8"/>
                <w:color w:val="auto"/>
              </w:rPr>
            </w:pPr>
          </w:p>
        </w:tc>
        <w:tc>
          <w:tcPr>
            <w:tcW w:w="220" w:type="dxa"/>
            <w:vAlign w:val="bottom"/>
            <w:shd w:val="clear" w:color="auto" w:fill="CCECFF"/>
          </w:tcPr>
          <w:p>
            <w:pPr>
              <w:spacing w:after="0"/>
              <w:rPr>
                <w:sz w:val="8"/>
                <w:szCs w:val="8"/>
                <w:color w:val="auto"/>
              </w:rPr>
            </w:pPr>
          </w:p>
        </w:tc>
        <w:tc>
          <w:tcPr>
            <w:tcW w:w="180" w:type="dxa"/>
            <w:vAlign w:val="bottom"/>
            <w:shd w:val="clear" w:color="auto" w:fill="CCECFF"/>
          </w:tcPr>
          <w:p>
            <w:pPr>
              <w:spacing w:after="0"/>
              <w:rPr>
                <w:sz w:val="8"/>
                <w:szCs w:val="8"/>
                <w:color w:val="auto"/>
              </w:rPr>
            </w:pPr>
          </w:p>
        </w:tc>
        <w:tc>
          <w:tcPr>
            <w:tcW w:w="600" w:type="dxa"/>
            <w:vAlign w:val="bottom"/>
            <w:shd w:val="clear" w:color="auto" w:fill="CCECFF"/>
          </w:tcPr>
          <w:p>
            <w:pPr>
              <w:spacing w:after="0"/>
              <w:rPr>
                <w:sz w:val="8"/>
                <w:szCs w:val="8"/>
                <w:color w:val="auto"/>
              </w:rPr>
            </w:pPr>
          </w:p>
        </w:tc>
        <w:tc>
          <w:tcPr>
            <w:tcW w:w="220" w:type="dxa"/>
            <w:vAlign w:val="bottom"/>
            <w:shd w:val="clear" w:color="auto" w:fill="CCECFF"/>
          </w:tcPr>
          <w:p>
            <w:pPr>
              <w:spacing w:after="0"/>
              <w:rPr>
                <w:sz w:val="8"/>
                <w:szCs w:val="8"/>
                <w:color w:val="auto"/>
              </w:rPr>
            </w:pPr>
          </w:p>
        </w:tc>
        <w:tc>
          <w:tcPr>
            <w:tcW w:w="80" w:type="dxa"/>
            <w:vAlign w:val="bottom"/>
            <w:shd w:val="clear" w:color="auto" w:fill="CCECFF"/>
          </w:tcPr>
          <w:p>
            <w:pPr>
              <w:spacing w:after="0"/>
              <w:rPr>
                <w:sz w:val="8"/>
                <w:szCs w:val="8"/>
                <w:color w:val="auto"/>
              </w:rPr>
            </w:pPr>
          </w:p>
        </w:tc>
        <w:tc>
          <w:tcPr>
            <w:tcW w:w="720" w:type="dxa"/>
            <w:vAlign w:val="bottom"/>
            <w:shd w:val="clear" w:color="auto" w:fill="CCECFF"/>
          </w:tcPr>
          <w:p>
            <w:pPr>
              <w:spacing w:after="0"/>
              <w:rPr>
                <w:sz w:val="8"/>
                <w:szCs w:val="8"/>
                <w:color w:val="auto"/>
              </w:rPr>
            </w:pPr>
          </w:p>
        </w:tc>
        <w:tc>
          <w:tcPr>
            <w:tcW w:w="100" w:type="dxa"/>
            <w:vAlign w:val="bottom"/>
            <w:shd w:val="clear" w:color="auto" w:fill="CCECFF"/>
          </w:tcPr>
          <w:p>
            <w:pPr>
              <w:spacing w:after="0"/>
              <w:rPr>
                <w:sz w:val="8"/>
                <w:szCs w:val="8"/>
                <w:color w:val="auto"/>
              </w:rPr>
            </w:pPr>
          </w:p>
        </w:tc>
        <w:tc>
          <w:tcPr>
            <w:tcW w:w="0" w:type="dxa"/>
            <w:vAlign w:val="bottom"/>
          </w:tcPr>
          <w:p>
            <w:pPr>
              <w:spacing w:after="0"/>
              <w:rPr>
                <w:sz w:val="1"/>
                <w:szCs w:val="1"/>
                <w:color w:val="auto"/>
              </w:rPr>
            </w:pPr>
          </w:p>
        </w:tc>
      </w:tr>
      <w:tr>
        <w:trPr>
          <w:trHeight w:val="162"/>
        </w:trPr>
        <w:tc>
          <w:tcPr>
            <w:tcW w:w="23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(Revolver)</w:t>
            </w:r>
          </w:p>
        </w:tc>
        <w:tc>
          <w:tcPr>
            <w:tcW w:w="140" w:type="dxa"/>
            <w:vAlign w:val="bottom"/>
            <w:shd w:val="clear" w:color="auto" w:fill="CCECFF"/>
          </w:tcPr>
          <w:p>
            <w:pPr>
              <w:spacing w:after="0"/>
              <w:rPr>
                <w:sz w:val="14"/>
                <w:szCs w:val="14"/>
                <w:color w:val="auto"/>
              </w:rPr>
            </w:pPr>
          </w:p>
        </w:tc>
        <w:tc>
          <w:tcPr>
            <w:tcW w:w="740" w:type="dxa"/>
            <w:vAlign w:val="bottom"/>
            <w:shd w:val="clear" w:color="auto" w:fill="CCECFF"/>
          </w:tcPr>
          <w:p>
            <w:pPr>
              <w:spacing w:after="0"/>
              <w:rPr>
                <w:sz w:val="14"/>
                <w:szCs w:val="14"/>
                <w:color w:val="auto"/>
              </w:rPr>
            </w:pPr>
          </w:p>
        </w:tc>
        <w:tc>
          <w:tcPr>
            <w:tcW w:w="140" w:type="dxa"/>
            <w:vAlign w:val="bottom"/>
            <w:shd w:val="clear" w:color="auto" w:fill="CCECFF"/>
          </w:tcPr>
          <w:p>
            <w:pPr>
              <w:spacing w:after="0"/>
              <w:rPr>
                <w:sz w:val="14"/>
                <w:szCs w:val="14"/>
                <w:color w:val="auto"/>
              </w:rPr>
            </w:pPr>
          </w:p>
        </w:tc>
        <w:tc>
          <w:tcPr>
            <w:tcW w:w="2560" w:type="dxa"/>
            <w:vAlign w:val="bottom"/>
            <w:shd w:val="clear" w:color="auto" w:fill="CCECFF"/>
          </w:tcPr>
          <w:p>
            <w:pPr>
              <w:spacing w:after="0"/>
              <w:rPr>
                <w:sz w:val="14"/>
                <w:szCs w:val="14"/>
                <w:color w:val="auto"/>
              </w:rPr>
            </w:pPr>
          </w:p>
        </w:tc>
        <w:tc>
          <w:tcPr>
            <w:tcW w:w="1220" w:type="dxa"/>
            <w:vAlign w:val="bottom"/>
            <w:gridSpan w:val="3"/>
            <w:shd w:val="clear" w:color="auto" w:fill="CCECFF"/>
          </w:tcPr>
          <w:p>
            <w:pPr>
              <w:jc w:val="right"/>
              <w:ind w:right="20"/>
              <w:spacing w:after="0"/>
              <w:rPr>
                <w:sz w:val="20"/>
                <w:szCs w:val="20"/>
                <w:color w:val="auto"/>
              </w:rPr>
            </w:pPr>
            <w:r>
              <w:rPr>
                <w:rFonts w:ascii="Times New Roman" w:cs="Times New Roman" w:eastAsia="Times New Roman" w:hAnsi="Times New Roman"/>
                <w:sz w:val="11"/>
                <w:szCs w:val="11"/>
                <w:color w:val="auto"/>
              </w:rPr>
              <w:t>8.00 %</w:t>
            </w:r>
          </w:p>
        </w:tc>
        <w:tc>
          <w:tcPr>
            <w:tcW w:w="140" w:type="dxa"/>
            <w:vAlign w:val="bottom"/>
            <w:shd w:val="clear" w:color="auto" w:fill="CCECFF"/>
          </w:tcPr>
          <w:p>
            <w:pPr>
              <w:spacing w:after="0"/>
              <w:rPr>
                <w:sz w:val="14"/>
                <w:szCs w:val="14"/>
                <w:color w:val="auto"/>
              </w:rPr>
            </w:pPr>
          </w:p>
        </w:tc>
        <w:tc>
          <w:tcPr>
            <w:tcW w:w="780" w:type="dxa"/>
            <w:vAlign w:val="bottom"/>
            <w:shd w:val="clear" w:color="auto" w:fill="CCECFF"/>
          </w:tcPr>
          <w:p>
            <w:pPr>
              <w:spacing w:after="0"/>
              <w:rPr>
                <w:sz w:val="14"/>
                <w:szCs w:val="14"/>
                <w:color w:val="auto"/>
              </w:rPr>
            </w:pPr>
          </w:p>
        </w:tc>
        <w:tc>
          <w:tcPr>
            <w:tcW w:w="10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2,927</w:t>
            </w:r>
          </w:p>
        </w:tc>
        <w:tc>
          <w:tcPr>
            <w:tcW w:w="220" w:type="dxa"/>
            <w:vAlign w:val="bottom"/>
            <w:shd w:val="clear" w:color="auto" w:fill="CCECFF"/>
          </w:tcPr>
          <w:p>
            <w:pPr>
              <w:spacing w:after="0"/>
              <w:rPr>
                <w:sz w:val="14"/>
                <w:szCs w:val="14"/>
                <w:color w:val="auto"/>
              </w:rPr>
            </w:pPr>
          </w:p>
        </w:tc>
        <w:tc>
          <w:tcPr>
            <w:tcW w:w="180" w:type="dxa"/>
            <w:vAlign w:val="bottom"/>
            <w:shd w:val="clear" w:color="auto" w:fill="CCECFF"/>
          </w:tcPr>
          <w:p>
            <w:pPr>
              <w:spacing w:after="0"/>
              <w:rPr>
                <w:sz w:val="14"/>
                <w:szCs w:val="14"/>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2,927</w:t>
            </w:r>
          </w:p>
        </w:tc>
        <w:tc>
          <w:tcPr>
            <w:tcW w:w="220" w:type="dxa"/>
            <w:vAlign w:val="bottom"/>
            <w:shd w:val="clear" w:color="auto" w:fill="CCECFF"/>
          </w:tcPr>
          <w:p>
            <w:pPr>
              <w:spacing w:after="0"/>
              <w:rPr>
                <w:sz w:val="14"/>
                <w:szCs w:val="14"/>
                <w:color w:val="auto"/>
              </w:rPr>
            </w:pPr>
          </w:p>
        </w:tc>
        <w:tc>
          <w:tcPr>
            <w:tcW w:w="80" w:type="dxa"/>
            <w:vAlign w:val="bottom"/>
            <w:shd w:val="clear" w:color="auto" w:fill="CCECFF"/>
          </w:tcPr>
          <w:p>
            <w:pPr>
              <w:spacing w:after="0"/>
              <w:rPr>
                <w:sz w:val="14"/>
                <w:szCs w:val="14"/>
                <w:color w:val="auto"/>
              </w:rPr>
            </w:pPr>
          </w:p>
        </w:tc>
        <w:tc>
          <w:tcPr>
            <w:tcW w:w="7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2,927</w:t>
            </w: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360" w:type="dxa"/>
            <w:vAlign w:val="bottom"/>
          </w:tcPr>
          <w:p>
            <w:pPr>
              <w:ind w:left="20"/>
              <w:spacing w:after="0" w:line="95" w:lineRule="exact"/>
              <w:rPr>
                <w:sz w:val="20"/>
                <w:szCs w:val="20"/>
                <w:color w:val="auto"/>
              </w:rPr>
            </w:pPr>
            <w:r>
              <w:rPr>
                <w:rFonts w:ascii="Times New Roman" w:cs="Times New Roman" w:eastAsia="Times New Roman" w:hAnsi="Times New Roman"/>
                <w:sz w:val="10"/>
                <w:szCs w:val="10"/>
                <w:color w:val="auto"/>
              </w:rPr>
              <w:t>Douglas Products and Packaging Company LLC</w:t>
            </w:r>
          </w:p>
        </w:tc>
        <w:tc>
          <w:tcPr>
            <w:tcW w:w="880" w:type="dxa"/>
            <w:vAlign w:val="bottom"/>
            <w:gridSpan w:val="2"/>
          </w:tcPr>
          <w:p>
            <w:pPr>
              <w:ind w:left="260"/>
              <w:spacing w:after="0" w:line="95" w:lineRule="exact"/>
              <w:rPr>
                <w:sz w:val="20"/>
                <w:szCs w:val="20"/>
                <w:color w:val="auto"/>
              </w:rPr>
            </w:pPr>
            <w:r>
              <w:rPr>
                <w:rFonts w:ascii="Times New Roman" w:cs="Times New Roman" w:eastAsia="Times New Roman" w:hAnsi="Times New Roman"/>
                <w:sz w:val="10"/>
                <w:szCs w:val="10"/>
                <w:color w:val="auto"/>
              </w:rPr>
              <w:t>10/19/2022</w:t>
            </w:r>
          </w:p>
        </w:tc>
        <w:tc>
          <w:tcPr>
            <w:tcW w:w="140" w:type="dxa"/>
            <w:vAlign w:val="bottom"/>
          </w:tcPr>
          <w:p>
            <w:pPr>
              <w:spacing w:after="0"/>
              <w:rPr>
                <w:sz w:val="8"/>
                <w:szCs w:val="8"/>
                <w:color w:val="auto"/>
              </w:rPr>
            </w:pPr>
          </w:p>
        </w:tc>
        <w:tc>
          <w:tcPr>
            <w:tcW w:w="2560" w:type="dxa"/>
            <w:vAlign w:val="bottom"/>
          </w:tcPr>
          <w:p>
            <w:pPr>
              <w:jc w:val="center"/>
              <w:spacing w:after="0" w:line="95" w:lineRule="exact"/>
              <w:rPr>
                <w:sz w:val="20"/>
                <w:szCs w:val="20"/>
                <w:color w:val="auto"/>
              </w:rPr>
            </w:pPr>
            <w:r>
              <w:rPr>
                <w:rFonts w:ascii="Times New Roman" w:cs="Times New Roman" w:eastAsia="Times New Roman" w:hAnsi="Times New Roman"/>
                <w:sz w:val="10"/>
                <w:szCs w:val="10"/>
                <w:color w:val="auto"/>
              </w:rPr>
              <w:t>Chemicals, Plastics and Rubber</w:t>
            </w:r>
          </w:p>
        </w:tc>
        <w:tc>
          <w:tcPr>
            <w:tcW w:w="120" w:type="dxa"/>
            <w:vAlign w:val="bottom"/>
          </w:tcPr>
          <w:p>
            <w:pPr>
              <w:spacing w:after="0"/>
              <w:rPr>
                <w:sz w:val="8"/>
                <w:szCs w:val="8"/>
                <w:color w:val="auto"/>
              </w:rPr>
            </w:pPr>
          </w:p>
        </w:tc>
        <w:tc>
          <w:tcPr>
            <w:tcW w:w="1100" w:type="dxa"/>
            <w:vAlign w:val="bottom"/>
            <w:gridSpan w:val="2"/>
          </w:tcPr>
          <w:p>
            <w:pPr>
              <w:jc w:val="right"/>
              <w:ind w:right="140"/>
              <w:spacing w:after="0" w:line="95" w:lineRule="exact"/>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8"/>
                <w:szCs w:val="8"/>
                <w:color w:val="auto"/>
              </w:rPr>
            </w:pPr>
          </w:p>
        </w:tc>
        <w:tc>
          <w:tcPr>
            <w:tcW w:w="780" w:type="dxa"/>
            <w:vAlign w:val="bottom"/>
          </w:tcPr>
          <w:p>
            <w:pPr>
              <w:jc w:val="right"/>
              <w:spacing w:after="0" w:line="95" w:lineRule="exact"/>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tcPr>
          <w:p>
            <w:pPr>
              <w:jc w:val="right"/>
              <w:spacing w:after="0" w:line="95" w:lineRule="exact"/>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gridSpan w:val="2"/>
          </w:tcPr>
          <w:p>
            <w:pPr>
              <w:jc w:val="right"/>
              <w:ind w:right="120"/>
              <w:spacing w:after="0" w:line="95" w:lineRule="exact"/>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62"/>
        </w:trPr>
        <w:tc>
          <w:tcPr>
            <w:tcW w:w="23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 xml:space="preserve">(Revolver) </w:t>
            </w:r>
            <w:r>
              <w:rPr>
                <w:rFonts w:ascii="Times New Roman" w:cs="Times New Roman" w:eastAsia="Times New Roman" w:hAnsi="Times New Roman"/>
                <w:sz w:val="14"/>
                <w:szCs w:val="14"/>
                <w:color w:val="auto"/>
                <w:vertAlign w:val="superscript"/>
              </w:rPr>
              <w:t>(9)</w:t>
            </w: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1,464</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3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Douglas Sewer Intermediate, LLC</w:t>
            </w:r>
          </w:p>
        </w:tc>
        <w:tc>
          <w:tcPr>
            <w:tcW w:w="880" w:type="dxa"/>
            <w:vAlign w:val="bottom"/>
            <w:gridSpan w:val="2"/>
            <w:shd w:val="clear" w:color="auto" w:fill="CCECFF"/>
          </w:tcPr>
          <w:p>
            <w:pPr>
              <w:ind w:left="260"/>
              <w:spacing w:after="0"/>
              <w:rPr>
                <w:sz w:val="20"/>
                <w:szCs w:val="20"/>
                <w:color w:val="auto"/>
              </w:rPr>
            </w:pPr>
            <w:r>
              <w:rPr>
                <w:rFonts w:ascii="Times New Roman" w:cs="Times New Roman" w:eastAsia="Times New Roman" w:hAnsi="Times New Roman"/>
                <w:sz w:val="11"/>
                <w:szCs w:val="11"/>
                <w:color w:val="auto"/>
              </w:rPr>
              <w:t>10/19/2022</w:t>
            </w:r>
          </w:p>
        </w:tc>
        <w:tc>
          <w:tcPr>
            <w:tcW w:w="140" w:type="dxa"/>
            <w:vAlign w:val="bottom"/>
            <w:shd w:val="clear" w:color="auto" w:fill="CCECFF"/>
          </w:tcPr>
          <w:p>
            <w:pPr>
              <w:spacing w:after="0"/>
              <w:rPr>
                <w:sz w:val="11"/>
                <w:szCs w:val="11"/>
                <w:color w:val="auto"/>
              </w:rPr>
            </w:pPr>
          </w:p>
        </w:tc>
        <w:tc>
          <w:tcPr>
            <w:tcW w:w="25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Chemicals, Plastics and Rubber</w:t>
            </w:r>
          </w:p>
        </w:tc>
        <w:tc>
          <w:tcPr>
            <w:tcW w:w="1220" w:type="dxa"/>
            <w:vAlign w:val="bottom"/>
            <w:gridSpan w:val="3"/>
            <w:shd w:val="clear" w:color="auto" w:fill="CCECFF"/>
          </w:tcPr>
          <w:p>
            <w:pPr>
              <w:jc w:val="right"/>
              <w:ind w:right="20"/>
              <w:spacing w:after="0"/>
              <w:rPr>
                <w:sz w:val="20"/>
                <w:szCs w:val="20"/>
                <w:color w:val="auto"/>
              </w:rPr>
            </w:pPr>
            <w:r>
              <w:rPr>
                <w:rFonts w:ascii="Times New Roman" w:cs="Times New Roman" w:eastAsia="Times New Roman" w:hAnsi="Times New Roman"/>
                <w:sz w:val="11"/>
                <w:szCs w:val="11"/>
                <w:color w:val="auto"/>
              </w:rPr>
              <w:t>6.75 %</w:t>
            </w:r>
          </w:p>
        </w:tc>
        <w:tc>
          <w:tcPr>
            <w:tcW w:w="140" w:type="dxa"/>
            <w:vAlign w:val="bottom"/>
            <w:shd w:val="clear" w:color="auto" w:fill="CCECFF"/>
          </w:tcPr>
          <w:p>
            <w:pPr>
              <w:spacing w:after="0"/>
              <w:rPr>
                <w:sz w:val="11"/>
                <w:szCs w:val="11"/>
                <w:color w:val="auto"/>
              </w:rPr>
            </w:pPr>
          </w:p>
        </w:tc>
        <w:tc>
          <w:tcPr>
            <w:tcW w:w="7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L+575</w:t>
            </w:r>
          </w:p>
        </w:tc>
        <w:tc>
          <w:tcPr>
            <w:tcW w:w="10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3,961</w:t>
            </w:r>
          </w:p>
        </w:tc>
        <w:tc>
          <w:tcPr>
            <w:tcW w:w="22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3,942</w:t>
            </w:r>
          </w:p>
        </w:tc>
        <w:tc>
          <w:tcPr>
            <w:tcW w:w="22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7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3,961</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03"/>
        </w:trPr>
        <w:tc>
          <w:tcPr>
            <w:tcW w:w="2360" w:type="dxa"/>
            <w:vAlign w:val="bottom"/>
          </w:tcPr>
          <w:p>
            <w:pPr>
              <w:ind w:left="20"/>
              <w:spacing w:after="0" w:line="103" w:lineRule="exact"/>
              <w:rPr>
                <w:sz w:val="20"/>
                <w:szCs w:val="20"/>
                <w:color w:val="auto"/>
              </w:rPr>
            </w:pPr>
            <w:r>
              <w:rPr>
                <w:rFonts w:ascii="Times New Roman" w:cs="Times New Roman" w:eastAsia="Times New Roman" w:hAnsi="Times New Roman"/>
                <w:sz w:val="11"/>
                <w:szCs w:val="11"/>
                <w:color w:val="auto"/>
              </w:rPr>
              <w:t>Dr. Squatch, LLC</w:t>
            </w:r>
          </w:p>
        </w:tc>
        <w:tc>
          <w:tcPr>
            <w:tcW w:w="880" w:type="dxa"/>
            <w:vAlign w:val="bottom"/>
            <w:gridSpan w:val="2"/>
          </w:tcPr>
          <w:p>
            <w:pPr>
              <w:ind w:left="260"/>
              <w:spacing w:after="0" w:line="103" w:lineRule="exact"/>
              <w:rPr>
                <w:sz w:val="20"/>
                <w:szCs w:val="20"/>
                <w:color w:val="auto"/>
              </w:rPr>
            </w:pPr>
            <w:r>
              <w:rPr>
                <w:rFonts w:ascii="Times New Roman" w:cs="Times New Roman" w:eastAsia="Times New Roman" w:hAnsi="Times New Roman"/>
                <w:sz w:val="11"/>
                <w:szCs w:val="11"/>
                <w:color w:val="auto"/>
              </w:rPr>
              <w:t>08/27/2026</w:t>
            </w:r>
          </w:p>
        </w:tc>
        <w:tc>
          <w:tcPr>
            <w:tcW w:w="140" w:type="dxa"/>
            <w:vAlign w:val="bottom"/>
          </w:tcPr>
          <w:p>
            <w:pPr>
              <w:spacing w:after="0"/>
              <w:rPr>
                <w:sz w:val="8"/>
                <w:szCs w:val="8"/>
                <w:color w:val="auto"/>
              </w:rPr>
            </w:pPr>
          </w:p>
        </w:tc>
        <w:tc>
          <w:tcPr>
            <w:tcW w:w="2560" w:type="dxa"/>
            <w:vAlign w:val="bottom"/>
          </w:tcPr>
          <w:p>
            <w:pPr>
              <w:jc w:val="center"/>
              <w:spacing w:after="0" w:line="103" w:lineRule="exact"/>
              <w:rPr>
                <w:sz w:val="20"/>
                <w:szCs w:val="20"/>
                <w:color w:val="auto"/>
              </w:rPr>
            </w:pPr>
            <w:r>
              <w:rPr>
                <w:rFonts w:ascii="Times New Roman" w:cs="Times New Roman" w:eastAsia="Times New Roman" w:hAnsi="Times New Roman"/>
                <w:sz w:val="11"/>
                <w:szCs w:val="11"/>
                <w:color w:val="auto"/>
                <w:w w:val="95"/>
              </w:rPr>
              <w:t>Personal Products</w:t>
            </w:r>
          </w:p>
        </w:tc>
        <w:tc>
          <w:tcPr>
            <w:tcW w:w="1220" w:type="dxa"/>
            <w:vAlign w:val="bottom"/>
            <w:gridSpan w:val="3"/>
          </w:tcPr>
          <w:p>
            <w:pPr>
              <w:jc w:val="right"/>
              <w:ind w:right="20"/>
              <w:spacing w:after="0" w:line="103" w:lineRule="exact"/>
              <w:rPr>
                <w:sz w:val="20"/>
                <w:szCs w:val="20"/>
                <w:color w:val="auto"/>
              </w:rPr>
            </w:pPr>
            <w:r>
              <w:rPr>
                <w:rFonts w:ascii="Times New Roman" w:cs="Times New Roman" w:eastAsia="Times New Roman" w:hAnsi="Times New Roman"/>
                <w:sz w:val="11"/>
                <w:szCs w:val="11"/>
                <w:color w:val="auto"/>
              </w:rPr>
              <w:t>7.00 %</w:t>
            </w:r>
          </w:p>
        </w:tc>
        <w:tc>
          <w:tcPr>
            <w:tcW w:w="140" w:type="dxa"/>
            <w:vAlign w:val="bottom"/>
          </w:tcPr>
          <w:p>
            <w:pPr>
              <w:spacing w:after="0"/>
              <w:rPr>
                <w:sz w:val="8"/>
                <w:szCs w:val="8"/>
                <w:color w:val="auto"/>
              </w:rPr>
            </w:pPr>
          </w:p>
        </w:tc>
        <w:tc>
          <w:tcPr>
            <w:tcW w:w="780" w:type="dxa"/>
            <w:vAlign w:val="bottom"/>
          </w:tcPr>
          <w:p>
            <w:pPr>
              <w:jc w:val="right"/>
              <w:spacing w:after="0" w:line="103" w:lineRule="exact"/>
              <w:rPr>
                <w:sz w:val="20"/>
                <w:szCs w:val="20"/>
                <w:color w:val="auto"/>
              </w:rPr>
            </w:pPr>
            <w:r>
              <w:rPr>
                <w:rFonts w:ascii="Times New Roman" w:cs="Times New Roman" w:eastAsia="Times New Roman" w:hAnsi="Times New Roman"/>
                <w:sz w:val="11"/>
                <w:szCs w:val="11"/>
                <w:color w:val="auto"/>
              </w:rPr>
              <w:t>3M L+600</w:t>
            </w:r>
          </w:p>
        </w:tc>
        <w:tc>
          <w:tcPr>
            <w:tcW w:w="1040" w:type="dxa"/>
            <w:vAlign w:val="bottom"/>
            <w:gridSpan w:val="2"/>
          </w:tcPr>
          <w:p>
            <w:pPr>
              <w:jc w:val="right"/>
              <w:spacing w:after="0" w:line="103" w:lineRule="exact"/>
              <w:rPr>
                <w:sz w:val="20"/>
                <w:szCs w:val="20"/>
                <w:color w:val="auto"/>
              </w:rPr>
            </w:pPr>
            <w:r>
              <w:rPr>
                <w:rFonts w:ascii="Times New Roman" w:cs="Times New Roman" w:eastAsia="Times New Roman" w:hAnsi="Times New Roman"/>
                <w:sz w:val="11"/>
                <w:szCs w:val="11"/>
                <w:color w:val="auto"/>
              </w:rPr>
              <w:t>9,485</w:t>
            </w: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tcPr>
          <w:p>
            <w:pPr>
              <w:jc w:val="right"/>
              <w:spacing w:after="0" w:line="103" w:lineRule="exact"/>
              <w:rPr>
                <w:sz w:val="20"/>
                <w:szCs w:val="20"/>
                <w:color w:val="auto"/>
              </w:rPr>
            </w:pPr>
            <w:r>
              <w:rPr>
                <w:rFonts w:ascii="Times New Roman" w:cs="Times New Roman" w:eastAsia="Times New Roman" w:hAnsi="Times New Roman"/>
                <w:sz w:val="11"/>
                <w:szCs w:val="11"/>
                <w:color w:val="auto"/>
              </w:rPr>
              <w:t>9,297</w:t>
            </w: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jc w:val="right"/>
              <w:spacing w:after="0" w:line="103" w:lineRule="exact"/>
              <w:rPr>
                <w:sz w:val="20"/>
                <w:szCs w:val="20"/>
                <w:color w:val="auto"/>
              </w:rPr>
            </w:pPr>
            <w:r>
              <w:rPr>
                <w:rFonts w:ascii="Times New Roman" w:cs="Times New Roman" w:eastAsia="Times New Roman" w:hAnsi="Times New Roman"/>
                <w:sz w:val="11"/>
                <w:szCs w:val="11"/>
                <w:color w:val="auto"/>
              </w:rPr>
              <w:t>9,296</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236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Dr. Squatch, LLC (Revolver) </w:t>
            </w:r>
            <w:r>
              <w:rPr>
                <w:rFonts w:ascii="Times New Roman" w:cs="Times New Roman" w:eastAsia="Times New Roman" w:hAnsi="Times New Roman"/>
                <w:sz w:val="14"/>
                <w:szCs w:val="14"/>
                <w:color w:val="auto"/>
                <w:vertAlign w:val="superscript"/>
              </w:rPr>
              <w:t>(7)</w:t>
            </w:r>
          </w:p>
        </w:tc>
        <w:tc>
          <w:tcPr>
            <w:tcW w:w="880" w:type="dxa"/>
            <w:vAlign w:val="bottom"/>
            <w:gridSpan w:val="2"/>
          </w:tcPr>
          <w:p>
            <w:pPr>
              <w:ind w:left="260"/>
              <w:spacing w:after="0"/>
              <w:rPr>
                <w:sz w:val="20"/>
                <w:szCs w:val="20"/>
                <w:color w:val="auto"/>
              </w:rPr>
            </w:pPr>
            <w:r>
              <w:rPr>
                <w:rFonts w:ascii="Times New Roman" w:cs="Times New Roman" w:eastAsia="Times New Roman" w:hAnsi="Times New Roman"/>
                <w:sz w:val="11"/>
                <w:szCs w:val="11"/>
                <w:color w:val="auto"/>
              </w:rPr>
              <w:t>08/27/2026</w:t>
            </w:r>
          </w:p>
        </w:tc>
        <w:tc>
          <w:tcPr>
            <w:tcW w:w="140" w:type="dxa"/>
            <w:vAlign w:val="bottom"/>
          </w:tcPr>
          <w:p>
            <w:pPr>
              <w:spacing w:after="0"/>
              <w:rPr>
                <w:sz w:val="11"/>
                <w:szCs w:val="11"/>
                <w:color w:val="auto"/>
              </w:rPr>
            </w:pPr>
          </w:p>
        </w:tc>
        <w:tc>
          <w:tcPr>
            <w:tcW w:w="25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5"/>
              </w:rPr>
              <w:t>Personal Products</w:t>
            </w:r>
          </w:p>
        </w:tc>
        <w:tc>
          <w:tcPr>
            <w:tcW w:w="1220" w:type="dxa"/>
            <w:vAlign w:val="bottom"/>
            <w:gridSpan w:val="3"/>
          </w:tcPr>
          <w:p>
            <w:pPr>
              <w:jc w:val="right"/>
              <w:ind w:right="20"/>
              <w:spacing w:after="0"/>
              <w:rPr>
                <w:sz w:val="20"/>
                <w:szCs w:val="20"/>
                <w:color w:val="auto"/>
              </w:rPr>
            </w:pPr>
            <w:r>
              <w:rPr>
                <w:rFonts w:ascii="Times New Roman" w:cs="Times New Roman" w:eastAsia="Times New Roman" w:hAnsi="Times New Roman"/>
                <w:sz w:val="11"/>
                <w:szCs w:val="11"/>
                <w:color w:val="auto"/>
              </w:rPr>
              <w:t>7.00 %</w:t>
            </w:r>
          </w:p>
        </w:tc>
        <w:tc>
          <w:tcPr>
            <w:tcW w:w="14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L+600</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2,459</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2,459</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2,410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360" w:type="dxa"/>
            <w:vAlign w:val="bottom"/>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Dr. Squatch, LLC (Revolver) </w:t>
            </w:r>
            <w:r>
              <w:rPr>
                <w:rFonts w:ascii="Times New Roman" w:cs="Times New Roman" w:eastAsia="Times New Roman" w:hAnsi="Times New Roman"/>
                <w:sz w:val="14"/>
                <w:szCs w:val="14"/>
                <w:color w:val="auto"/>
                <w:vertAlign w:val="superscript"/>
              </w:rPr>
              <w:t>(7), (9)</w:t>
            </w:r>
          </w:p>
        </w:tc>
        <w:tc>
          <w:tcPr>
            <w:tcW w:w="880" w:type="dxa"/>
            <w:vAlign w:val="bottom"/>
            <w:gridSpan w:val="2"/>
          </w:tcPr>
          <w:p>
            <w:pPr>
              <w:ind w:left="260"/>
              <w:spacing w:after="0"/>
              <w:rPr>
                <w:sz w:val="20"/>
                <w:szCs w:val="20"/>
                <w:color w:val="auto"/>
              </w:rPr>
            </w:pPr>
            <w:r>
              <w:rPr>
                <w:rFonts w:ascii="Times New Roman" w:cs="Times New Roman" w:eastAsia="Times New Roman" w:hAnsi="Times New Roman"/>
                <w:sz w:val="11"/>
                <w:szCs w:val="11"/>
                <w:color w:val="auto"/>
              </w:rPr>
              <w:t>08/27/2026</w:t>
            </w:r>
          </w:p>
        </w:tc>
        <w:tc>
          <w:tcPr>
            <w:tcW w:w="140" w:type="dxa"/>
            <w:vAlign w:val="bottom"/>
          </w:tcPr>
          <w:p>
            <w:pPr>
              <w:spacing w:after="0"/>
              <w:rPr>
                <w:sz w:val="13"/>
                <w:szCs w:val="13"/>
                <w:color w:val="auto"/>
              </w:rPr>
            </w:pPr>
          </w:p>
        </w:tc>
        <w:tc>
          <w:tcPr>
            <w:tcW w:w="25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5"/>
              </w:rPr>
              <w:t>Personal Products</w:t>
            </w:r>
          </w:p>
        </w:tc>
        <w:tc>
          <w:tcPr>
            <w:tcW w:w="120" w:type="dxa"/>
            <w:vAlign w:val="bottom"/>
          </w:tcPr>
          <w:p>
            <w:pPr>
              <w:spacing w:after="0"/>
              <w:rPr>
                <w:sz w:val="13"/>
                <w:szCs w:val="13"/>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894</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(18 )</w:t>
            </w:r>
          </w:p>
        </w:tc>
        <w:tc>
          <w:tcPr>
            <w:tcW w:w="0" w:type="dxa"/>
            <w:vAlign w:val="bottom"/>
          </w:tcPr>
          <w:p>
            <w:pPr>
              <w:spacing w:after="0"/>
              <w:rPr>
                <w:sz w:val="1"/>
                <w:szCs w:val="1"/>
                <w:color w:val="auto"/>
              </w:rPr>
            </w:pPr>
          </w:p>
        </w:tc>
      </w:tr>
      <w:tr>
        <w:trPr>
          <w:trHeight w:val="117"/>
        </w:trPr>
        <w:tc>
          <w:tcPr>
            <w:tcW w:w="2360" w:type="dxa"/>
            <w:vAlign w:val="bottom"/>
          </w:tcPr>
          <w:p>
            <w:pPr>
              <w:ind w:left="20"/>
              <w:spacing w:after="0" w:line="117" w:lineRule="exact"/>
              <w:rPr>
                <w:sz w:val="20"/>
                <w:szCs w:val="20"/>
                <w:color w:val="auto"/>
              </w:rPr>
            </w:pPr>
            <w:r>
              <w:rPr>
                <w:rFonts w:ascii="Times New Roman" w:cs="Times New Roman" w:eastAsia="Times New Roman" w:hAnsi="Times New Roman"/>
                <w:sz w:val="11"/>
                <w:szCs w:val="11"/>
                <w:color w:val="auto"/>
              </w:rPr>
              <w:t>DRS Holdings III, Inc.</w:t>
            </w:r>
          </w:p>
        </w:tc>
        <w:tc>
          <w:tcPr>
            <w:tcW w:w="880" w:type="dxa"/>
            <w:vAlign w:val="bottom"/>
            <w:gridSpan w:val="2"/>
          </w:tcPr>
          <w:p>
            <w:pPr>
              <w:ind w:left="260"/>
              <w:spacing w:after="0" w:line="117" w:lineRule="exact"/>
              <w:rPr>
                <w:sz w:val="20"/>
                <w:szCs w:val="20"/>
                <w:color w:val="auto"/>
              </w:rPr>
            </w:pPr>
            <w:r>
              <w:rPr>
                <w:rFonts w:ascii="Times New Roman" w:cs="Times New Roman" w:eastAsia="Times New Roman" w:hAnsi="Times New Roman"/>
                <w:sz w:val="11"/>
                <w:szCs w:val="11"/>
                <w:color w:val="auto"/>
              </w:rPr>
              <w:t>11/03/2025</w:t>
            </w:r>
          </w:p>
        </w:tc>
        <w:tc>
          <w:tcPr>
            <w:tcW w:w="140" w:type="dxa"/>
            <w:vAlign w:val="bottom"/>
          </w:tcPr>
          <w:p>
            <w:pPr>
              <w:spacing w:after="0"/>
              <w:rPr>
                <w:sz w:val="10"/>
                <w:szCs w:val="10"/>
                <w:color w:val="auto"/>
              </w:rPr>
            </w:pPr>
          </w:p>
        </w:tc>
        <w:tc>
          <w:tcPr>
            <w:tcW w:w="256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color w:val="auto"/>
                <w:w w:val="95"/>
              </w:rPr>
              <w:t>Personal Products</w:t>
            </w:r>
          </w:p>
        </w:tc>
        <w:tc>
          <w:tcPr>
            <w:tcW w:w="1220" w:type="dxa"/>
            <w:vAlign w:val="bottom"/>
            <w:gridSpan w:val="3"/>
          </w:tcPr>
          <w:p>
            <w:pPr>
              <w:jc w:val="right"/>
              <w:ind w:right="20"/>
              <w:spacing w:after="0" w:line="117" w:lineRule="exact"/>
              <w:rPr>
                <w:sz w:val="20"/>
                <w:szCs w:val="20"/>
                <w:color w:val="auto"/>
              </w:rPr>
            </w:pPr>
            <w:r>
              <w:rPr>
                <w:rFonts w:ascii="Times New Roman" w:cs="Times New Roman" w:eastAsia="Times New Roman" w:hAnsi="Times New Roman"/>
                <w:sz w:val="11"/>
                <w:szCs w:val="11"/>
                <w:color w:val="auto"/>
              </w:rPr>
              <w:t>7.25 %</w:t>
            </w:r>
          </w:p>
        </w:tc>
        <w:tc>
          <w:tcPr>
            <w:tcW w:w="140" w:type="dxa"/>
            <w:vAlign w:val="bottom"/>
          </w:tcPr>
          <w:p>
            <w:pPr>
              <w:spacing w:after="0"/>
              <w:rPr>
                <w:sz w:val="10"/>
                <w:szCs w:val="10"/>
                <w:color w:val="auto"/>
              </w:rPr>
            </w:pPr>
          </w:p>
        </w:tc>
        <w:tc>
          <w:tcPr>
            <w:tcW w:w="78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3M L+625</w:t>
            </w:r>
          </w:p>
        </w:tc>
        <w:tc>
          <w:tcPr>
            <w:tcW w:w="104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1"/>
                <w:szCs w:val="11"/>
                <w:color w:val="auto"/>
              </w:rPr>
              <w:t>17,671</w:t>
            </w: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17,515</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17,547</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3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 xml:space="preserve">DRS Holdings III, Inc. (Revolver) </w:t>
            </w:r>
            <w:r>
              <w:rPr>
                <w:rFonts w:ascii="Times New Roman" w:cs="Times New Roman" w:eastAsia="Times New Roman" w:hAnsi="Times New Roman"/>
                <w:sz w:val="14"/>
                <w:szCs w:val="14"/>
                <w:color w:val="auto"/>
                <w:vertAlign w:val="superscript"/>
              </w:rPr>
              <w:t>(7), (9)</w:t>
            </w:r>
          </w:p>
        </w:tc>
        <w:tc>
          <w:tcPr>
            <w:tcW w:w="880" w:type="dxa"/>
            <w:vAlign w:val="bottom"/>
            <w:gridSpan w:val="2"/>
          </w:tcPr>
          <w:p>
            <w:pPr>
              <w:ind w:left="260"/>
              <w:spacing w:after="0"/>
              <w:rPr>
                <w:sz w:val="20"/>
                <w:szCs w:val="20"/>
                <w:color w:val="auto"/>
              </w:rPr>
            </w:pPr>
            <w:r>
              <w:rPr>
                <w:rFonts w:ascii="Times New Roman" w:cs="Times New Roman" w:eastAsia="Times New Roman" w:hAnsi="Times New Roman"/>
                <w:sz w:val="11"/>
                <w:szCs w:val="11"/>
                <w:color w:val="auto"/>
              </w:rPr>
              <w:t>11/03/2025</w:t>
            </w:r>
          </w:p>
        </w:tc>
        <w:tc>
          <w:tcPr>
            <w:tcW w:w="140" w:type="dxa"/>
            <w:vAlign w:val="bottom"/>
          </w:tcPr>
          <w:p>
            <w:pPr>
              <w:spacing w:after="0"/>
              <w:rPr>
                <w:sz w:val="14"/>
                <w:szCs w:val="14"/>
                <w:color w:val="auto"/>
              </w:rPr>
            </w:pPr>
          </w:p>
        </w:tc>
        <w:tc>
          <w:tcPr>
            <w:tcW w:w="25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5"/>
              </w:rPr>
              <w:t>Personal Products</w:t>
            </w:r>
          </w:p>
        </w:tc>
        <w:tc>
          <w:tcPr>
            <w:tcW w:w="120" w:type="dxa"/>
            <w:vAlign w:val="bottom"/>
          </w:tcPr>
          <w:p>
            <w:pPr>
              <w:spacing w:after="0"/>
              <w:rPr>
                <w:sz w:val="14"/>
                <w:szCs w:val="14"/>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1,426</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(10 )</w:t>
            </w:r>
          </w:p>
        </w:tc>
        <w:tc>
          <w:tcPr>
            <w:tcW w:w="0" w:type="dxa"/>
            <w:vAlign w:val="bottom"/>
          </w:tcPr>
          <w:p>
            <w:pPr>
              <w:spacing w:after="0"/>
              <w:rPr>
                <w:sz w:val="1"/>
                <w:szCs w:val="1"/>
                <w:color w:val="auto"/>
              </w:rPr>
            </w:pPr>
          </w:p>
        </w:tc>
      </w:tr>
      <w:tr>
        <w:trPr>
          <w:trHeight w:val="121"/>
        </w:trPr>
        <w:tc>
          <w:tcPr>
            <w:tcW w:w="2360" w:type="dxa"/>
            <w:vAlign w:val="bottom"/>
            <w:shd w:val="clear" w:color="auto" w:fill="CCECFF"/>
          </w:tcPr>
          <w:p>
            <w:pPr>
              <w:ind w:left="20"/>
              <w:spacing w:after="0" w:line="122" w:lineRule="exact"/>
              <w:rPr>
                <w:sz w:val="20"/>
                <w:szCs w:val="20"/>
                <w:color w:val="auto"/>
              </w:rPr>
            </w:pPr>
            <w:r>
              <w:rPr>
                <w:rFonts w:ascii="Times New Roman" w:cs="Times New Roman" w:eastAsia="Times New Roman" w:hAnsi="Times New Roman"/>
                <w:sz w:val="11"/>
                <w:szCs w:val="11"/>
                <w:color w:val="auto"/>
              </w:rPr>
              <w:t>East Valley Tourist Development Authority</w:t>
            </w:r>
          </w:p>
        </w:tc>
        <w:tc>
          <w:tcPr>
            <w:tcW w:w="880" w:type="dxa"/>
            <w:vAlign w:val="bottom"/>
            <w:gridSpan w:val="2"/>
            <w:shd w:val="clear" w:color="auto" w:fill="CCECFF"/>
          </w:tcPr>
          <w:p>
            <w:pPr>
              <w:ind w:left="260"/>
              <w:spacing w:after="0" w:line="122" w:lineRule="exact"/>
              <w:rPr>
                <w:sz w:val="20"/>
                <w:szCs w:val="20"/>
                <w:color w:val="auto"/>
              </w:rPr>
            </w:pPr>
            <w:r>
              <w:rPr>
                <w:rFonts w:ascii="Times New Roman" w:cs="Times New Roman" w:eastAsia="Times New Roman" w:hAnsi="Times New Roman"/>
                <w:sz w:val="11"/>
                <w:szCs w:val="11"/>
                <w:color w:val="auto"/>
              </w:rPr>
              <w:t>03/07/2022</w:t>
            </w:r>
          </w:p>
        </w:tc>
        <w:tc>
          <w:tcPr>
            <w:tcW w:w="140" w:type="dxa"/>
            <w:vAlign w:val="bottom"/>
            <w:shd w:val="clear" w:color="auto" w:fill="CCECFF"/>
          </w:tcPr>
          <w:p>
            <w:pPr>
              <w:spacing w:after="0"/>
              <w:rPr>
                <w:sz w:val="10"/>
                <w:szCs w:val="10"/>
                <w:color w:val="auto"/>
              </w:rPr>
            </w:pPr>
          </w:p>
        </w:tc>
        <w:tc>
          <w:tcPr>
            <w:tcW w:w="256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6"/>
              </w:rPr>
              <w:t>Hotel, Gaming and Leisure</w:t>
            </w:r>
          </w:p>
        </w:tc>
        <w:tc>
          <w:tcPr>
            <w:tcW w:w="1220" w:type="dxa"/>
            <w:vAlign w:val="bottom"/>
            <w:gridSpan w:val="3"/>
            <w:shd w:val="clear" w:color="auto" w:fill="CCECFF"/>
          </w:tcPr>
          <w:p>
            <w:pPr>
              <w:jc w:val="right"/>
              <w:ind w:right="20"/>
              <w:spacing w:after="0" w:line="122" w:lineRule="exact"/>
              <w:rPr>
                <w:sz w:val="20"/>
                <w:szCs w:val="20"/>
                <w:color w:val="auto"/>
              </w:rPr>
            </w:pPr>
            <w:r>
              <w:rPr>
                <w:rFonts w:ascii="Times New Roman" w:cs="Times New Roman" w:eastAsia="Times New Roman" w:hAnsi="Times New Roman"/>
                <w:sz w:val="11"/>
                <w:szCs w:val="11"/>
                <w:color w:val="auto"/>
              </w:rPr>
              <w:t>9.00 %</w:t>
            </w:r>
          </w:p>
        </w:tc>
        <w:tc>
          <w:tcPr>
            <w:tcW w:w="140" w:type="dxa"/>
            <w:vAlign w:val="bottom"/>
            <w:shd w:val="clear" w:color="auto" w:fill="CCECFF"/>
          </w:tcPr>
          <w:p>
            <w:pPr>
              <w:spacing w:after="0"/>
              <w:rPr>
                <w:sz w:val="10"/>
                <w:szCs w:val="10"/>
                <w:color w:val="auto"/>
              </w:rPr>
            </w:pPr>
          </w:p>
        </w:tc>
        <w:tc>
          <w:tcPr>
            <w:tcW w:w="78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3M L+800</w:t>
            </w:r>
          </w:p>
        </w:tc>
        <w:tc>
          <w:tcPr>
            <w:tcW w:w="104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13,217</w:t>
            </w:r>
          </w:p>
        </w:tc>
        <w:tc>
          <w:tcPr>
            <w:tcW w:w="220" w:type="dxa"/>
            <w:vAlign w:val="bottom"/>
            <w:shd w:val="clear" w:color="auto" w:fill="CCECFF"/>
          </w:tcPr>
          <w:p>
            <w:pPr>
              <w:spacing w:after="0"/>
              <w:rPr>
                <w:sz w:val="10"/>
                <w:szCs w:val="10"/>
                <w:color w:val="auto"/>
              </w:rPr>
            </w:pPr>
          </w:p>
        </w:tc>
        <w:tc>
          <w:tcPr>
            <w:tcW w:w="180" w:type="dxa"/>
            <w:vAlign w:val="bottom"/>
            <w:shd w:val="clear" w:color="auto" w:fill="CCECFF"/>
          </w:tcPr>
          <w:p>
            <w:pPr>
              <w:spacing w:after="0"/>
              <w:rPr>
                <w:sz w:val="10"/>
                <w:szCs w:val="10"/>
                <w:color w:val="auto"/>
              </w:rPr>
            </w:pPr>
          </w:p>
        </w:tc>
        <w:tc>
          <w:tcPr>
            <w:tcW w:w="60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13,191</w:t>
            </w:r>
          </w:p>
        </w:tc>
        <w:tc>
          <w:tcPr>
            <w:tcW w:w="22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c>
          <w:tcPr>
            <w:tcW w:w="72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13,019</w:t>
            </w:r>
          </w:p>
        </w:tc>
        <w:tc>
          <w:tcPr>
            <w:tcW w:w="1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36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74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256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110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(PIK 3.50%)</w:t>
            </w:r>
          </w:p>
        </w:tc>
        <w:tc>
          <w:tcPr>
            <w:tcW w:w="140" w:type="dxa"/>
            <w:vAlign w:val="bottom"/>
            <w:shd w:val="clear" w:color="auto" w:fill="CCECFF"/>
          </w:tcPr>
          <w:p>
            <w:pPr>
              <w:spacing w:after="0"/>
              <w:rPr>
                <w:sz w:val="12"/>
                <w:szCs w:val="12"/>
                <w:color w:val="auto"/>
              </w:rPr>
            </w:pPr>
          </w:p>
        </w:tc>
        <w:tc>
          <w:tcPr>
            <w:tcW w:w="78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82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60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7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03"/>
        </w:trPr>
        <w:tc>
          <w:tcPr>
            <w:tcW w:w="2360" w:type="dxa"/>
            <w:vAlign w:val="bottom"/>
          </w:tcPr>
          <w:p>
            <w:pPr>
              <w:ind w:left="20"/>
              <w:spacing w:after="0" w:line="103" w:lineRule="exact"/>
              <w:rPr>
                <w:sz w:val="20"/>
                <w:szCs w:val="20"/>
                <w:color w:val="auto"/>
              </w:rPr>
            </w:pPr>
            <w:r>
              <w:rPr>
                <w:rFonts w:ascii="Times New Roman" w:cs="Times New Roman" w:eastAsia="Times New Roman" w:hAnsi="Times New Roman"/>
                <w:sz w:val="11"/>
                <w:szCs w:val="11"/>
                <w:color w:val="auto"/>
              </w:rPr>
              <w:t>ECL Entertainment, LLC</w:t>
            </w:r>
          </w:p>
        </w:tc>
        <w:tc>
          <w:tcPr>
            <w:tcW w:w="880" w:type="dxa"/>
            <w:vAlign w:val="bottom"/>
            <w:gridSpan w:val="2"/>
          </w:tcPr>
          <w:p>
            <w:pPr>
              <w:ind w:left="260"/>
              <w:spacing w:after="0" w:line="103" w:lineRule="exact"/>
              <w:rPr>
                <w:sz w:val="20"/>
                <w:szCs w:val="20"/>
                <w:color w:val="auto"/>
              </w:rPr>
            </w:pPr>
            <w:r>
              <w:rPr>
                <w:rFonts w:ascii="Times New Roman" w:cs="Times New Roman" w:eastAsia="Times New Roman" w:hAnsi="Times New Roman"/>
                <w:sz w:val="11"/>
                <w:szCs w:val="11"/>
                <w:color w:val="auto"/>
              </w:rPr>
              <w:t>03/31/2028</w:t>
            </w:r>
          </w:p>
        </w:tc>
        <w:tc>
          <w:tcPr>
            <w:tcW w:w="140" w:type="dxa"/>
            <w:vAlign w:val="bottom"/>
          </w:tcPr>
          <w:p>
            <w:pPr>
              <w:spacing w:after="0"/>
              <w:rPr>
                <w:sz w:val="8"/>
                <w:szCs w:val="8"/>
                <w:color w:val="auto"/>
              </w:rPr>
            </w:pPr>
          </w:p>
        </w:tc>
        <w:tc>
          <w:tcPr>
            <w:tcW w:w="2560" w:type="dxa"/>
            <w:vAlign w:val="bottom"/>
          </w:tcPr>
          <w:p>
            <w:pPr>
              <w:jc w:val="center"/>
              <w:spacing w:after="0" w:line="103" w:lineRule="exact"/>
              <w:rPr>
                <w:sz w:val="20"/>
                <w:szCs w:val="20"/>
                <w:color w:val="auto"/>
              </w:rPr>
            </w:pPr>
            <w:r>
              <w:rPr>
                <w:rFonts w:ascii="Times New Roman" w:cs="Times New Roman" w:eastAsia="Times New Roman" w:hAnsi="Times New Roman"/>
                <w:sz w:val="11"/>
                <w:szCs w:val="11"/>
                <w:color w:val="auto"/>
                <w:w w:val="97"/>
              </w:rPr>
              <w:t>Hotels, Restaurants and Leisure</w:t>
            </w:r>
          </w:p>
        </w:tc>
        <w:tc>
          <w:tcPr>
            <w:tcW w:w="1220" w:type="dxa"/>
            <w:vAlign w:val="bottom"/>
            <w:gridSpan w:val="3"/>
          </w:tcPr>
          <w:p>
            <w:pPr>
              <w:jc w:val="right"/>
              <w:ind w:right="20"/>
              <w:spacing w:after="0" w:line="103" w:lineRule="exact"/>
              <w:rPr>
                <w:sz w:val="20"/>
                <w:szCs w:val="20"/>
                <w:color w:val="auto"/>
              </w:rPr>
            </w:pPr>
            <w:r>
              <w:rPr>
                <w:rFonts w:ascii="Times New Roman" w:cs="Times New Roman" w:eastAsia="Times New Roman" w:hAnsi="Times New Roman"/>
                <w:sz w:val="11"/>
                <w:szCs w:val="11"/>
                <w:color w:val="auto"/>
              </w:rPr>
              <w:t>8.25 %</w:t>
            </w:r>
          </w:p>
        </w:tc>
        <w:tc>
          <w:tcPr>
            <w:tcW w:w="140" w:type="dxa"/>
            <w:vAlign w:val="bottom"/>
          </w:tcPr>
          <w:p>
            <w:pPr>
              <w:spacing w:after="0"/>
              <w:rPr>
                <w:sz w:val="8"/>
                <w:szCs w:val="8"/>
                <w:color w:val="auto"/>
              </w:rPr>
            </w:pPr>
          </w:p>
        </w:tc>
        <w:tc>
          <w:tcPr>
            <w:tcW w:w="780" w:type="dxa"/>
            <w:vAlign w:val="bottom"/>
          </w:tcPr>
          <w:p>
            <w:pPr>
              <w:jc w:val="right"/>
              <w:spacing w:after="0" w:line="103" w:lineRule="exact"/>
              <w:rPr>
                <w:sz w:val="20"/>
                <w:szCs w:val="20"/>
                <w:color w:val="auto"/>
              </w:rPr>
            </w:pPr>
            <w:r>
              <w:rPr>
                <w:rFonts w:ascii="Times New Roman" w:cs="Times New Roman" w:eastAsia="Times New Roman" w:hAnsi="Times New Roman"/>
                <w:sz w:val="11"/>
                <w:szCs w:val="11"/>
                <w:color w:val="auto"/>
              </w:rPr>
              <w:t>1M L+750</w:t>
            </w:r>
          </w:p>
        </w:tc>
        <w:tc>
          <w:tcPr>
            <w:tcW w:w="1040" w:type="dxa"/>
            <w:vAlign w:val="bottom"/>
            <w:gridSpan w:val="2"/>
          </w:tcPr>
          <w:p>
            <w:pPr>
              <w:jc w:val="right"/>
              <w:spacing w:after="0" w:line="103" w:lineRule="exact"/>
              <w:rPr>
                <w:sz w:val="20"/>
                <w:szCs w:val="20"/>
                <w:color w:val="auto"/>
              </w:rPr>
            </w:pPr>
            <w:r>
              <w:rPr>
                <w:rFonts w:ascii="Times New Roman" w:cs="Times New Roman" w:eastAsia="Times New Roman" w:hAnsi="Times New Roman"/>
                <w:sz w:val="11"/>
                <w:szCs w:val="11"/>
                <w:color w:val="auto"/>
              </w:rPr>
              <w:t>5,256</w:t>
            </w: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tcPr>
          <w:p>
            <w:pPr>
              <w:jc w:val="right"/>
              <w:spacing w:after="0" w:line="103" w:lineRule="exact"/>
              <w:rPr>
                <w:sz w:val="20"/>
                <w:szCs w:val="20"/>
                <w:color w:val="auto"/>
              </w:rPr>
            </w:pPr>
            <w:r>
              <w:rPr>
                <w:rFonts w:ascii="Times New Roman" w:cs="Times New Roman" w:eastAsia="Times New Roman" w:hAnsi="Times New Roman"/>
                <w:sz w:val="11"/>
                <w:szCs w:val="11"/>
                <w:color w:val="auto"/>
              </w:rPr>
              <w:t>5,205</w:t>
            </w: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jc w:val="right"/>
              <w:spacing w:after="0" w:line="103" w:lineRule="exact"/>
              <w:rPr>
                <w:sz w:val="20"/>
                <w:szCs w:val="20"/>
                <w:color w:val="auto"/>
              </w:rPr>
            </w:pPr>
            <w:r>
              <w:rPr>
                <w:rFonts w:ascii="Times New Roman" w:cs="Times New Roman" w:eastAsia="Times New Roman" w:hAnsi="Times New Roman"/>
                <w:sz w:val="11"/>
                <w:szCs w:val="11"/>
                <w:color w:val="auto"/>
              </w:rPr>
              <w:t>5,374</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236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ECM Industries, LLC (Revolver) </w:t>
            </w:r>
            <w:r>
              <w:rPr>
                <w:rFonts w:ascii="Times New Roman" w:cs="Times New Roman" w:eastAsia="Times New Roman" w:hAnsi="Times New Roman"/>
                <w:sz w:val="14"/>
                <w:szCs w:val="14"/>
                <w:color w:val="auto"/>
                <w:vertAlign w:val="superscript"/>
              </w:rPr>
              <w:t>(9)</w:t>
            </w:r>
          </w:p>
        </w:tc>
        <w:tc>
          <w:tcPr>
            <w:tcW w:w="880" w:type="dxa"/>
            <w:vAlign w:val="bottom"/>
            <w:gridSpan w:val="2"/>
          </w:tcPr>
          <w:p>
            <w:pPr>
              <w:ind w:left="260"/>
              <w:spacing w:after="0"/>
              <w:rPr>
                <w:sz w:val="20"/>
                <w:szCs w:val="20"/>
                <w:color w:val="auto"/>
              </w:rPr>
            </w:pPr>
            <w:r>
              <w:rPr>
                <w:rFonts w:ascii="Times New Roman" w:cs="Times New Roman" w:eastAsia="Times New Roman" w:hAnsi="Times New Roman"/>
                <w:sz w:val="11"/>
                <w:szCs w:val="11"/>
                <w:color w:val="auto"/>
              </w:rPr>
              <w:t>12/23/2025</w:t>
            </w:r>
          </w:p>
        </w:tc>
        <w:tc>
          <w:tcPr>
            <w:tcW w:w="140" w:type="dxa"/>
            <w:vAlign w:val="bottom"/>
          </w:tcPr>
          <w:p>
            <w:pPr>
              <w:spacing w:after="0"/>
              <w:rPr>
                <w:sz w:val="11"/>
                <w:szCs w:val="11"/>
                <w:color w:val="auto"/>
              </w:rPr>
            </w:pPr>
          </w:p>
        </w:tc>
        <w:tc>
          <w:tcPr>
            <w:tcW w:w="25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Electronic Equipment, Instruments, and Components</w:t>
            </w:r>
          </w:p>
        </w:tc>
        <w:tc>
          <w:tcPr>
            <w:tcW w:w="120" w:type="dxa"/>
            <w:vAlign w:val="bottom"/>
          </w:tcPr>
          <w:p>
            <w:pPr>
              <w:spacing w:after="0"/>
              <w:rPr>
                <w:sz w:val="11"/>
                <w:szCs w:val="11"/>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914</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(5 )</w:t>
            </w:r>
          </w:p>
        </w:tc>
        <w:tc>
          <w:tcPr>
            <w:tcW w:w="0" w:type="dxa"/>
            <w:vAlign w:val="bottom"/>
          </w:tcPr>
          <w:p>
            <w:pPr>
              <w:spacing w:after="0"/>
              <w:rPr>
                <w:sz w:val="1"/>
                <w:szCs w:val="1"/>
                <w:color w:val="auto"/>
              </w:rPr>
            </w:pPr>
          </w:p>
        </w:tc>
      </w:tr>
      <w:tr>
        <w:trPr>
          <w:trHeight w:val="135"/>
        </w:trPr>
        <w:tc>
          <w:tcPr>
            <w:tcW w:w="236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eCommission Financial Services, Inc. </w:t>
            </w:r>
            <w:r>
              <w:rPr>
                <w:rFonts w:ascii="Times New Roman" w:cs="Times New Roman" w:eastAsia="Times New Roman" w:hAnsi="Times New Roman"/>
                <w:sz w:val="14"/>
                <w:szCs w:val="14"/>
                <w:color w:val="auto"/>
                <w:vertAlign w:val="superscript"/>
              </w:rPr>
              <w:t>(10)</w:t>
            </w:r>
          </w:p>
        </w:tc>
        <w:tc>
          <w:tcPr>
            <w:tcW w:w="880" w:type="dxa"/>
            <w:vAlign w:val="bottom"/>
            <w:gridSpan w:val="2"/>
          </w:tcPr>
          <w:p>
            <w:pPr>
              <w:ind w:left="260"/>
              <w:spacing w:after="0"/>
              <w:rPr>
                <w:sz w:val="20"/>
                <w:szCs w:val="20"/>
                <w:color w:val="auto"/>
              </w:rPr>
            </w:pPr>
            <w:r>
              <w:rPr>
                <w:rFonts w:ascii="Times New Roman" w:cs="Times New Roman" w:eastAsia="Times New Roman" w:hAnsi="Times New Roman"/>
                <w:sz w:val="11"/>
                <w:szCs w:val="11"/>
                <w:color w:val="auto"/>
              </w:rPr>
              <w:t>10/05/2023</w:t>
            </w:r>
          </w:p>
        </w:tc>
        <w:tc>
          <w:tcPr>
            <w:tcW w:w="140" w:type="dxa"/>
            <w:vAlign w:val="bottom"/>
          </w:tcPr>
          <w:p>
            <w:pPr>
              <w:spacing w:after="0"/>
              <w:rPr>
                <w:sz w:val="11"/>
                <w:szCs w:val="11"/>
                <w:color w:val="auto"/>
              </w:rPr>
            </w:pPr>
          </w:p>
        </w:tc>
        <w:tc>
          <w:tcPr>
            <w:tcW w:w="25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Banking, Finance, Insurance &amp; Real Estate</w:t>
            </w:r>
          </w:p>
        </w:tc>
        <w:tc>
          <w:tcPr>
            <w:tcW w:w="1220" w:type="dxa"/>
            <w:vAlign w:val="bottom"/>
            <w:gridSpan w:val="3"/>
          </w:tcPr>
          <w:p>
            <w:pPr>
              <w:jc w:val="right"/>
              <w:ind w:right="20"/>
              <w:spacing w:after="0"/>
              <w:rPr>
                <w:sz w:val="20"/>
                <w:szCs w:val="20"/>
                <w:color w:val="auto"/>
              </w:rPr>
            </w:pPr>
            <w:r>
              <w:rPr>
                <w:rFonts w:ascii="Times New Roman" w:cs="Times New Roman" w:eastAsia="Times New Roman" w:hAnsi="Times New Roman"/>
                <w:sz w:val="11"/>
                <w:szCs w:val="11"/>
                <w:color w:val="auto"/>
              </w:rPr>
              <w:t>6.00 %</w:t>
            </w:r>
          </w:p>
        </w:tc>
        <w:tc>
          <w:tcPr>
            <w:tcW w:w="14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1M L+500</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6,951</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6,951</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6,951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2360" w:type="dxa"/>
            <w:vAlign w:val="bottom"/>
          </w:tcPr>
          <w:p>
            <w:pPr>
              <w:ind w:left="20"/>
              <w:spacing w:after="0" w:line="127" w:lineRule="exact"/>
              <w:rPr>
                <w:sz w:val="20"/>
                <w:szCs w:val="20"/>
                <w:color w:val="auto"/>
              </w:rPr>
            </w:pPr>
            <w:r>
              <w:rPr>
                <w:rFonts w:ascii="Times New Roman" w:cs="Times New Roman" w:eastAsia="Times New Roman" w:hAnsi="Times New Roman"/>
                <w:sz w:val="11"/>
                <w:szCs w:val="11"/>
                <w:color w:val="auto"/>
                <w:w w:val="99"/>
              </w:rPr>
              <w:t xml:space="preserve">eCommission Financial Services, Inc. (Revolver) </w:t>
            </w:r>
            <w:r>
              <w:rPr>
                <w:rFonts w:ascii="Times New Roman" w:cs="Times New Roman" w:eastAsia="Times New Roman" w:hAnsi="Times New Roman"/>
                <w:sz w:val="14"/>
                <w:szCs w:val="14"/>
                <w:color w:val="auto"/>
                <w:w w:val="99"/>
                <w:vertAlign w:val="superscript"/>
              </w:rPr>
              <w:t>(7),</w:t>
            </w:r>
          </w:p>
        </w:tc>
        <w:tc>
          <w:tcPr>
            <w:tcW w:w="880" w:type="dxa"/>
            <w:vAlign w:val="bottom"/>
            <w:gridSpan w:val="2"/>
          </w:tcPr>
          <w:p>
            <w:pPr>
              <w:ind w:left="260"/>
              <w:spacing w:after="0"/>
              <w:rPr>
                <w:sz w:val="20"/>
                <w:szCs w:val="20"/>
                <w:color w:val="auto"/>
              </w:rPr>
            </w:pPr>
            <w:r>
              <w:rPr>
                <w:rFonts w:ascii="Times New Roman" w:cs="Times New Roman" w:eastAsia="Times New Roman" w:hAnsi="Times New Roman"/>
                <w:sz w:val="11"/>
                <w:szCs w:val="11"/>
                <w:color w:val="auto"/>
              </w:rPr>
              <w:t>10/05/2023</w:t>
            </w:r>
          </w:p>
        </w:tc>
        <w:tc>
          <w:tcPr>
            <w:tcW w:w="140" w:type="dxa"/>
            <w:vAlign w:val="bottom"/>
          </w:tcPr>
          <w:p>
            <w:pPr>
              <w:spacing w:after="0"/>
              <w:rPr>
                <w:sz w:val="10"/>
                <w:szCs w:val="10"/>
                <w:color w:val="auto"/>
              </w:rPr>
            </w:pPr>
          </w:p>
        </w:tc>
        <w:tc>
          <w:tcPr>
            <w:tcW w:w="25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Banking, Finance, Insurance &amp; Real Estate</w:t>
            </w:r>
          </w:p>
        </w:tc>
        <w:tc>
          <w:tcPr>
            <w:tcW w:w="120" w:type="dxa"/>
            <w:vAlign w:val="bottom"/>
          </w:tcPr>
          <w:p>
            <w:pPr>
              <w:spacing w:after="0"/>
              <w:rPr>
                <w:sz w:val="10"/>
                <w:szCs w:val="10"/>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0"/>
                <w:szCs w:val="1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5,000</w:t>
            </w: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94"/>
        </w:trPr>
        <w:tc>
          <w:tcPr>
            <w:tcW w:w="2360" w:type="dxa"/>
            <w:vAlign w:val="bottom"/>
          </w:tcPr>
          <w:p>
            <w:pPr>
              <w:ind w:left="20"/>
              <w:spacing w:after="0"/>
              <w:rPr>
                <w:sz w:val="20"/>
                <w:szCs w:val="20"/>
                <w:color w:val="auto"/>
              </w:rPr>
            </w:pPr>
            <w:r>
              <w:rPr>
                <w:rFonts w:ascii="Times New Roman" w:cs="Times New Roman" w:eastAsia="Times New Roman" w:hAnsi="Times New Roman"/>
                <w:sz w:val="7"/>
                <w:szCs w:val="7"/>
                <w:color w:val="auto"/>
              </w:rPr>
              <w:t>(9), (10)</w:t>
            </w:r>
          </w:p>
        </w:tc>
        <w:tc>
          <w:tcPr>
            <w:tcW w:w="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40" w:type="dxa"/>
            <w:vAlign w:val="bottom"/>
          </w:tcPr>
          <w:p>
            <w:pPr>
              <w:spacing w:after="0"/>
              <w:rPr>
                <w:sz w:val="8"/>
                <w:szCs w:val="8"/>
                <w:color w:val="auto"/>
              </w:rPr>
            </w:pPr>
          </w:p>
        </w:tc>
        <w:tc>
          <w:tcPr>
            <w:tcW w:w="2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9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78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2360" w:type="dxa"/>
            <w:vAlign w:val="bottom"/>
          </w:tcPr>
          <w:p>
            <w:pPr>
              <w:ind w:left="20"/>
              <w:spacing w:after="0" w:line="122" w:lineRule="exact"/>
              <w:rPr>
                <w:sz w:val="20"/>
                <w:szCs w:val="20"/>
                <w:color w:val="auto"/>
              </w:rPr>
            </w:pPr>
            <w:r>
              <w:rPr>
                <w:rFonts w:ascii="Times New Roman" w:cs="Times New Roman" w:eastAsia="Times New Roman" w:hAnsi="Times New Roman"/>
                <w:sz w:val="11"/>
                <w:szCs w:val="11"/>
                <w:color w:val="auto"/>
              </w:rPr>
              <w:t>Efficient Collaborative Retail Marketing Company,</w:t>
            </w:r>
          </w:p>
        </w:tc>
        <w:tc>
          <w:tcPr>
            <w:tcW w:w="880" w:type="dxa"/>
            <w:vAlign w:val="bottom"/>
            <w:gridSpan w:val="2"/>
          </w:tcPr>
          <w:p>
            <w:pPr>
              <w:ind w:left="260"/>
              <w:spacing w:after="0" w:line="122" w:lineRule="exact"/>
              <w:rPr>
                <w:sz w:val="20"/>
                <w:szCs w:val="20"/>
                <w:color w:val="auto"/>
              </w:rPr>
            </w:pPr>
            <w:r>
              <w:rPr>
                <w:rFonts w:ascii="Times New Roman" w:cs="Times New Roman" w:eastAsia="Times New Roman" w:hAnsi="Times New Roman"/>
                <w:sz w:val="11"/>
                <w:szCs w:val="11"/>
                <w:color w:val="auto"/>
              </w:rPr>
              <w:t>06/15/2022</w:t>
            </w:r>
          </w:p>
        </w:tc>
        <w:tc>
          <w:tcPr>
            <w:tcW w:w="140" w:type="dxa"/>
            <w:vAlign w:val="bottom"/>
          </w:tcPr>
          <w:p>
            <w:pPr>
              <w:spacing w:after="0"/>
              <w:rPr>
                <w:sz w:val="10"/>
                <w:szCs w:val="10"/>
                <w:color w:val="auto"/>
              </w:rPr>
            </w:pPr>
          </w:p>
        </w:tc>
        <w:tc>
          <w:tcPr>
            <w:tcW w:w="256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9"/>
              </w:rPr>
              <w:t>Media: Diversified and Production</w:t>
            </w:r>
          </w:p>
        </w:tc>
        <w:tc>
          <w:tcPr>
            <w:tcW w:w="1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3M L+675</w:t>
            </w:r>
          </w:p>
        </w:tc>
        <w:tc>
          <w:tcPr>
            <w:tcW w:w="2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23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LLC</w:t>
            </w: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560" w:type="dxa"/>
            <w:vAlign w:val="bottom"/>
          </w:tcPr>
          <w:p>
            <w:pPr>
              <w:spacing w:after="0"/>
              <w:rPr>
                <w:sz w:val="11"/>
                <w:szCs w:val="11"/>
                <w:color w:val="auto"/>
              </w:rPr>
            </w:pPr>
          </w:p>
        </w:tc>
        <w:tc>
          <w:tcPr>
            <w:tcW w:w="1220" w:type="dxa"/>
            <w:vAlign w:val="bottom"/>
            <w:gridSpan w:val="3"/>
          </w:tcPr>
          <w:p>
            <w:pPr>
              <w:jc w:val="right"/>
              <w:ind w:right="20"/>
              <w:spacing w:after="0"/>
              <w:rPr>
                <w:sz w:val="20"/>
                <w:szCs w:val="20"/>
                <w:color w:val="auto"/>
              </w:rPr>
            </w:pPr>
            <w:r>
              <w:rPr>
                <w:rFonts w:ascii="Times New Roman" w:cs="Times New Roman" w:eastAsia="Times New Roman" w:hAnsi="Times New Roman"/>
                <w:sz w:val="11"/>
                <w:szCs w:val="11"/>
                <w:color w:val="auto"/>
              </w:rPr>
              <w:t>7.75 %</w:t>
            </w: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7,189</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7,180</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7,153</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360" w:type="dxa"/>
            <w:vAlign w:val="bottom"/>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Findex Group Limited </w:t>
            </w:r>
            <w:r>
              <w:rPr>
                <w:rFonts w:ascii="Times New Roman" w:cs="Times New Roman" w:eastAsia="Times New Roman" w:hAnsi="Times New Roman"/>
                <w:sz w:val="14"/>
                <w:szCs w:val="14"/>
                <w:color w:val="auto"/>
                <w:vertAlign w:val="superscript"/>
              </w:rPr>
              <w:t>(5)(10)(11)</w:t>
            </w:r>
          </w:p>
        </w:tc>
        <w:tc>
          <w:tcPr>
            <w:tcW w:w="880" w:type="dxa"/>
            <w:vAlign w:val="bottom"/>
            <w:gridSpan w:val="2"/>
          </w:tcPr>
          <w:p>
            <w:pPr>
              <w:ind w:left="260"/>
              <w:spacing w:after="0"/>
              <w:rPr>
                <w:sz w:val="20"/>
                <w:szCs w:val="20"/>
                <w:color w:val="auto"/>
              </w:rPr>
            </w:pPr>
            <w:r>
              <w:rPr>
                <w:rFonts w:ascii="Times New Roman" w:cs="Times New Roman" w:eastAsia="Times New Roman" w:hAnsi="Times New Roman"/>
                <w:sz w:val="11"/>
                <w:szCs w:val="11"/>
                <w:color w:val="auto"/>
              </w:rPr>
              <w:t>05/31/2024</w:t>
            </w:r>
          </w:p>
        </w:tc>
        <w:tc>
          <w:tcPr>
            <w:tcW w:w="140" w:type="dxa"/>
            <w:vAlign w:val="bottom"/>
          </w:tcPr>
          <w:p>
            <w:pPr>
              <w:spacing w:after="0"/>
              <w:rPr>
                <w:sz w:val="13"/>
                <w:szCs w:val="13"/>
                <w:color w:val="auto"/>
              </w:rPr>
            </w:pPr>
          </w:p>
        </w:tc>
        <w:tc>
          <w:tcPr>
            <w:tcW w:w="25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Diversified Financial Services</w:t>
            </w:r>
          </w:p>
        </w:tc>
        <w:tc>
          <w:tcPr>
            <w:tcW w:w="1220" w:type="dxa"/>
            <w:vAlign w:val="bottom"/>
            <w:gridSpan w:val="3"/>
          </w:tcPr>
          <w:p>
            <w:pPr>
              <w:jc w:val="right"/>
              <w:ind w:right="20"/>
              <w:spacing w:after="0"/>
              <w:rPr>
                <w:sz w:val="20"/>
                <w:szCs w:val="20"/>
                <w:color w:val="auto"/>
              </w:rPr>
            </w:pPr>
            <w:r>
              <w:rPr>
                <w:rFonts w:ascii="Times New Roman" w:cs="Times New Roman" w:eastAsia="Times New Roman" w:hAnsi="Times New Roman"/>
                <w:sz w:val="11"/>
                <w:szCs w:val="11"/>
                <w:color w:val="auto"/>
              </w:rPr>
              <w:t>5.07 %</w:t>
            </w:r>
          </w:p>
        </w:tc>
        <w:tc>
          <w:tcPr>
            <w:tcW w:w="14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L+500</w:t>
            </w:r>
          </w:p>
        </w:tc>
        <w:tc>
          <w:tcPr>
            <w:tcW w:w="22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AUD 10,000</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7,323</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7,151</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2360" w:type="dxa"/>
            <w:vAlign w:val="bottom"/>
          </w:tcPr>
          <w:p>
            <w:pPr>
              <w:ind w:left="20"/>
              <w:spacing w:after="0" w:line="117" w:lineRule="exact"/>
              <w:rPr>
                <w:sz w:val="20"/>
                <w:szCs w:val="20"/>
                <w:color w:val="auto"/>
              </w:rPr>
            </w:pPr>
            <w:r>
              <w:rPr>
                <w:rFonts w:ascii="Times New Roman" w:cs="Times New Roman" w:eastAsia="Times New Roman" w:hAnsi="Times New Roman"/>
                <w:sz w:val="11"/>
                <w:szCs w:val="11"/>
                <w:color w:val="auto"/>
              </w:rPr>
              <w:t>Gantech Acquisition Corp.</w:t>
            </w:r>
          </w:p>
        </w:tc>
        <w:tc>
          <w:tcPr>
            <w:tcW w:w="880" w:type="dxa"/>
            <w:vAlign w:val="bottom"/>
            <w:gridSpan w:val="2"/>
          </w:tcPr>
          <w:p>
            <w:pPr>
              <w:ind w:left="260"/>
              <w:spacing w:after="0" w:line="117" w:lineRule="exact"/>
              <w:rPr>
                <w:sz w:val="20"/>
                <w:szCs w:val="20"/>
                <w:color w:val="auto"/>
              </w:rPr>
            </w:pPr>
            <w:r>
              <w:rPr>
                <w:rFonts w:ascii="Times New Roman" w:cs="Times New Roman" w:eastAsia="Times New Roman" w:hAnsi="Times New Roman"/>
                <w:sz w:val="11"/>
                <w:szCs w:val="11"/>
                <w:color w:val="auto"/>
              </w:rPr>
              <w:t>05/14/2026</w:t>
            </w:r>
          </w:p>
        </w:tc>
        <w:tc>
          <w:tcPr>
            <w:tcW w:w="140" w:type="dxa"/>
            <w:vAlign w:val="bottom"/>
          </w:tcPr>
          <w:p>
            <w:pPr>
              <w:spacing w:after="0"/>
              <w:rPr>
                <w:sz w:val="10"/>
                <w:szCs w:val="10"/>
                <w:color w:val="auto"/>
              </w:rPr>
            </w:pPr>
          </w:p>
        </w:tc>
        <w:tc>
          <w:tcPr>
            <w:tcW w:w="256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color w:val="auto"/>
                <w:w w:val="95"/>
              </w:rPr>
              <w:t>IT Services</w:t>
            </w:r>
          </w:p>
        </w:tc>
        <w:tc>
          <w:tcPr>
            <w:tcW w:w="1220" w:type="dxa"/>
            <w:vAlign w:val="bottom"/>
            <w:gridSpan w:val="3"/>
          </w:tcPr>
          <w:p>
            <w:pPr>
              <w:jc w:val="right"/>
              <w:ind w:right="20"/>
              <w:spacing w:after="0" w:line="117" w:lineRule="exact"/>
              <w:rPr>
                <w:sz w:val="20"/>
                <w:szCs w:val="20"/>
                <w:color w:val="auto"/>
              </w:rPr>
            </w:pPr>
            <w:r>
              <w:rPr>
                <w:rFonts w:ascii="Times New Roman" w:cs="Times New Roman" w:eastAsia="Times New Roman" w:hAnsi="Times New Roman"/>
                <w:sz w:val="11"/>
                <w:szCs w:val="11"/>
                <w:color w:val="auto"/>
              </w:rPr>
              <w:t>7.25 %</w:t>
            </w:r>
          </w:p>
        </w:tc>
        <w:tc>
          <w:tcPr>
            <w:tcW w:w="140" w:type="dxa"/>
            <w:vAlign w:val="bottom"/>
          </w:tcPr>
          <w:p>
            <w:pPr>
              <w:spacing w:after="0"/>
              <w:rPr>
                <w:sz w:val="10"/>
                <w:szCs w:val="10"/>
                <w:color w:val="auto"/>
              </w:rPr>
            </w:pPr>
          </w:p>
        </w:tc>
        <w:tc>
          <w:tcPr>
            <w:tcW w:w="78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1M L+625</w:t>
            </w:r>
          </w:p>
        </w:tc>
        <w:tc>
          <w:tcPr>
            <w:tcW w:w="104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1"/>
                <w:szCs w:val="11"/>
                <w:color w:val="auto"/>
              </w:rPr>
              <w:t>17,413</w:t>
            </w: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17,082</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17,064</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36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Gantech Acquisition Corp. (Revolver) </w:t>
            </w:r>
            <w:r>
              <w:rPr>
                <w:rFonts w:ascii="Times New Roman" w:cs="Times New Roman" w:eastAsia="Times New Roman" w:hAnsi="Times New Roman"/>
                <w:sz w:val="14"/>
                <w:szCs w:val="14"/>
                <w:color w:val="auto"/>
                <w:vertAlign w:val="superscript"/>
              </w:rPr>
              <w:t>(7)</w:t>
            </w:r>
          </w:p>
        </w:tc>
        <w:tc>
          <w:tcPr>
            <w:tcW w:w="880" w:type="dxa"/>
            <w:vAlign w:val="bottom"/>
            <w:gridSpan w:val="2"/>
          </w:tcPr>
          <w:p>
            <w:pPr>
              <w:ind w:left="260"/>
              <w:spacing w:after="0"/>
              <w:rPr>
                <w:sz w:val="20"/>
                <w:szCs w:val="20"/>
                <w:color w:val="auto"/>
              </w:rPr>
            </w:pPr>
            <w:r>
              <w:rPr>
                <w:rFonts w:ascii="Times New Roman" w:cs="Times New Roman" w:eastAsia="Times New Roman" w:hAnsi="Times New Roman"/>
                <w:sz w:val="11"/>
                <w:szCs w:val="11"/>
                <w:color w:val="auto"/>
              </w:rPr>
              <w:t>05/14/2026</w:t>
            </w:r>
          </w:p>
        </w:tc>
        <w:tc>
          <w:tcPr>
            <w:tcW w:w="140" w:type="dxa"/>
            <w:vAlign w:val="bottom"/>
          </w:tcPr>
          <w:p>
            <w:pPr>
              <w:spacing w:after="0"/>
              <w:rPr>
                <w:sz w:val="11"/>
                <w:szCs w:val="11"/>
                <w:color w:val="auto"/>
              </w:rPr>
            </w:pPr>
          </w:p>
        </w:tc>
        <w:tc>
          <w:tcPr>
            <w:tcW w:w="25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5"/>
              </w:rPr>
              <w:t>IT Services</w:t>
            </w:r>
          </w:p>
        </w:tc>
        <w:tc>
          <w:tcPr>
            <w:tcW w:w="1220" w:type="dxa"/>
            <w:vAlign w:val="bottom"/>
            <w:gridSpan w:val="3"/>
          </w:tcPr>
          <w:p>
            <w:pPr>
              <w:jc w:val="right"/>
              <w:ind w:right="20"/>
              <w:spacing w:after="0"/>
              <w:rPr>
                <w:sz w:val="20"/>
                <w:szCs w:val="20"/>
                <w:color w:val="auto"/>
              </w:rPr>
            </w:pPr>
            <w:r>
              <w:rPr>
                <w:rFonts w:ascii="Times New Roman" w:cs="Times New Roman" w:eastAsia="Times New Roman" w:hAnsi="Times New Roman"/>
                <w:sz w:val="11"/>
                <w:szCs w:val="11"/>
                <w:color w:val="auto"/>
              </w:rPr>
              <w:t>7.25 %</w:t>
            </w:r>
          </w:p>
        </w:tc>
        <w:tc>
          <w:tcPr>
            <w:tcW w:w="14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1M L+625</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933</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933</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915</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360" w:type="dxa"/>
            <w:vAlign w:val="bottom"/>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Gantech Acquisition Corp. (Revolver) </w:t>
            </w:r>
            <w:r>
              <w:rPr>
                <w:rFonts w:ascii="Times New Roman" w:cs="Times New Roman" w:eastAsia="Times New Roman" w:hAnsi="Times New Roman"/>
                <w:sz w:val="14"/>
                <w:szCs w:val="14"/>
                <w:color w:val="auto"/>
                <w:vertAlign w:val="superscript"/>
              </w:rPr>
              <w:t>(7), (9)</w:t>
            </w:r>
          </w:p>
        </w:tc>
        <w:tc>
          <w:tcPr>
            <w:tcW w:w="880" w:type="dxa"/>
            <w:vAlign w:val="bottom"/>
            <w:gridSpan w:val="2"/>
          </w:tcPr>
          <w:p>
            <w:pPr>
              <w:ind w:left="260"/>
              <w:spacing w:after="0"/>
              <w:rPr>
                <w:sz w:val="20"/>
                <w:szCs w:val="20"/>
                <w:color w:val="auto"/>
              </w:rPr>
            </w:pPr>
            <w:r>
              <w:rPr>
                <w:rFonts w:ascii="Times New Roman" w:cs="Times New Roman" w:eastAsia="Times New Roman" w:hAnsi="Times New Roman"/>
                <w:sz w:val="11"/>
                <w:szCs w:val="11"/>
                <w:color w:val="auto"/>
              </w:rPr>
              <w:t>05/14/2026</w:t>
            </w:r>
          </w:p>
        </w:tc>
        <w:tc>
          <w:tcPr>
            <w:tcW w:w="140" w:type="dxa"/>
            <w:vAlign w:val="bottom"/>
          </w:tcPr>
          <w:p>
            <w:pPr>
              <w:spacing w:after="0"/>
              <w:rPr>
                <w:sz w:val="13"/>
                <w:szCs w:val="13"/>
                <w:color w:val="auto"/>
              </w:rPr>
            </w:pPr>
          </w:p>
        </w:tc>
        <w:tc>
          <w:tcPr>
            <w:tcW w:w="25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5"/>
              </w:rPr>
              <w:t>IT Services</w:t>
            </w:r>
          </w:p>
        </w:tc>
        <w:tc>
          <w:tcPr>
            <w:tcW w:w="120" w:type="dxa"/>
            <w:vAlign w:val="bottom"/>
          </w:tcPr>
          <w:p>
            <w:pPr>
              <w:spacing w:after="0"/>
              <w:rPr>
                <w:sz w:val="13"/>
                <w:szCs w:val="13"/>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2,800</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(56 )</w:t>
            </w:r>
          </w:p>
        </w:tc>
        <w:tc>
          <w:tcPr>
            <w:tcW w:w="0" w:type="dxa"/>
            <w:vAlign w:val="bottom"/>
          </w:tcPr>
          <w:p>
            <w:pPr>
              <w:spacing w:after="0"/>
              <w:rPr>
                <w:sz w:val="1"/>
                <w:szCs w:val="1"/>
                <w:color w:val="auto"/>
              </w:rPr>
            </w:pPr>
          </w:p>
        </w:tc>
      </w:tr>
      <w:tr>
        <w:trPr>
          <w:trHeight w:val="117"/>
        </w:trPr>
        <w:tc>
          <w:tcPr>
            <w:tcW w:w="2360" w:type="dxa"/>
            <w:vAlign w:val="bottom"/>
          </w:tcPr>
          <w:p>
            <w:pPr>
              <w:ind w:left="20"/>
              <w:spacing w:after="0" w:line="117" w:lineRule="exact"/>
              <w:rPr>
                <w:sz w:val="20"/>
                <w:szCs w:val="20"/>
                <w:color w:val="auto"/>
              </w:rPr>
            </w:pPr>
            <w:r>
              <w:rPr>
                <w:rFonts w:ascii="Times New Roman" w:cs="Times New Roman" w:eastAsia="Times New Roman" w:hAnsi="Times New Roman"/>
                <w:sz w:val="11"/>
                <w:szCs w:val="11"/>
                <w:color w:val="auto"/>
              </w:rPr>
              <w:t>Global Holdings InterCo LLC</w:t>
            </w:r>
          </w:p>
        </w:tc>
        <w:tc>
          <w:tcPr>
            <w:tcW w:w="880" w:type="dxa"/>
            <w:vAlign w:val="bottom"/>
            <w:gridSpan w:val="2"/>
          </w:tcPr>
          <w:p>
            <w:pPr>
              <w:ind w:left="260"/>
              <w:spacing w:after="0" w:line="117" w:lineRule="exact"/>
              <w:rPr>
                <w:sz w:val="20"/>
                <w:szCs w:val="20"/>
                <w:color w:val="auto"/>
              </w:rPr>
            </w:pPr>
            <w:r>
              <w:rPr>
                <w:rFonts w:ascii="Times New Roman" w:cs="Times New Roman" w:eastAsia="Times New Roman" w:hAnsi="Times New Roman"/>
                <w:sz w:val="11"/>
                <w:szCs w:val="11"/>
                <w:color w:val="auto"/>
              </w:rPr>
              <w:t>03/16/2026</w:t>
            </w:r>
          </w:p>
        </w:tc>
        <w:tc>
          <w:tcPr>
            <w:tcW w:w="140" w:type="dxa"/>
            <w:vAlign w:val="bottom"/>
          </w:tcPr>
          <w:p>
            <w:pPr>
              <w:spacing w:after="0"/>
              <w:rPr>
                <w:sz w:val="10"/>
                <w:szCs w:val="10"/>
                <w:color w:val="auto"/>
              </w:rPr>
            </w:pPr>
          </w:p>
        </w:tc>
        <w:tc>
          <w:tcPr>
            <w:tcW w:w="256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color w:val="auto"/>
                <w:w w:val="99"/>
              </w:rPr>
              <w:t>Diversified Financial Services</w:t>
            </w:r>
          </w:p>
        </w:tc>
        <w:tc>
          <w:tcPr>
            <w:tcW w:w="1220" w:type="dxa"/>
            <w:vAlign w:val="bottom"/>
            <w:gridSpan w:val="3"/>
          </w:tcPr>
          <w:p>
            <w:pPr>
              <w:jc w:val="right"/>
              <w:ind w:right="20"/>
              <w:spacing w:after="0" w:line="117" w:lineRule="exact"/>
              <w:rPr>
                <w:sz w:val="20"/>
                <w:szCs w:val="20"/>
                <w:color w:val="auto"/>
              </w:rPr>
            </w:pPr>
            <w:r>
              <w:rPr>
                <w:rFonts w:ascii="Times New Roman" w:cs="Times New Roman" w:eastAsia="Times New Roman" w:hAnsi="Times New Roman"/>
                <w:sz w:val="11"/>
                <w:szCs w:val="11"/>
                <w:color w:val="auto"/>
              </w:rPr>
              <w:t>7.00 %</w:t>
            </w:r>
          </w:p>
        </w:tc>
        <w:tc>
          <w:tcPr>
            <w:tcW w:w="140" w:type="dxa"/>
            <w:vAlign w:val="bottom"/>
          </w:tcPr>
          <w:p>
            <w:pPr>
              <w:spacing w:after="0"/>
              <w:rPr>
                <w:sz w:val="10"/>
                <w:szCs w:val="10"/>
                <w:color w:val="auto"/>
              </w:rPr>
            </w:pPr>
          </w:p>
        </w:tc>
        <w:tc>
          <w:tcPr>
            <w:tcW w:w="78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3M L+600</w:t>
            </w:r>
          </w:p>
        </w:tc>
        <w:tc>
          <w:tcPr>
            <w:tcW w:w="104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1"/>
                <w:szCs w:val="11"/>
                <w:color w:val="auto"/>
              </w:rPr>
              <w:t>3,483</w:t>
            </w: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3,435</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3,465</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36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Graffiti Buyer, Inc. </w:t>
            </w:r>
            <w:r>
              <w:rPr>
                <w:rFonts w:ascii="Times New Roman" w:cs="Times New Roman" w:eastAsia="Times New Roman" w:hAnsi="Times New Roman"/>
                <w:sz w:val="14"/>
                <w:szCs w:val="14"/>
                <w:color w:val="auto"/>
                <w:vertAlign w:val="superscript"/>
              </w:rPr>
              <w:t>(7), (9)</w:t>
            </w:r>
          </w:p>
        </w:tc>
        <w:tc>
          <w:tcPr>
            <w:tcW w:w="880" w:type="dxa"/>
            <w:vAlign w:val="bottom"/>
            <w:gridSpan w:val="2"/>
          </w:tcPr>
          <w:p>
            <w:pPr>
              <w:ind w:left="260"/>
              <w:spacing w:after="0"/>
              <w:rPr>
                <w:sz w:val="20"/>
                <w:szCs w:val="20"/>
                <w:color w:val="auto"/>
              </w:rPr>
            </w:pPr>
            <w:r>
              <w:rPr>
                <w:rFonts w:ascii="Times New Roman" w:cs="Times New Roman" w:eastAsia="Times New Roman" w:hAnsi="Times New Roman"/>
                <w:sz w:val="11"/>
                <w:szCs w:val="11"/>
                <w:color w:val="auto"/>
              </w:rPr>
              <w:t>08/10/2023</w:t>
            </w:r>
          </w:p>
        </w:tc>
        <w:tc>
          <w:tcPr>
            <w:tcW w:w="140" w:type="dxa"/>
            <w:vAlign w:val="bottom"/>
          </w:tcPr>
          <w:p>
            <w:pPr>
              <w:spacing w:after="0"/>
              <w:rPr>
                <w:sz w:val="11"/>
                <w:szCs w:val="11"/>
                <w:color w:val="auto"/>
              </w:rPr>
            </w:pPr>
          </w:p>
        </w:tc>
        <w:tc>
          <w:tcPr>
            <w:tcW w:w="25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Trading Companies &amp; Distributors</w:t>
            </w:r>
          </w:p>
        </w:tc>
        <w:tc>
          <w:tcPr>
            <w:tcW w:w="120" w:type="dxa"/>
            <w:vAlign w:val="bottom"/>
          </w:tcPr>
          <w:p>
            <w:pPr>
              <w:spacing w:after="0"/>
              <w:rPr>
                <w:sz w:val="11"/>
                <w:szCs w:val="11"/>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1,071</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(5 )</w:t>
            </w:r>
          </w:p>
        </w:tc>
        <w:tc>
          <w:tcPr>
            <w:tcW w:w="0" w:type="dxa"/>
            <w:vAlign w:val="bottom"/>
          </w:tcPr>
          <w:p>
            <w:pPr>
              <w:spacing w:after="0"/>
              <w:rPr>
                <w:sz w:val="1"/>
                <w:szCs w:val="1"/>
                <w:color w:val="auto"/>
              </w:rPr>
            </w:pPr>
          </w:p>
        </w:tc>
      </w:tr>
      <w:tr>
        <w:trPr>
          <w:trHeight w:val="153"/>
        </w:trPr>
        <w:tc>
          <w:tcPr>
            <w:tcW w:w="2360" w:type="dxa"/>
            <w:vAlign w:val="bottom"/>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Graffiti Buyer, Inc. (Revolver) </w:t>
            </w:r>
            <w:r>
              <w:rPr>
                <w:rFonts w:ascii="Times New Roman" w:cs="Times New Roman" w:eastAsia="Times New Roman" w:hAnsi="Times New Roman"/>
                <w:sz w:val="14"/>
                <w:szCs w:val="14"/>
                <w:color w:val="auto"/>
                <w:vertAlign w:val="superscript"/>
              </w:rPr>
              <w:t>(7), (9)</w:t>
            </w:r>
          </w:p>
        </w:tc>
        <w:tc>
          <w:tcPr>
            <w:tcW w:w="880" w:type="dxa"/>
            <w:vAlign w:val="bottom"/>
            <w:gridSpan w:val="2"/>
          </w:tcPr>
          <w:p>
            <w:pPr>
              <w:ind w:left="260"/>
              <w:spacing w:after="0"/>
              <w:rPr>
                <w:sz w:val="20"/>
                <w:szCs w:val="20"/>
                <w:color w:val="auto"/>
              </w:rPr>
            </w:pPr>
            <w:r>
              <w:rPr>
                <w:rFonts w:ascii="Times New Roman" w:cs="Times New Roman" w:eastAsia="Times New Roman" w:hAnsi="Times New Roman"/>
                <w:sz w:val="11"/>
                <w:szCs w:val="11"/>
                <w:color w:val="auto"/>
              </w:rPr>
              <w:t>08/10/2027</w:t>
            </w:r>
          </w:p>
        </w:tc>
        <w:tc>
          <w:tcPr>
            <w:tcW w:w="140" w:type="dxa"/>
            <w:vAlign w:val="bottom"/>
          </w:tcPr>
          <w:p>
            <w:pPr>
              <w:spacing w:after="0"/>
              <w:rPr>
                <w:sz w:val="13"/>
                <w:szCs w:val="13"/>
                <w:color w:val="auto"/>
              </w:rPr>
            </w:pPr>
          </w:p>
        </w:tc>
        <w:tc>
          <w:tcPr>
            <w:tcW w:w="25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Trading Companies &amp; Distributors</w:t>
            </w:r>
          </w:p>
        </w:tc>
        <w:tc>
          <w:tcPr>
            <w:tcW w:w="120" w:type="dxa"/>
            <w:vAlign w:val="bottom"/>
          </w:tcPr>
          <w:p>
            <w:pPr>
              <w:spacing w:after="0"/>
              <w:rPr>
                <w:sz w:val="13"/>
                <w:szCs w:val="13"/>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865</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(20 )</w:t>
            </w:r>
          </w:p>
        </w:tc>
        <w:tc>
          <w:tcPr>
            <w:tcW w:w="0" w:type="dxa"/>
            <w:vAlign w:val="bottom"/>
          </w:tcPr>
          <w:p>
            <w:pPr>
              <w:spacing w:after="0"/>
              <w:rPr>
                <w:sz w:val="1"/>
                <w:szCs w:val="1"/>
                <w:color w:val="auto"/>
              </w:rPr>
            </w:pPr>
          </w:p>
        </w:tc>
      </w:tr>
      <w:tr>
        <w:trPr>
          <w:trHeight w:val="117"/>
        </w:trPr>
        <w:tc>
          <w:tcPr>
            <w:tcW w:w="2360" w:type="dxa"/>
            <w:vAlign w:val="bottom"/>
          </w:tcPr>
          <w:p>
            <w:pPr>
              <w:ind w:left="20"/>
              <w:spacing w:after="0" w:line="117" w:lineRule="exact"/>
              <w:rPr>
                <w:sz w:val="20"/>
                <w:szCs w:val="20"/>
                <w:color w:val="auto"/>
              </w:rPr>
            </w:pPr>
            <w:r>
              <w:rPr>
                <w:rFonts w:ascii="Times New Roman" w:cs="Times New Roman" w:eastAsia="Times New Roman" w:hAnsi="Times New Roman"/>
                <w:sz w:val="11"/>
                <w:szCs w:val="11"/>
                <w:color w:val="auto"/>
              </w:rPr>
              <w:t>Hancock Roofing and Construction L.L.C.</w:t>
            </w:r>
          </w:p>
        </w:tc>
        <w:tc>
          <w:tcPr>
            <w:tcW w:w="880" w:type="dxa"/>
            <w:vAlign w:val="bottom"/>
            <w:gridSpan w:val="2"/>
          </w:tcPr>
          <w:p>
            <w:pPr>
              <w:ind w:left="260"/>
              <w:spacing w:after="0" w:line="117" w:lineRule="exact"/>
              <w:rPr>
                <w:sz w:val="20"/>
                <w:szCs w:val="20"/>
                <w:color w:val="auto"/>
              </w:rPr>
            </w:pPr>
            <w:r>
              <w:rPr>
                <w:rFonts w:ascii="Times New Roman" w:cs="Times New Roman" w:eastAsia="Times New Roman" w:hAnsi="Times New Roman"/>
                <w:sz w:val="11"/>
                <w:szCs w:val="11"/>
                <w:color w:val="auto"/>
              </w:rPr>
              <w:t>12/31/2026</w:t>
            </w:r>
          </w:p>
        </w:tc>
        <w:tc>
          <w:tcPr>
            <w:tcW w:w="140" w:type="dxa"/>
            <w:vAlign w:val="bottom"/>
          </w:tcPr>
          <w:p>
            <w:pPr>
              <w:spacing w:after="0"/>
              <w:rPr>
                <w:sz w:val="10"/>
                <w:szCs w:val="10"/>
                <w:color w:val="auto"/>
              </w:rPr>
            </w:pPr>
          </w:p>
        </w:tc>
        <w:tc>
          <w:tcPr>
            <w:tcW w:w="256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color w:val="auto"/>
                <w:w w:val="98"/>
              </w:rPr>
              <w:t>Insurance</w:t>
            </w:r>
          </w:p>
        </w:tc>
        <w:tc>
          <w:tcPr>
            <w:tcW w:w="1220" w:type="dxa"/>
            <w:vAlign w:val="bottom"/>
            <w:gridSpan w:val="3"/>
          </w:tcPr>
          <w:p>
            <w:pPr>
              <w:jc w:val="right"/>
              <w:ind w:right="20"/>
              <w:spacing w:after="0" w:line="117" w:lineRule="exact"/>
              <w:rPr>
                <w:sz w:val="20"/>
                <w:szCs w:val="20"/>
                <w:color w:val="auto"/>
              </w:rPr>
            </w:pPr>
            <w:r>
              <w:rPr>
                <w:rFonts w:ascii="Times New Roman" w:cs="Times New Roman" w:eastAsia="Times New Roman" w:hAnsi="Times New Roman"/>
                <w:sz w:val="11"/>
                <w:szCs w:val="11"/>
                <w:color w:val="auto"/>
              </w:rPr>
              <w:t>6.00 %</w:t>
            </w:r>
          </w:p>
        </w:tc>
        <w:tc>
          <w:tcPr>
            <w:tcW w:w="140" w:type="dxa"/>
            <w:vAlign w:val="bottom"/>
          </w:tcPr>
          <w:p>
            <w:pPr>
              <w:spacing w:after="0"/>
              <w:rPr>
                <w:sz w:val="10"/>
                <w:szCs w:val="10"/>
                <w:color w:val="auto"/>
              </w:rPr>
            </w:pPr>
          </w:p>
        </w:tc>
        <w:tc>
          <w:tcPr>
            <w:tcW w:w="78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3M L+500</w:t>
            </w:r>
          </w:p>
        </w:tc>
        <w:tc>
          <w:tcPr>
            <w:tcW w:w="104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1"/>
                <w:szCs w:val="11"/>
                <w:color w:val="auto"/>
              </w:rPr>
              <w:t>3,474</w:t>
            </w: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3,397</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3,439</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360" w:type="dxa"/>
            <w:vAlign w:val="bottom"/>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Hancock Roofing and Construction L.L.C. </w:t>
            </w:r>
            <w:r>
              <w:rPr>
                <w:rFonts w:ascii="Times New Roman" w:cs="Times New Roman" w:eastAsia="Times New Roman" w:hAnsi="Times New Roman"/>
                <w:sz w:val="14"/>
                <w:szCs w:val="14"/>
                <w:color w:val="auto"/>
                <w:vertAlign w:val="superscript"/>
              </w:rPr>
              <w:t>(7), (9)</w:t>
            </w:r>
          </w:p>
        </w:tc>
        <w:tc>
          <w:tcPr>
            <w:tcW w:w="880" w:type="dxa"/>
            <w:vAlign w:val="bottom"/>
            <w:gridSpan w:val="2"/>
          </w:tcPr>
          <w:p>
            <w:pPr>
              <w:ind w:left="260"/>
              <w:spacing w:after="0"/>
              <w:rPr>
                <w:sz w:val="20"/>
                <w:szCs w:val="20"/>
                <w:color w:val="auto"/>
              </w:rPr>
            </w:pPr>
            <w:r>
              <w:rPr>
                <w:rFonts w:ascii="Times New Roman" w:cs="Times New Roman" w:eastAsia="Times New Roman" w:hAnsi="Times New Roman"/>
                <w:sz w:val="11"/>
                <w:szCs w:val="11"/>
                <w:color w:val="auto"/>
              </w:rPr>
              <w:t>12/31/2022</w:t>
            </w:r>
          </w:p>
        </w:tc>
        <w:tc>
          <w:tcPr>
            <w:tcW w:w="140" w:type="dxa"/>
            <w:vAlign w:val="bottom"/>
          </w:tcPr>
          <w:p>
            <w:pPr>
              <w:spacing w:after="0"/>
              <w:rPr>
                <w:sz w:val="13"/>
                <w:szCs w:val="13"/>
                <w:color w:val="auto"/>
              </w:rPr>
            </w:pPr>
          </w:p>
        </w:tc>
        <w:tc>
          <w:tcPr>
            <w:tcW w:w="25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Insurance</w:t>
            </w:r>
          </w:p>
        </w:tc>
        <w:tc>
          <w:tcPr>
            <w:tcW w:w="120" w:type="dxa"/>
            <w:vAlign w:val="bottom"/>
          </w:tcPr>
          <w:p>
            <w:pPr>
              <w:spacing w:after="0"/>
              <w:rPr>
                <w:sz w:val="13"/>
                <w:szCs w:val="13"/>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1,500</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(15 )</w:t>
            </w:r>
          </w:p>
        </w:tc>
        <w:tc>
          <w:tcPr>
            <w:tcW w:w="0" w:type="dxa"/>
            <w:vAlign w:val="bottom"/>
          </w:tcPr>
          <w:p>
            <w:pPr>
              <w:spacing w:after="0"/>
              <w:rPr>
                <w:sz w:val="1"/>
                <w:szCs w:val="1"/>
                <w:color w:val="auto"/>
              </w:rPr>
            </w:pPr>
          </w:p>
        </w:tc>
      </w:tr>
      <w:tr>
        <w:trPr>
          <w:trHeight w:val="108"/>
        </w:trPr>
        <w:tc>
          <w:tcPr>
            <w:tcW w:w="2360" w:type="dxa"/>
            <w:vAlign w:val="bottom"/>
          </w:tcPr>
          <w:p>
            <w:pPr>
              <w:ind w:left="20"/>
              <w:spacing w:after="0" w:line="109" w:lineRule="exact"/>
              <w:rPr>
                <w:sz w:val="20"/>
                <w:szCs w:val="20"/>
                <w:color w:val="auto"/>
              </w:rPr>
            </w:pPr>
            <w:r>
              <w:rPr>
                <w:rFonts w:ascii="Times New Roman" w:cs="Times New Roman" w:eastAsia="Times New Roman" w:hAnsi="Times New Roman"/>
                <w:sz w:val="11"/>
                <w:szCs w:val="11"/>
                <w:color w:val="auto"/>
              </w:rPr>
              <w:t>Hancock Roofing and Construction L.L.C.</w:t>
            </w:r>
          </w:p>
        </w:tc>
        <w:tc>
          <w:tcPr>
            <w:tcW w:w="880" w:type="dxa"/>
            <w:vAlign w:val="bottom"/>
            <w:gridSpan w:val="2"/>
          </w:tcPr>
          <w:p>
            <w:pPr>
              <w:ind w:left="260"/>
              <w:spacing w:after="0" w:line="109" w:lineRule="exact"/>
              <w:rPr>
                <w:sz w:val="20"/>
                <w:szCs w:val="20"/>
                <w:color w:val="auto"/>
              </w:rPr>
            </w:pPr>
            <w:r>
              <w:rPr>
                <w:rFonts w:ascii="Times New Roman" w:cs="Times New Roman" w:eastAsia="Times New Roman" w:hAnsi="Times New Roman"/>
                <w:sz w:val="11"/>
                <w:szCs w:val="11"/>
                <w:color w:val="auto"/>
              </w:rPr>
              <w:t>12/31/2026</w:t>
            </w:r>
          </w:p>
        </w:tc>
        <w:tc>
          <w:tcPr>
            <w:tcW w:w="140" w:type="dxa"/>
            <w:vAlign w:val="bottom"/>
          </w:tcPr>
          <w:p>
            <w:pPr>
              <w:spacing w:after="0"/>
              <w:rPr>
                <w:sz w:val="9"/>
                <w:szCs w:val="9"/>
                <w:color w:val="auto"/>
              </w:rPr>
            </w:pPr>
          </w:p>
        </w:tc>
        <w:tc>
          <w:tcPr>
            <w:tcW w:w="2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00" w:type="dxa"/>
            <w:vAlign w:val="bottom"/>
            <w:gridSpan w:val="2"/>
          </w:tcPr>
          <w:p>
            <w:pPr>
              <w:jc w:val="right"/>
              <w:ind w:right="140"/>
              <w:spacing w:after="0" w:line="109"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9"/>
                <w:szCs w:val="9"/>
                <w:color w:val="auto"/>
              </w:rPr>
            </w:pPr>
          </w:p>
        </w:tc>
        <w:tc>
          <w:tcPr>
            <w:tcW w:w="780" w:type="dxa"/>
            <w:vAlign w:val="bottom"/>
          </w:tcPr>
          <w:p>
            <w:pPr>
              <w:jc w:val="right"/>
              <w:spacing w:after="0" w:line="109"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tcPr>
          <w:p>
            <w:pPr>
              <w:jc w:val="right"/>
              <w:spacing w:after="0" w:line="109"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gridSpan w:val="2"/>
          </w:tcPr>
          <w:p>
            <w:pPr>
              <w:jc w:val="right"/>
              <w:ind w:right="60"/>
              <w:spacing w:after="0" w:line="109" w:lineRule="exact"/>
              <w:rPr>
                <w:sz w:val="20"/>
                <w:szCs w:val="20"/>
                <w:color w:val="auto"/>
              </w:rPr>
            </w:pPr>
            <w:r>
              <w:rPr>
                <w:rFonts w:ascii="Times New Roman" w:cs="Times New Roman" w:eastAsia="Times New Roman" w:hAnsi="Times New Roman"/>
                <w:sz w:val="11"/>
                <w:szCs w:val="11"/>
                <w:color w:val="auto"/>
              </w:rPr>
              <w:t>(8 )</w:t>
            </w:r>
          </w:p>
        </w:tc>
        <w:tc>
          <w:tcPr>
            <w:tcW w:w="0" w:type="dxa"/>
            <w:vAlign w:val="bottom"/>
          </w:tcPr>
          <w:p>
            <w:pPr>
              <w:spacing w:after="0"/>
              <w:rPr>
                <w:sz w:val="1"/>
                <w:szCs w:val="1"/>
                <w:color w:val="auto"/>
              </w:rPr>
            </w:pPr>
          </w:p>
        </w:tc>
      </w:tr>
      <w:tr>
        <w:trPr>
          <w:trHeight w:val="162"/>
        </w:trPr>
        <w:tc>
          <w:tcPr>
            <w:tcW w:w="23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 xml:space="preserve">(Revolver) </w:t>
            </w:r>
            <w:r>
              <w:rPr>
                <w:rFonts w:ascii="Times New Roman" w:cs="Times New Roman" w:eastAsia="Times New Roman" w:hAnsi="Times New Roman"/>
                <w:sz w:val="14"/>
                <w:szCs w:val="14"/>
                <w:color w:val="auto"/>
                <w:vertAlign w:val="superscript"/>
              </w:rPr>
              <w:t>(7), (9)</w:t>
            </w: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5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Insurance</w:t>
            </w: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750</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3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Holdco Sands Intermediate, LLC</w:t>
            </w:r>
          </w:p>
        </w:tc>
        <w:tc>
          <w:tcPr>
            <w:tcW w:w="880" w:type="dxa"/>
            <w:vAlign w:val="bottom"/>
            <w:gridSpan w:val="2"/>
            <w:shd w:val="clear" w:color="auto" w:fill="CCECFF"/>
          </w:tcPr>
          <w:p>
            <w:pPr>
              <w:ind w:left="260"/>
              <w:spacing w:after="0"/>
              <w:rPr>
                <w:sz w:val="20"/>
                <w:szCs w:val="20"/>
                <w:color w:val="auto"/>
              </w:rPr>
            </w:pPr>
            <w:r>
              <w:rPr>
                <w:rFonts w:ascii="Times New Roman" w:cs="Times New Roman" w:eastAsia="Times New Roman" w:hAnsi="Times New Roman"/>
                <w:sz w:val="11"/>
                <w:szCs w:val="11"/>
                <w:color w:val="auto"/>
              </w:rPr>
              <w:t>12/19/2025</w:t>
            </w:r>
          </w:p>
        </w:tc>
        <w:tc>
          <w:tcPr>
            <w:tcW w:w="140" w:type="dxa"/>
            <w:vAlign w:val="bottom"/>
            <w:shd w:val="clear" w:color="auto" w:fill="CCECFF"/>
          </w:tcPr>
          <w:p>
            <w:pPr>
              <w:spacing w:after="0"/>
              <w:rPr>
                <w:sz w:val="11"/>
                <w:szCs w:val="11"/>
                <w:color w:val="auto"/>
              </w:rPr>
            </w:pPr>
          </w:p>
        </w:tc>
        <w:tc>
          <w:tcPr>
            <w:tcW w:w="25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1220" w:type="dxa"/>
            <w:vAlign w:val="bottom"/>
            <w:gridSpan w:val="3"/>
            <w:shd w:val="clear" w:color="auto" w:fill="CCECFF"/>
          </w:tcPr>
          <w:p>
            <w:pPr>
              <w:jc w:val="right"/>
              <w:ind w:right="20"/>
              <w:spacing w:after="0"/>
              <w:rPr>
                <w:sz w:val="20"/>
                <w:szCs w:val="20"/>
                <w:color w:val="auto"/>
              </w:rPr>
            </w:pPr>
            <w:r>
              <w:rPr>
                <w:rFonts w:ascii="Times New Roman" w:cs="Times New Roman" w:eastAsia="Times New Roman" w:hAnsi="Times New Roman"/>
                <w:sz w:val="11"/>
                <w:szCs w:val="11"/>
                <w:color w:val="auto"/>
              </w:rPr>
              <w:t>7.50 %</w:t>
            </w:r>
          </w:p>
        </w:tc>
        <w:tc>
          <w:tcPr>
            <w:tcW w:w="140" w:type="dxa"/>
            <w:vAlign w:val="bottom"/>
            <w:shd w:val="clear" w:color="auto" w:fill="CCECFF"/>
          </w:tcPr>
          <w:p>
            <w:pPr>
              <w:spacing w:after="0"/>
              <w:rPr>
                <w:sz w:val="11"/>
                <w:szCs w:val="11"/>
                <w:color w:val="auto"/>
              </w:rPr>
            </w:pPr>
          </w:p>
        </w:tc>
        <w:tc>
          <w:tcPr>
            <w:tcW w:w="7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L+600</w:t>
            </w:r>
          </w:p>
        </w:tc>
        <w:tc>
          <w:tcPr>
            <w:tcW w:w="10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2,983</w:t>
            </w:r>
          </w:p>
        </w:tc>
        <w:tc>
          <w:tcPr>
            <w:tcW w:w="22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2,941</w:t>
            </w:r>
          </w:p>
        </w:tc>
        <w:tc>
          <w:tcPr>
            <w:tcW w:w="22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7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2,968</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03"/>
        </w:trPr>
        <w:tc>
          <w:tcPr>
            <w:tcW w:w="2360" w:type="dxa"/>
            <w:vAlign w:val="bottom"/>
          </w:tcPr>
          <w:p>
            <w:pPr>
              <w:ind w:left="20"/>
              <w:spacing w:after="0" w:line="103" w:lineRule="exact"/>
              <w:rPr>
                <w:sz w:val="20"/>
                <w:szCs w:val="20"/>
                <w:color w:val="auto"/>
              </w:rPr>
            </w:pPr>
            <w:r>
              <w:rPr>
                <w:rFonts w:ascii="Times New Roman" w:cs="Times New Roman" w:eastAsia="Times New Roman" w:hAnsi="Times New Roman"/>
                <w:sz w:val="11"/>
                <w:szCs w:val="11"/>
                <w:color w:val="auto"/>
              </w:rPr>
              <w:t>HW Holdco, LLC</w:t>
            </w:r>
          </w:p>
        </w:tc>
        <w:tc>
          <w:tcPr>
            <w:tcW w:w="880" w:type="dxa"/>
            <w:vAlign w:val="bottom"/>
            <w:gridSpan w:val="2"/>
          </w:tcPr>
          <w:p>
            <w:pPr>
              <w:ind w:left="260"/>
              <w:spacing w:after="0" w:line="103" w:lineRule="exact"/>
              <w:rPr>
                <w:sz w:val="20"/>
                <w:szCs w:val="20"/>
                <w:color w:val="auto"/>
              </w:rPr>
            </w:pPr>
            <w:r>
              <w:rPr>
                <w:rFonts w:ascii="Times New Roman" w:cs="Times New Roman" w:eastAsia="Times New Roman" w:hAnsi="Times New Roman"/>
                <w:sz w:val="11"/>
                <w:szCs w:val="11"/>
                <w:color w:val="auto"/>
              </w:rPr>
              <w:t>12/10/2024</w:t>
            </w:r>
          </w:p>
        </w:tc>
        <w:tc>
          <w:tcPr>
            <w:tcW w:w="140" w:type="dxa"/>
            <w:vAlign w:val="bottom"/>
          </w:tcPr>
          <w:p>
            <w:pPr>
              <w:spacing w:after="0"/>
              <w:rPr>
                <w:sz w:val="8"/>
                <w:szCs w:val="8"/>
                <w:color w:val="auto"/>
              </w:rPr>
            </w:pPr>
          </w:p>
        </w:tc>
        <w:tc>
          <w:tcPr>
            <w:tcW w:w="2560" w:type="dxa"/>
            <w:vAlign w:val="bottom"/>
          </w:tcPr>
          <w:p>
            <w:pPr>
              <w:jc w:val="center"/>
              <w:spacing w:after="0" w:line="103" w:lineRule="exact"/>
              <w:rPr>
                <w:sz w:val="20"/>
                <w:szCs w:val="20"/>
                <w:color w:val="auto"/>
              </w:rPr>
            </w:pPr>
            <w:r>
              <w:rPr>
                <w:rFonts w:ascii="Times New Roman" w:cs="Times New Roman" w:eastAsia="Times New Roman" w:hAnsi="Times New Roman"/>
                <w:sz w:val="11"/>
                <w:szCs w:val="11"/>
                <w:color w:val="auto"/>
                <w:w w:val="99"/>
              </w:rPr>
              <w:t>Media</w:t>
            </w:r>
          </w:p>
        </w:tc>
        <w:tc>
          <w:tcPr>
            <w:tcW w:w="1220" w:type="dxa"/>
            <w:vAlign w:val="bottom"/>
            <w:gridSpan w:val="3"/>
          </w:tcPr>
          <w:p>
            <w:pPr>
              <w:jc w:val="right"/>
              <w:ind w:right="20"/>
              <w:spacing w:after="0" w:line="103" w:lineRule="exact"/>
              <w:rPr>
                <w:sz w:val="20"/>
                <w:szCs w:val="20"/>
                <w:color w:val="auto"/>
              </w:rPr>
            </w:pPr>
            <w:r>
              <w:rPr>
                <w:rFonts w:ascii="Times New Roman" w:cs="Times New Roman" w:eastAsia="Times New Roman" w:hAnsi="Times New Roman"/>
                <w:sz w:val="11"/>
                <w:szCs w:val="11"/>
                <w:color w:val="auto"/>
              </w:rPr>
              <w:t>5.50 %</w:t>
            </w:r>
          </w:p>
        </w:tc>
        <w:tc>
          <w:tcPr>
            <w:tcW w:w="140" w:type="dxa"/>
            <w:vAlign w:val="bottom"/>
          </w:tcPr>
          <w:p>
            <w:pPr>
              <w:spacing w:after="0"/>
              <w:rPr>
                <w:sz w:val="8"/>
                <w:szCs w:val="8"/>
                <w:color w:val="auto"/>
              </w:rPr>
            </w:pPr>
          </w:p>
        </w:tc>
        <w:tc>
          <w:tcPr>
            <w:tcW w:w="780" w:type="dxa"/>
            <w:vAlign w:val="bottom"/>
          </w:tcPr>
          <w:p>
            <w:pPr>
              <w:jc w:val="right"/>
              <w:spacing w:after="0" w:line="103" w:lineRule="exact"/>
              <w:rPr>
                <w:sz w:val="20"/>
                <w:szCs w:val="20"/>
                <w:color w:val="auto"/>
              </w:rPr>
            </w:pPr>
            <w:r>
              <w:rPr>
                <w:rFonts w:ascii="Times New Roman" w:cs="Times New Roman" w:eastAsia="Times New Roman" w:hAnsi="Times New Roman"/>
                <w:sz w:val="11"/>
                <w:szCs w:val="11"/>
                <w:color w:val="auto"/>
              </w:rPr>
              <w:t>1M L+450</w:t>
            </w:r>
          </w:p>
        </w:tc>
        <w:tc>
          <w:tcPr>
            <w:tcW w:w="1040" w:type="dxa"/>
            <w:vAlign w:val="bottom"/>
            <w:gridSpan w:val="2"/>
          </w:tcPr>
          <w:p>
            <w:pPr>
              <w:jc w:val="right"/>
              <w:spacing w:after="0" w:line="103" w:lineRule="exact"/>
              <w:rPr>
                <w:sz w:val="20"/>
                <w:szCs w:val="20"/>
                <w:color w:val="auto"/>
              </w:rPr>
            </w:pPr>
            <w:r>
              <w:rPr>
                <w:rFonts w:ascii="Times New Roman" w:cs="Times New Roman" w:eastAsia="Times New Roman" w:hAnsi="Times New Roman"/>
                <w:sz w:val="11"/>
                <w:szCs w:val="11"/>
                <w:color w:val="auto"/>
              </w:rPr>
              <w:t>7,341</w:t>
            </w: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tcPr>
          <w:p>
            <w:pPr>
              <w:jc w:val="right"/>
              <w:spacing w:after="0" w:line="103" w:lineRule="exact"/>
              <w:rPr>
                <w:sz w:val="20"/>
                <w:szCs w:val="20"/>
                <w:color w:val="auto"/>
              </w:rPr>
            </w:pPr>
            <w:r>
              <w:rPr>
                <w:rFonts w:ascii="Times New Roman" w:cs="Times New Roman" w:eastAsia="Times New Roman" w:hAnsi="Times New Roman"/>
                <w:sz w:val="11"/>
                <w:szCs w:val="11"/>
                <w:color w:val="auto"/>
              </w:rPr>
              <w:t>7,296</w:t>
            </w: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jc w:val="right"/>
              <w:spacing w:after="0" w:line="103" w:lineRule="exact"/>
              <w:rPr>
                <w:sz w:val="20"/>
                <w:szCs w:val="20"/>
                <w:color w:val="auto"/>
              </w:rPr>
            </w:pPr>
            <w:r>
              <w:rPr>
                <w:rFonts w:ascii="Times New Roman" w:cs="Times New Roman" w:eastAsia="Times New Roman" w:hAnsi="Times New Roman"/>
                <w:sz w:val="11"/>
                <w:szCs w:val="11"/>
                <w:color w:val="auto"/>
              </w:rPr>
              <w:t>7,267</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236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HW Holdco, LLC (Revolver) </w:t>
            </w:r>
            <w:r>
              <w:rPr>
                <w:rFonts w:ascii="Times New Roman" w:cs="Times New Roman" w:eastAsia="Times New Roman" w:hAnsi="Times New Roman"/>
                <w:sz w:val="14"/>
                <w:szCs w:val="14"/>
                <w:color w:val="auto"/>
                <w:vertAlign w:val="superscript"/>
              </w:rPr>
              <w:t>(7)</w:t>
            </w:r>
          </w:p>
        </w:tc>
        <w:tc>
          <w:tcPr>
            <w:tcW w:w="880" w:type="dxa"/>
            <w:vAlign w:val="bottom"/>
            <w:gridSpan w:val="2"/>
          </w:tcPr>
          <w:p>
            <w:pPr>
              <w:ind w:left="260"/>
              <w:spacing w:after="0"/>
              <w:rPr>
                <w:sz w:val="20"/>
                <w:szCs w:val="20"/>
                <w:color w:val="auto"/>
              </w:rPr>
            </w:pPr>
            <w:r>
              <w:rPr>
                <w:rFonts w:ascii="Times New Roman" w:cs="Times New Roman" w:eastAsia="Times New Roman" w:hAnsi="Times New Roman"/>
                <w:sz w:val="11"/>
                <w:szCs w:val="11"/>
                <w:color w:val="auto"/>
              </w:rPr>
              <w:t>12/10/2024</w:t>
            </w:r>
          </w:p>
        </w:tc>
        <w:tc>
          <w:tcPr>
            <w:tcW w:w="140" w:type="dxa"/>
            <w:vAlign w:val="bottom"/>
          </w:tcPr>
          <w:p>
            <w:pPr>
              <w:spacing w:after="0"/>
              <w:rPr>
                <w:sz w:val="11"/>
                <w:szCs w:val="11"/>
                <w:color w:val="auto"/>
              </w:rPr>
            </w:pPr>
          </w:p>
        </w:tc>
        <w:tc>
          <w:tcPr>
            <w:tcW w:w="25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Media</w:t>
            </w:r>
          </w:p>
        </w:tc>
        <w:tc>
          <w:tcPr>
            <w:tcW w:w="1220" w:type="dxa"/>
            <w:vAlign w:val="bottom"/>
            <w:gridSpan w:val="3"/>
          </w:tcPr>
          <w:p>
            <w:pPr>
              <w:jc w:val="right"/>
              <w:ind w:right="20"/>
              <w:spacing w:after="0"/>
              <w:rPr>
                <w:sz w:val="20"/>
                <w:szCs w:val="20"/>
                <w:color w:val="auto"/>
              </w:rPr>
            </w:pPr>
            <w:r>
              <w:rPr>
                <w:rFonts w:ascii="Times New Roman" w:cs="Times New Roman" w:eastAsia="Times New Roman" w:hAnsi="Times New Roman"/>
                <w:sz w:val="11"/>
                <w:szCs w:val="11"/>
                <w:color w:val="auto"/>
              </w:rPr>
              <w:t>5.50 %</w:t>
            </w:r>
          </w:p>
        </w:tc>
        <w:tc>
          <w:tcPr>
            <w:tcW w:w="14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1M L+450</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523</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523</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517</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1"/>
        </w:trPr>
        <w:tc>
          <w:tcPr>
            <w:tcW w:w="23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 xml:space="preserve">HW Holdco, LLC (Revolver) </w:t>
            </w:r>
            <w:r>
              <w:rPr>
                <w:rFonts w:ascii="Times New Roman" w:cs="Times New Roman" w:eastAsia="Times New Roman" w:hAnsi="Times New Roman"/>
                <w:sz w:val="14"/>
                <w:szCs w:val="14"/>
                <w:color w:val="auto"/>
                <w:vertAlign w:val="superscript"/>
              </w:rPr>
              <w:t>(7), (9)</w:t>
            </w:r>
          </w:p>
        </w:tc>
        <w:tc>
          <w:tcPr>
            <w:tcW w:w="880" w:type="dxa"/>
            <w:vAlign w:val="bottom"/>
            <w:gridSpan w:val="2"/>
          </w:tcPr>
          <w:p>
            <w:pPr>
              <w:ind w:left="260"/>
              <w:spacing w:after="0"/>
              <w:rPr>
                <w:sz w:val="20"/>
                <w:szCs w:val="20"/>
                <w:color w:val="auto"/>
              </w:rPr>
            </w:pPr>
            <w:r>
              <w:rPr>
                <w:rFonts w:ascii="Times New Roman" w:cs="Times New Roman" w:eastAsia="Times New Roman" w:hAnsi="Times New Roman"/>
                <w:sz w:val="11"/>
                <w:szCs w:val="11"/>
                <w:color w:val="auto"/>
              </w:rPr>
              <w:t>12/10/2024</w:t>
            </w:r>
          </w:p>
        </w:tc>
        <w:tc>
          <w:tcPr>
            <w:tcW w:w="140" w:type="dxa"/>
            <w:vAlign w:val="bottom"/>
          </w:tcPr>
          <w:p>
            <w:pPr>
              <w:spacing w:after="0"/>
              <w:rPr>
                <w:sz w:val="16"/>
                <w:szCs w:val="16"/>
                <w:color w:val="auto"/>
              </w:rPr>
            </w:pPr>
          </w:p>
        </w:tc>
        <w:tc>
          <w:tcPr>
            <w:tcW w:w="25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Media</w:t>
            </w:r>
          </w:p>
        </w:tc>
        <w:tc>
          <w:tcPr>
            <w:tcW w:w="120" w:type="dxa"/>
            <w:vAlign w:val="bottom"/>
          </w:tcPr>
          <w:p>
            <w:pPr>
              <w:spacing w:after="0"/>
              <w:rPr>
                <w:sz w:val="16"/>
                <w:szCs w:val="16"/>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929</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(9 )</w:t>
            </w:r>
          </w:p>
        </w:tc>
        <w:tc>
          <w:tcPr>
            <w:tcW w:w="0" w:type="dxa"/>
            <w:vAlign w:val="bottom"/>
          </w:tcPr>
          <w:p>
            <w:pPr>
              <w:spacing w:after="0"/>
              <w:rPr>
                <w:sz w:val="1"/>
                <w:szCs w:val="1"/>
                <w:color w:val="auto"/>
              </w:rPr>
            </w:pPr>
          </w:p>
        </w:tc>
      </w:tr>
      <w:tr>
        <w:trPr>
          <w:trHeight w:val="293"/>
        </w:trPr>
        <w:tc>
          <w:tcPr>
            <w:tcW w:w="23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5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-7646035</wp:posOffset>
            </wp:positionV>
            <wp:extent cx="7132320" cy="9461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323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-7294245</wp:posOffset>
            </wp:positionV>
            <wp:extent cx="7132320" cy="8572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-7122795</wp:posOffset>
            </wp:positionV>
            <wp:extent cx="7132320" cy="8572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-6951345</wp:posOffset>
            </wp:positionV>
            <wp:extent cx="7132320" cy="8572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-6779895</wp:posOffset>
            </wp:positionV>
            <wp:extent cx="7132320" cy="8572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-6557010</wp:posOffset>
            </wp:positionV>
            <wp:extent cx="7132320" cy="8572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-6385560</wp:posOffset>
            </wp:positionV>
            <wp:extent cx="7132320" cy="8572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-6042660</wp:posOffset>
            </wp:positionV>
            <wp:extent cx="7132320" cy="8572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-5871210</wp:posOffset>
            </wp:positionV>
            <wp:extent cx="7132320" cy="8572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-5699760</wp:posOffset>
            </wp:positionV>
            <wp:extent cx="7132320" cy="8572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-5528310</wp:posOffset>
            </wp:positionV>
            <wp:extent cx="7132320" cy="8572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-5356860</wp:posOffset>
            </wp:positionV>
            <wp:extent cx="7132320" cy="16256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-4851400</wp:posOffset>
            </wp:positionV>
            <wp:extent cx="7132320" cy="8572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-4431030</wp:posOffset>
            </wp:positionV>
            <wp:extent cx="7132320" cy="8572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-4259580</wp:posOffset>
            </wp:positionV>
            <wp:extent cx="7132320" cy="8572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-4088130</wp:posOffset>
            </wp:positionV>
            <wp:extent cx="7132320" cy="8572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-3916680</wp:posOffset>
            </wp:positionV>
            <wp:extent cx="7132320" cy="8572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-3745230</wp:posOffset>
            </wp:positionV>
            <wp:extent cx="7132320" cy="8572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-3573780</wp:posOffset>
            </wp:positionV>
            <wp:extent cx="7132320" cy="8572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-3402330</wp:posOffset>
            </wp:positionV>
            <wp:extent cx="7132320" cy="8572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-2562225</wp:posOffset>
            </wp:positionV>
            <wp:extent cx="7132320" cy="8572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-2390775</wp:posOffset>
            </wp:positionV>
            <wp:extent cx="7132320" cy="8572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-1962150</wp:posOffset>
            </wp:positionV>
            <wp:extent cx="7132320" cy="8572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-1790700</wp:posOffset>
            </wp:positionV>
            <wp:extent cx="7132320" cy="13716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-1490980</wp:posOffset>
            </wp:positionV>
            <wp:extent cx="7132320" cy="8572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-1319530</wp:posOffset>
            </wp:positionV>
            <wp:extent cx="7132320" cy="8572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-1148080</wp:posOffset>
            </wp:positionV>
            <wp:extent cx="7132320" cy="8572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-976630</wp:posOffset>
            </wp:positionV>
            <wp:extent cx="7132320" cy="8572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-805180</wp:posOffset>
            </wp:positionV>
            <wp:extent cx="7132320" cy="8572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-385445</wp:posOffset>
            </wp:positionV>
            <wp:extent cx="7132320" cy="8572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161"/>
        </w:trPr>
        <w:tc>
          <w:tcPr>
            <w:tcW w:w="23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 xml:space="preserve">IG Investments Holdings, LLC </w:t>
            </w:r>
            <w:r>
              <w:rPr>
                <w:rFonts w:ascii="Times New Roman" w:cs="Times New Roman" w:eastAsia="Times New Roman" w:hAnsi="Times New Roman"/>
                <w:sz w:val="14"/>
                <w:szCs w:val="14"/>
                <w:color w:val="auto"/>
                <w:vertAlign w:val="superscript"/>
              </w:rPr>
              <w:t>(7)</w:t>
            </w:r>
          </w:p>
        </w:tc>
        <w:tc>
          <w:tcPr>
            <w:tcW w:w="1300" w:type="dxa"/>
            <w:vAlign w:val="bottom"/>
          </w:tcPr>
          <w:p>
            <w:pPr>
              <w:jc w:val="right"/>
              <w:ind w:right="486"/>
              <w:spacing w:after="0"/>
              <w:rPr>
                <w:sz w:val="20"/>
                <w:szCs w:val="20"/>
                <w:color w:val="auto"/>
              </w:rPr>
            </w:pPr>
            <w:r>
              <w:rPr>
                <w:rFonts w:ascii="Times New Roman" w:cs="Times New Roman" w:eastAsia="Times New Roman" w:hAnsi="Times New Roman"/>
                <w:sz w:val="11"/>
                <w:szCs w:val="11"/>
                <w:color w:val="auto"/>
              </w:rPr>
              <w:t>09/22/2028</w:t>
            </w:r>
          </w:p>
        </w:tc>
        <w:tc>
          <w:tcPr>
            <w:tcW w:w="2320" w:type="dxa"/>
            <w:vAlign w:val="bottom"/>
          </w:tcPr>
          <w:p>
            <w:pPr>
              <w:ind w:left="540"/>
              <w:spacing w:after="0"/>
              <w:rPr>
                <w:sz w:val="20"/>
                <w:szCs w:val="20"/>
                <w:color w:val="auto"/>
              </w:rPr>
            </w:pPr>
            <w:r>
              <w:rPr>
                <w:rFonts w:ascii="Times New Roman" w:cs="Times New Roman" w:eastAsia="Times New Roman" w:hAnsi="Times New Roman"/>
                <w:sz w:val="11"/>
                <w:szCs w:val="11"/>
                <w:color w:val="auto"/>
              </w:rPr>
              <w:t>Professional Services</w:t>
            </w:r>
          </w:p>
        </w:tc>
        <w:tc>
          <w:tcPr>
            <w:tcW w:w="1400" w:type="dxa"/>
            <w:vAlign w:val="bottom"/>
          </w:tcPr>
          <w:p>
            <w:pPr>
              <w:jc w:val="right"/>
              <w:ind w:right="186"/>
              <w:spacing w:after="0"/>
              <w:rPr>
                <w:sz w:val="20"/>
                <w:szCs w:val="20"/>
                <w:color w:val="auto"/>
              </w:rPr>
            </w:pPr>
            <w:r>
              <w:rPr>
                <w:rFonts w:ascii="Times New Roman" w:cs="Times New Roman" w:eastAsia="Times New Roman" w:hAnsi="Times New Roman"/>
                <w:sz w:val="11"/>
                <w:szCs w:val="11"/>
                <w:color w:val="auto"/>
              </w:rPr>
              <w:t>6.75 %</w:t>
            </w:r>
          </w:p>
        </w:tc>
        <w:tc>
          <w:tcPr>
            <w:tcW w:w="1080" w:type="dxa"/>
            <w:vAlign w:val="bottom"/>
          </w:tcPr>
          <w:p>
            <w:pPr>
              <w:jc w:val="right"/>
              <w:ind w:right="346"/>
              <w:spacing w:after="0"/>
              <w:rPr>
                <w:sz w:val="20"/>
                <w:szCs w:val="20"/>
                <w:color w:val="auto"/>
              </w:rPr>
            </w:pPr>
            <w:r>
              <w:rPr>
                <w:rFonts w:ascii="Times New Roman" w:cs="Times New Roman" w:eastAsia="Times New Roman" w:hAnsi="Times New Roman"/>
                <w:sz w:val="11"/>
                <w:szCs w:val="11"/>
                <w:color w:val="auto"/>
              </w:rPr>
              <w:t>3M L+600</w:t>
            </w:r>
          </w:p>
        </w:tc>
        <w:tc>
          <w:tcPr>
            <w:tcW w:w="1020" w:type="dxa"/>
            <w:vAlign w:val="bottom"/>
          </w:tcPr>
          <w:p>
            <w:pPr>
              <w:jc w:val="right"/>
              <w:ind w:right="326"/>
              <w:spacing w:after="0"/>
              <w:rPr>
                <w:sz w:val="20"/>
                <w:szCs w:val="20"/>
                <w:color w:val="auto"/>
              </w:rPr>
            </w:pPr>
            <w:r>
              <w:rPr>
                <w:rFonts w:ascii="Times New Roman" w:cs="Times New Roman" w:eastAsia="Times New Roman" w:hAnsi="Times New Roman"/>
                <w:sz w:val="11"/>
                <w:szCs w:val="11"/>
                <w:color w:val="auto"/>
              </w:rPr>
              <w:t>4,518</w:t>
            </w:r>
          </w:p>
        </w:tc>
        <w:tc>
          <w:tcPr>
            <w:tcW w:w="1020" w:type="dxa"/>
            <w:vAlign w:val="bottom"/>
          </w:tcPr>
          <w:p>
            <w:pPr>
              <w:jc w:val="right"/>
              <w:ind w:right="346"/>
              <w:spacing w:after="0"/>
              <w:rPr>
                <w:sz w:val="20"/>
                <w:szCs w:val="20"/>
                <w:color w:val="auto"/>
              </w:rPr>
            </w:pPr>
            <w:r>
              <w:rPr>
                <w:rFonts w:ascii="Times New Roman" w:cs="Times New Roman" w:eastAsia="Times New Roman" w:hAnsi="Times New Roman"/>
                <w:sz w:val="11"/>
                <w:szCs w:val="11"/>
                <w:color w:val="auto"/>
              </w:rPr>
              <w:t>4,428</w:t>
            </w:r>
          </w:p>
        </w:tc>
        <w:tc>
          <w:tcPr>
            <w:tcW w:w="7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4,428</w:t>
            </w:r>
          </w:p>
        </w:tc>
      </w:tr>
      <w:tr>
        <w:trPr>
          <w:trHeight w:val="191"/>
        </w:trPr>
        <w:tc>
          <w:tcPr>
            <w:tcW w:w="23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 xml:space="preserve">IG Investments Holdings, LLC (Revolver) </w:t>
            </w:r>
            <w:r>
              <w:rPr>
                <w:rFonts w:ascii="Times New Roman" w:cs="Times New Roman" w:eastAsia="Times New Roman" w:hAnsi="Times New Roman"/>
                <w:sz w:val="14"/>
                <w:szCs w:val="14"/>
                <w:color w:val="auto"/>
                <w:vertAlign w:val="superscript"/>
              </w:rPr>
              <w:t>(7), (9)</w:t>
            </w:r>
          </w:p>
        </w:tc>
        <w:tc>
          <w:tcPr>
            <w:tcW w:w="1300" w:type="dxa"/>
            <w:vAlign w:val="bottom"/>
          </w:tcPr>
          <w:p>
            <w:pPr>
              <w:jc w:val="right"/>
              <w:ind w:right="486"/>
              <w:spacing w:after="0"/>
              <w:rPr>
                <w:sz w:val="20"/>
                <w:szCs w:val="20"/>
                <w:color w:val="auto"/>
              </w:rPr>
            </w:pPr>
            <w:r>
              <w:rPr>
                <w:rFonts w:ascii="Times New Roman" w:cs="Times New Roman" w:eastAsia="Times New Roman" w:hAnsi="Times New Roman"/>
                <w:sz w:val="11"/>
                <w:szCs w:val="11"/>
                <w:color w:val="auto"/>
              </w:rPr>
              <w:t>09/22/2027</w:t>
            </w:r>
          </w:p>
        </w:tc>
        <w:tc>
          <w:tcPr>
            <w:tcW w:w="2320" w:type="dxa"/>
            <w:vAlign w:val="bottom"/>
          </w:tcPr>
          <w:p>
            <w:pPr>
              <w:ind w:left="540"/>
              <w:spacing w:after="0"/>
              <w:rPr>
                <w:sz w:val="20"/>
                <w:szCs w:val="20"/>
                <w:color w:val="auto"/>
              </w:rPr>
            </w:pPr>
            <w:r>
              <w:rPr>
                <w:rFonts w:ascii="Times New Roman" w:cs="Times New Roman" w:eastAsia="Times New Roman" w:hAnsi="Times New Roman"/>
                <w:sz w:val="11"/>
                <w:szCs w:val="11"/>
                <w:color w:val="auto"/>
              </w:rPr>
              <w:t>Professional Services</w:t>
            </w:r>
          </w:p>
        </w:tc>
        <w:tc>
          <w:tcPr>
            <w:tcW w:w="1400" w:type="dxa"/>
            <w:vAlign w:val="bottom"/>
          </w:tcPr>
          <w:p>
            <w:pPr>
              <w:jc w:val="right"/>
              <w:ind w:right="306"/>
              <w:spacing w:after="0"/>
              <w:rPr>
                <w:sz w:val="20"/>
                <w:szCs w:val="20"/>
                <w:color w:val="auto"/>
              </w:rPr>
            </w:pPr>
            <w:r>
              <w:rPr>
                <w:rFonts w:ascii="Times New Roman" w:cs="Times New Roman" w:eastAsia="Times New Roman" w:hAnsi="Times New Roman"/>
                <w:sz w:val="11"/>
                <w:szCs w:val="11"/>
                <w:color w:val="auto"/>
              </w:rPr>
              <w:t>—</w:t>
            </w:r>
          </w:p>
        </w:tc>
        <w:tc>
          <w:tcPr>
            <w:tcW w:w="1080" w:type="dxa"/>
            <w:vAlign w:val="bottom"/>
          </w:tcPr>
          <w:p>
            <w:pPr>
              <w:jc w:val="right"/>
              <w:ind w:right="346"/>
              <w:spacing w:after="0"/>
              <w:rPr>
                <w:sz w:val="20"/>
                <w:szCs w:val="20"/>
                <w:color w:val="auto"/>
              </w:rPr>
            </w:pPr>
            <w:r>
              <w:rPr>
                <w:rFonts w:ascii="Times New Roman" w:cs="Times New Roman" w:eastAsia="Times New Roman" w:hAnsi="Times New Roman"/>
                <w:sz w:val="11"/>
                <w:szCs w:val="11"/>
                <w:color w:val="auto"/>
              </w:rPr>
              <w:t>—</w:t>
            </w:r>
          </w:p>
        </w:tc>
        <w:tc>
          <w:tcPr>
            <w:tcW w:w="1020" w:type="dxa"/>
            <w:vAlign w:val="bottom"/>
          </w:tcPr>
          <w:p>
            <w:pPr>
              <w:jc w:val="right"/>
              <w:ind w:right="326"/>
              <w:spacing w:after="0"/>
              <w:rPr>
                <w:sz w:val="20"/>
                <w:szCs w:val="20"/>
                <w:color w:val="auto"/>
              </w:rPr>
            </w:pPr>
            <w:r>
              <w:rPr>
                <w:rFonts w:ascii="Times New Roman" w:cs="Times New Roman" w:eastAsia="Times New Roman" w:hAnsi="Times New Roman"/>
                <w:sz w:val="11"/>
                <w:szCs w:val="11"/>
                <w:color w:val="auto"/>
              </w:rPr>
              <w:t>477</w:t>
            </w:r>
          </w:p>
        </w:tc>
        <w:tc>
          <w:tcPr>
            <w:tcW w:w="1020" w:type="dxa"/>
            <w:vAlign w:val="bottom"/>
          </w:tcPr>
          <w:p>
            <w:pPr>
              <w:jc w:val="right"/>
              <w:ind w:right="346"/>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r>
      <w:tr>
        <w:trPr>
          <w:trHeight w:val="509"/>
        </w:trPr>
        <w:tc>
          <w:tcPr>
            <w:tcW w:w="236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232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-521970</wp:posOffset>
            </wp:positionV>
            <wp:extent cx="7132320" cy="8572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2" w:right="339" w:bottom="1440" w:gutter="0" w:footer="0" w:header="0"/>
        </w:sectPr>
      </w:pPr>
    </w:p>
    <w:bookmarkStart w:id="19" w:name="page20"/>
    <w:bookmarkEnd w:id="19"/>
    <w:p>
      <w:pPr>
        <w:jc w:val="center"/>
        <w:spacing w:after="0"/>
        <w:rPr>
          <w:sz w:val="20"/>
          <w:szCs w:val="20"/>
          <w:color w:val="auto"/>
        </w:rPr>
      </w:pPr>
      <w:r>
        <w:rPr>
          <w:rFonts w:ascii="Times New Roman" w:cs="Times New Roman" w:eastAsia="Times New Roman" w:hAnsi="Times New Roman"/>
          <w:sz w:val="14"/>
          <w:szCs w:val="14"/>
          <w:b w:val="1"/>
          <w:bCs w:val="1"/>
          <w:color w:val="auto"/>
        </w:rPr>
        <w:t>PENNANTPARK FLOATING RATE CAPITAL LTD. AND SUBSIDIARIES</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CONSOLIDATED SCHEDULE OF INVESTMENTS—(Continued)</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SEPTEMBER 30, 2021</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(in thousands, except share data)</w:t>
      </w:r>
    </w:p>
    <w:tbl>
      <w:tblPr>
        <w:tblLayout w:type="fixed"/>
        <w:tblInd w:w="0" w:type="dxa"/>
        <w:tblCellMar>
          <w:top w:w="0" w:type="dxa"/>
          <w:left w:w="0" w:type="dxa"/>
          <w:bottom w:w="0" w:type="dxa"/>
          <w:right w:w="0" w:type="dxa"/>
        </w:tblCellMar>
      </w:tblPr>
      <w:tr>
        <w:trPr>
          <w:trHeight w:val="102"/>
        </w:trPr>
        <w:tc>
          <w:tcPr>
            <w:tcW w:w="2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40" w:type="dxa"/>
            <w:vAlign w:val="bottom"/>
          </w:tcPr>
          <w:p>
            <w:pPr>
              <w:spacing w:after="0"/>
              <w:rPr>
                <w:sz w:val="8"/>
                <w:szCs w:val="8"/>
                <w:color w:val="auto"/>
              </w:rPr>
            </w:pPr>
          </w:p>
        </w:tc>
        <w:tc>
          <w:tcPr>
            <w:tcW w:w="2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0" w:type="dxa"/>
            <w:vAlign w:val="bottom"/>
          </w:tcPr>
          <w:p>
            <w:pPr>
              <w:jc w:val="center"/>
              <w:spacing w:after="0" w:line="102" w:lineRule="exact"/>
              <w:rPr>
                <w:sz w:val="20"/>
                <w:szCs w:val="20"/>
                <w:color w:val="auto"/>
              </w:rPr>
            </w:pPr>
            <w:r>
              <w:rPr>
                <w:rFonts w:ascii="Times New Roman" w:cs="Times New Roman" w:eastAsia="Times New Roman" w:hAnsi="Times New Roman"/>
                <w:sz w:val="11"/>
                <w:szCs w:val="11"/>
                <w:b w:val="1"/>
                <w:bCs w:val="1"/>
                <w:color w:val="auto"/>
                <w:w w:val="99"/>
              </w:rPr>
              <w:t>Basis Point</w:t>
            </w:r>
          </w:p>
        </w:tc>
        <w:tc>
          <w:tcPr>
            <w:tcW w:w="220" w:type="dxa"/>
            <w:vAlign w:val="bottom"/>
          </w:tcPr>
          <w:p>
            <w:pPr>
              <w:spacing w:after="0"/>
              <w:rPr>
                <w:sz w:val="8"/>
                <w:szCs w:val="8"/>
                <w:color w:val="auto"/>
              </w:rPr>
            </w:pPr>
          </w:p>
        </w:tc>
        <w:tc>
          <w:tcPr>
            <w:tcW w:w="7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9"/>
        </w:trPr>
        <w:tc>
          <w:tcPr>
            <w:tcW w:w="24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0" w:type="dxa"/>
            <w:vAlign w:val="bottom"/>
          </w:tcPr>
          <w:p>
            <w:pPr>
              <w:jc w:val="center"/>
              <w:spacing w:after="0" w:line="120" w:lineRule="exact"/>
              <w:rPr>
                <w:sz w:val="20"/>
                <w:szCs w:val="20"/>
                <w:color w:val="auto"/>
              </w:rPr>
            </w:pPr>
            <w:r>
              <w:rPr>
                <w:rFonts w:ascii="Times New Roman" w:cs="Times New Roman" w:eastAsia="Times New Roman" w:hAnsi="Times New Roman"/>
                <w:sz w:val="11"/>
                <w:szCs w:val="11"/>
                <w:b w:val="1"/>
                <w:bCs w:val="1"/>
                <w:color w:val="auto"/>
                <w:w w:val="95"/>
              </w:rPr>
              <w:t>Spread</w:t>
            </w:r>
          </w:p>
        </w:tc>
        <w:tc>
          <w:tcPr>
            <w:tcW w:w="2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0"/>
        </w:trPr>
        <w:tc>
          <w:tcPr>
            <w:tcW w:w="24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tcPr>
          <w:p>
            <w:pPr>
              <w:spacing w:after="0"/>
              <w:rPr>
                <w:sz w:val="9"/>
                <w:szCs w:val="9"/>
                <w:color w:val="auto"/>
              </w:rPr>
            </w:pPr>
          </w:p>
        </w:tc>
        <w:tc>
          <w:tcPr>
            <w:tcW w:w="140" w:type="dxa"/>
            <w:vAlign w:val="bottom"/>
          </w:tcPr>
          <w:p>
            <w:pPr>
              <w:spacing w:after="0"/>
              <w:rPr>
                <w:sz w:val="9"/>
                <w:szCs w:val="9"/>
                <w:color w:val="auto"/>
              </w:rPr>
            </w:pPr>
          </w:p>
        </w:tc>
        <w:tc>
          <w:tcPr>
            <w:tcW w:w="2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40" w:type="dxa"/>
            <w:vAlign w:val="bottom"/>
            <w:gridSpan w:val="2"/>
          </w:tcPr>
          <w:p>
            <w:pPr>
              <w:jc w:val="right"/>
              <w:ind w:right="506"/>
              <w:spacing w:after="0" w:line="111" w:lineRule="exact"/>
              <w:rPr>
                <w:sz w:val="20"/>
                <w:szCs w:val="20"/>
                <w:color w:val="auto"/>
              </w:rPr>
            </w:pPr>
            <w:r>
              <w:rPr>
                <w:rFonts w:ascii="Times New Roman" w:cs="Times New Roman" w:eastAsia="Times New Roman" w:hAnsi="Times New Roman"/>
                <w:sz w:val="11"/>
                <w:szCs w:val="11"/>
                <w:b w:val="1"/>
                <w:bCs w:val="1"/>
                <w:color w:val="auto"/>
              </w:rPr>
              <w:t>Current</w:t>
            </w:r>
          </w:p>
        </w:tc>
        <w:tc>
          <w:tcPr>
            <w:tcW w:w="800" w:type="dxa"/>
            <w:vAlign w:val="bottom"/>
          </w:tcPr>
          <w:p>
            <w:pPr>
              <w:jc w:val="center"/>
              <w:spacing w:after="0" w:line="111" w:lineRule="exact"/>
              <w:rPr>
                <w:sz w:val="20"/>
                <w:szCs w:val="20"/>
                <w:color w:val="auto"/>
              </w:rPr>
            </w:pPr>
            <w:r>
              <w:rPr>
                <w:rFonts w:ascii="Times New Roman" w:cs="Times New Roman" w:eastAsia="Times New Roman" w:hAnsi="Times New Roman"/>
                <w:sz w:val="11"/>
                <w:szCs w:val="11"/>
                <w:b w:val="1"/>
                <w:bCs w:val="1"/>
                <w:color w:val="auto"/>
              </w:rPr>
              <w:t>Above</w:t>
            </w:r>
          </w:p>
        </w:tc>
        <w:tc>
          <w:tcPr>
            <w:tcW w:w="220" w:type="dxa"/>
            <w:vAlign w:val="bottom"/>
          </w:tcPr>
          <w:p>
            <w:pPr>
              <w:spacing w:after="0"/>
              <w:rPr>
                <w:sz w:val="9"/>
                <w:szCs w:val="9"/>
                <w:color w:val="auto"/>
              </w:rPr>
            </w:pPr>
          </w:p>
        </w:tc>
        <w:tc>
          <w:tcPr>
            <w:tcW w:w="760" w:type="dxa"/>
            <w:vAlign w:val="bottom"/>
          </w:tcPr>
          <w:p>
            <w:pPr>
              <w:jc w:val="right"/>
              <w:ind w:right="206"/>
              <w:spacing w:after="0" w:line="111" w:lineRule="exact"/>
              <w:rPr>
                <w:sz w:val="20"/>
                <w:szCs w:val="20"/>
                <w:color w:val="auto"/>
              </w:rPr>
            </w:pPr>
            <w:r>
              <w:rPr>
                <w:rFonts w:ascii="Times New Roman" w:cs="Times New Roman" w:eastAsia="Times New Roman" w:hAnsi="Times New Roman"/>
                <w:sz w:val="11"/>
                <w:szCs w:val="11"/>
                <w:b w:val="1"/>
                <w:bCs w:val="1"/>
                <w:color w:val="auto"/>
              </w:rPr>
              <w:t>Par /</w:t>
            </w: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1"/>
                <w:szCs w:val="11"/>
                <w:b w:val="1"/>
                <w:bCs w:val="1"/>
                <w:color w:val="auto"/>
                <w:w w:val="90"/>
              </w:rPr>
              <w:t xml:space="preserve">Fair Value </w:t>
            </w:r>
            <w:r>
              <w:rPr>
                <w:rFonts w:ascii="Times New Roman" w:cs="Times New Roman" w:eastAsia="Times New Roman" w:hAnsi="Times New Roman"/>
                <w:sz w:val="14"/>
                <w:szCs w:val="14"/>
                <w:b w:val="1"/>
                <w:bCs w:val="1"/>
                <w:color w:val="auto"/>
                <w:w w:val="90"/>
                <w:vertAlign w:val="superscript"/>
              </w:rPr>
              <w:t>(2)</w:t>
            </w:r>
          </w:p>
        </w:tc>
        <w:tc>
          <w:tcPr>
            <w:tcW w:w="0" w:type="dxa"/>
            <w:vAlign w:val="bottom"/>
          </w:tcPr>
          <w:p>
            <w:pPr>
              <w:spacing w:after="0"/>
              <w:rPr>
                <w:sz w:val="1"/>
                <w:szCs w:val="1"/>
                <w:color w:val="auto"/>
              </w:rPr>
            </w:pPr>
          </w:p>
        </w:tc>
      </w:tr>
      <w:tr>
        <w:trPr>
          <w:trHeight w:val="162"/>
        </w:trPr>
        <w:tc>
          <w:tcPr>
            <w:tcW w:w="240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Issuer Name</w:t>
            </w:r>
          </w:p>
        </w:tc>
        <w:tc>
          <w:tcPr>
            <w:tcW w:w="14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Maturity</w:t>
            </w:r>
          </w:p>
        </w:tc>
        <w:tc>
          <w:tcPr>
            <w:tcW w:w="140" w:type="dxa"/>
            <w:vAlign w:val="bottom"/>
          </w:tcPr>
          <w:p>
            <w:pPr>
              <w:spacing w:after="0"/>
              <w:rPr>
                <w:sz w:val="14"/>
                <w:szCs w:val="14"/>
                <w:color w:val="auto"/>
              </w:rPr>
            </w:pPr>
          </w:p>
        </w:tc>
        <w:tc>
          <w:tcPr>
            <w:tcW w:w="26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Industry</w:t>
            </w:r>
          </w:p>
        </w:tc>
        <w:tc>
          <w:tcPr>
            <w:tcW w:w="120" w:type="dxa"/>
            <w:vAlign w:val="bottom"/>
          </w:tcPr>
          <w:p>
            <w:pPr>
              <w:spacing w:after="0"/>
              <w:rPr>
                <w:sz w:val="14"/>
                <w:szCs w:val="14"/>
                <w:color w:val="auto"/>
              </w:rPr>
            </w:pPr>
          </w:p>
        </w:tc>
        <w:tc>
          <w:tcPr>
            <w:tcW w:w="1240" w:type="dxa"/>
            <w:vAlign w:val="bottom"/>
            <w:gridSpan w:val="2"/>
          </w:tcPr>
          <w:p>
            <w:pPr>
              <w:jc w:val="right"/>
              <w:ind w:right="486"/>
              <w:spacing w:after="0"/>
              <w:rPr>
                <w:sz w:val="20"/>
                <w:szCs w:val="20"/>
                <w:color w:val="auto"/>
              </w:rPr>
            </w:pPr>
            <w:r>
              <w:rPr>
                <w:rFonts w:ascii="Times New Roman" w:cs="Times New Roman" w:eastAsia="Times New Roman" w:hAnsi="Times New Roman"/>
                <w:sz w:val="11"/>
                <w:szCs w:val="11"/>
                <w:b w:val="1"/>
                <w:bCs w:val="1"/>
                <w:color w:val="auto"/>
              </w:rPr>
              <w:t>Coupon</w:t>
            </w:r>
          </w:p>
        </w:tc>
        <w:tc>
          <w:tcPr>
            <w:tcW w:w="8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3"/>
              </w:rPr>
              <w:t xml:space="preserve">Index </w:t>
            </w:r>
            <w:r>
              <w:rPr>
                <w:rFonts w:ascii="Times New Roman" w:cs="Times New Roman" w:eastAsia="Times New Roman" w:hAnsi="Times New Roman"/>
                <w:sz w:val="14"/>
                <w:szCs w:val="14"/>
                <w:b w:val="1"/>
                <w:bCs w:val="1"/>
                <w:color w:val="auto"/>
                <w:w w:val="93"/>
                <w:vertAlign w:val="superscript"/>
              </w:rPr>
              <w:t>(1)</w:t>
            </w:r>
          </w:p>
        </w:tc>
        <w:tc>
          <w:tcPr>
            <w:tcW w:w="220" w:type="dxa"/>
            <w:vAlign w:val="bottom"/>
          </w:tcPr>
          <w:p>
            <w:pPr>
              <w:spacing w:after="0"/>
              <w:rPr>
                <w:sz w:val="14"/>
                <w:szCs w:val="14"/>
                <w:color w:val="auto"/>
              </w:rPr>
            </w:pPr>
          </w:p>
        </w:tc>
        <w:tc>
          <w:tcPr>
            <w:tcW w:w="760" w:type="dxa"/>
            <w:vAlign w:val="bottom"/>
          </w:tcPr>
          <w:p>
            <w:pPr>
              <w:jc w:val="right"/>
              <w:ind w:right="146"/>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jc w:val="right"/>
              <w:ind w:right="226"/>
              <w:spacing w:after="0"/>
              <w:rPr>
                <w:sz w:val="20"/>
                <w:szCs w:val="20"/>
                <w:color w:val="auto"/>
              </w:rPr>
            </w:pPr>
            <w:r>
              <w:rPr>
                <w:rFonts w:ascii="Times New Roman" w:cs="Times New Roman" w:eastAsia="Times New Roman" w:hAnsi="Times New Roman"/>
                <w:sz w:val="11"/>
                <w:szCs w:val="11"/>
                <w:b w:val="1"/>
                <w:bCs w:val="1"/>
                <w:color w:val="auto"/>
              </w:rPr>
              <w:t>Cost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97"/>
        </w:trPr>
        <w:tc>
          <w:tcPr>
            <w:tcW w:w="2400" w:type="dxa"/>
            <w:vAlign w:val="bottom"/>
            <w:tcBorders>
              <w:top w:val="single" w:sz="8" w:color="auto"/>
            </w:tcBorders>
          </w:tcPr>
          <w:p>
            <w:pPr>
              <w:ind w:left="20"/>
              <w:spacing w:after="0" w:line="97" w:lineRule="exact"/>
              <w:rPr>
                <w:sz w:val="20"/>
                <w:szCs w:val="20"/>
                <w:color w:val="auto"/>
              </w:rPr>
            </w:pPr>
            <w:r>
              <w:rPr>
                <w:rFonts w:ascii="Times New Roman" w:cs="Times New Roman" w:eastAsia="Times New Roman" w:hAnsi="Times New Roman"/>
                <w:sz w:val="11"/>
                <w:szCs w:val="11"/>
                <w:color w:val="auto"/>
              </w:rPr>
              <w:t>IMIA Holdings, Inc.</w:t>
            </w:r>
          </w:p>
        </w:tc>
        <w:tc>
          <w:tcPr>
            <w:tcW w:w="140" w:type="dxa"/>
            <w:vAlign w:val="bottom"/>
          </w:tcPr>
          <w:p>
            <w:pPr>
              <w:spacing w:after="0"/>
              <w:rPr>
                <w:sz w:val="8"/>
                <w:szCs w:val="8"/>
                <w:color w:val="auto"/>
              </w:rPr>
            </w:pPr>
          </w:p>
        </w:tc>
        <w:tc>
          <w:tcPr>
            <w:tcW w:w="740" w:type="dxa"/>
            <w:vAlign w:val="bottom"/>
            <w:tcBorders>
              <w:top w:val="single" w:sz="8" w:color="auto"/>
            </w:tcBorders>
          </w:tcPr>
          <w:p>
            <w:pPr>
              <w:jc w:val="center"/>
              <w:spacing w:after="0" w:line="97" w:lineRule="exact"/>
              <w:rPr>
                <w:sz w:val="20"/>
                <w:szCs w:val="20"/>
                <w:color w:val="auto"/>
              </w:rPr>
            </w:pPr>
            <w:r>
              <w:rPr>
                <w:rFonts w:ascii="Times New Roman" w:cs="Times New Roman" w:eastAsia="Times New Roman" w:hAnsi="Times New Roman"/>
                <w:sz w:val="11"/>
                <w:szCs w:val="11"/>
                <w:color w:val="auto"/>
                <w:w w:val="99"/>
              </w:rPr>
              <w:t>04/09/2027</w:t>
            </w:r>
          </w:p>
        </w:tc>
        <w:tc>
          <w:tcPr>
            <w:tcW w:w="140" w:type="dxa"/>
            <w:vAlign w:val="bottom"/>
          </w:tcPr>
          <w:p>
            <w:pPr>
              <w:spacing w:after="0"/>
              <w:rPr>
                <w:sz w:val="8"/>
                <w:szCs w:val="8"/>
                <w:color w:val="auto"/>
              </w:rPr>
            </w:pPr>
          </w:p>
        </w:tc>
        <w:tc>
          <w:tcPr>
            <w:tcW w:w="2600" w:type="dxa"/>
            <w:vAlign w:val="bottom"/>
            <w:tcBorders>
              <w:top w:val="single" w:sz="8" w:color="auto"/>
            </w:tcBorders>
          </w:tcPr>
          <w:p>
            <w:pPr>
              <w:jc w:val="center"/>
              <w:spacing w:after="0" w:line="97" w:lineRule="exact"/>
              <w:rPr>
                <w:sz w:val="20"/>
                <w:szCs w:val="20"/>
                <w:color w:val="auto"/>
              </w:rPr>
            </w:pPr>
            <w:r>
              <w:rPr>
                <w:rFonts w:ascii="Times New Roman" w:cs="Times New Roman" w:eastAsia="Times New Roman" w:hAnsi="Times New Roman"/>
                <w:sz w:val="11"/>
                <w:szCs w:val="11"/>
                <w:color w:val="auto"/>
                <w:w w:val="98"/>
              </w:rPr>
              <w:t>Aerospace and Defense</w:t>
            </w:r>
          </w:p>
        </w:tc>
        <w:tc>
          <w:tcPr>
            <w:tcW w:w="120" w:type="dxa"/>
            <w:vAlign w:val="bottom"/>
          </w:tcPr>
          <w:p>
            <w:pPr>
              <w:spacing w:after="0"/>
              <w:rPr>
                <w:sz w:val="8"/>
                <w:szCs w:val="8"/>
                <w:color w:val="auto"/>
              </w:rPr>
            </w:pPr>
          </w:p>
        </w:tc>
        <w:tc>
          <w:tcPr>
            <w:tcW w:w="1000" w:type="dxa"/>
            <w:vAlign w:val="bottom"/>
            <w:tcBorders>
              <w:top w:val="single" w:sz="8" w:color="auto"/>
            </w:tcBorders>
          </w:tcPr>
          <w:p>
            <w:pPr>
              <w:jc w:val="right"/>
              <w:spacing w:after="0" w:line="97" w:lineRule="exact"/>
              <w:rPr>
                <w:sz w:val="20"/>
                <w:szCs w:val="20"/>
                <w:color w:val="auto"/>
              </w:rPr>
            </w:pPr>
            <w:r>
              <w:rPr>
                <w:rFonts w:ascii="Times New Roman" w:cs="Times New Roman" w:eastAsia="Times New Roman" w:hAnsi="Times New Roman"/>
                <w:sz w:val="11"/>
                <w:szCs w:val="11"/>
                <w:color w:val="auto"/>
              </w:rPr>
              <w:t>6.75</w:t>
            </w:r>
          </w:p>
        </w:tc>
        <w:tc>
          <w:tcPr>
            <w:tcW w:w="240" w:type="dxa"/>
            <w:vAlign w:val="bottom"/>
          </w:tcPr>
          <w:p>
            <w:pPr>
              <w:jc w:val="right"/>
              <w:ind w:right="86"/>
              <w:spacing w:after="0" w:line="97" w:lineRule="exact"/>
              <w:rPr>
                <w:sz w:val="20"/>
                <w:szCs w:val="20"/>
                <w:color w:val="auto"/>
              </w:rPr>
            </w:pPr>
            <w:r>
              <w:rPr>
                <w:rFonts w:ascii="Times New Roman" w:cs="Times New Roman" w:eastAsia="Times New Roman" w:hAnsi="Times New Roman"/>
                <w:sz w:val="11"/>
                <w:szCs w:val="11"/>
                <w:color w:val="auto"/>
                <w:w w:val="86"/>
              </w:rPr>
              <w:t>%</w:t>
            </w:r>
          </w:p>
        </w:tc>
        <w:tc>
          <w:tcPr>
            <w:tcW w:w="800" w:type="dxa"/>
            <w:vAlign w:val="bottom"/>
            <w:tcBorders>
              <w:top w:val="single" w:sz="8" w:color="auto"/>
            </w:tcBorders>
          </w:tcPr>
          <w:p>
            <w:pPr>
              <w:jc w:val="right"/>
              <w:spacing w:after="0" w:line="97" w:lineRule="exact"/>
              <w:rPr>
                <w:sz w:val="20"/>
                <w:szCs w:val="20"/>
                <w:color w:val="auto"/>
              </w:rPr>
            </w:pPr>
            <w:r>
              <w:rPr>
                <w:rFonts w:ascii="Times New Roman" w:cs="Times New Roman" w:eastAsia="Times New Roman" w:hAnsi="Times New Roman"/>
                <w:sz w:val="11"/>
                <w:szCs w:val="11"/>
                <w:color w:val="auto"/>
              </w:rPr>
              <w:t>3M L+600</w:t>
            </w:r>
          </w:p>
        </w:tc>
        <w:tc>
          <w:tcPr>
            <w:tcW w:w="220" w:type="dxa"/>
            <w:vAlign w:val="bottom"/>
          </w:tcPr>
          <w:p>
            <w:pPr>
              <w:spacing w:after="0"/>
              <w:rPr>
                <w:sz w:val="8"/>
                <w:szCs w:val="8"/>
                <w:color w:val="auto"/>
              </w:rPr>
            </w:pPr>
          </w:p>
        </w:tc>
        <w:tc>
          <w:tcPr>
            <w:tcW w:w="760" w:type="dxa"/>
            <w:vAlign w:val="bottom"/>
            <w:tcBorders>
              <w:top w:val="single" w:sz="8" w:color="auto"/>
            </w:tcBorders>
          </w:tcPr>
          <w:p>
            <w:pPr>
              <w:jc w:val="right"/>
              <w:spacing w:after="0" w:line="97" w:lineRule="exact"/>
              <w:rPr>
                <w:sz w:val="20"/>
                <w:szCs w:val="20"/>
                <w:color w:val="auto"/>
              </w:rPr>
            </w:pPr>
            <w:r>
              <w:rPr>
                <w:rFonts w:ascii="Times New Roman" w:cs="Times New Roman" w:eastAsia="Times New Roman" w:hAnsi="Times New Roman"/>
                <w:sz w:val="11"/>
                <w:szCs w:val="11"/>
                <w:color w:val="auto"/>
              </w:rPr>
              <w:t>13,144</w:t>
            </w:r>
          </w:p>
        </w:tc>
        <w:tc>
          <w:tcPr>
            <w:tcW w:w="220" w:type="dxa"/>
            <w:vAlign w:val="bottom"/>
          </w:tcPr>
          <w:p>
            <w:pPr>
              <w:spacing w:after="0"/>
              <w:rPr>
                <w:sz w:val="8"/>
                <w:szCs w:val="8"/>
                <w:color w:val="auto"/>
              </w:rPr>
            </w:pPr>
          </w:p>
        </w:tc>
        <w:tc>
          <w:tcPr>
            <w:tcW w:w="180" w:type="dxa"/>
            <w:vAlign w:val="bottom"/>
            <w:tcBorders>
              <w:top w:val="single" w:sz="8" w:color="auto"/>
            </w:tcBorders>
          </w:tcPr>
          <w:p>
            <w:pPr>
              <w:jc w:val="right"/>
              <w:ind w:right="66"/>
              <w:spacing w:after="0" w:line="97" w:lineRule="exact"/>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top w:val="single" w:sz="8" w:color="auto"/>
            </w:tcBorders>
          </w:tcPr>
          <w:p>
            <w:pPr>
              <w:jc w:val="right"/>
              <w:spacing w:after="0" w:line="97" w:lineRule="exact"/>
              <w:rPr>
                <w:sz w:val="20"/>
                <w:szCs w:val="20"/>
                <w:color w:val="auto"/>
              </w:rPr>
            </w:pPr>
            <w:r>
              <w:rPr>
                <w:rFonts w:ascii="Times New Roman" w:cs="Times New Roman" w:eastAsia="Times New Roman" w:hAnsi="Times New Roman"/>
                <w:sz w:val="11"/>
                <w:szCs w:val="11"/>
                <w:color w:val="auto"/>
              </w:rPr>
              <w:t>12,904</w:t>
            </w:r>
          </w:p>
        </w:tc>
        <w:tc>
          <w:tcPr>
            <w:tcW w:w="220" w:type="dxa"/>
            <w:vAlign w:val="bottom"/>
          </w:tcPr>
          <w:p>
            <w:pPr>
              <w:spacing w:after="0"/>
              <w:rPr>
                <w:sz w:val="8"/>
                <w:szCs w:val="8"/>
                <w:color w:val="auto"/>
              </w:rPr>
            </w:pPr>
          </w:p>
        </w:tc>
        <w:tc>
          <w:tcPr>
            <w:tcW w:w="80" w:type="dxa"/>
            <w:vAlign w:val="bottom"/>
            <w:tcBorders>
              <w:top w:val="single" w:sz="8" w:color="auto"/>
            </w:tcBorders>
          </w:tcPr>
          <w:p>
            <w:pPr>
              <w:jc w:val="right"/>
              <w:spacing w:after="0" w:line="97" w:lineRule="exact"/>
              <w:rPr>
                <w:sz w:val="20"/>
                <w:szCs w:val="20"/>
                <w:color w:val="auto"/>
              </w:rPr>
            </w:pPr>
            <w:r>
              <w:rPr>
                <w:rFonts w:ascii="Times New Roman" w:cs="Times New Roman" w:eastAsia="Times New Roman" w:hAnsi="Times New Roman"/>
                <w:sz w:val="11"/>
                <w:szCs w:val="11"/>
                <w:color w:val="auto"/>
              </w:rPr>
              <w:t>$</w:t>
            </w:r>
          </w:p>
        </w:tc>
        <w:tc>
          <w:tcPr>
            <w:tcW w:w="700" w:type="dxa"/>
            <w:vAlign w:val="bottom"/>
            <w:tcBorders>
              <w:top w:val="single" w:sz="8" w:color="auto"/>
            </w:tcBorders>
          </w:tcPr>
          <w:p>
            <w:pPr>
              <w:jc w:val="right"/>
              <w:spacing w:after="0" w:line="97" w:lineRule="exact"/>
              <w:rPr>
                <w:sz w:val="20"/>
                <w:szCs w:val="20"/>
                <w:color w:val="auto"/>
              </w:rPr>
            </w:pPr>
            <w:r>
              <w:rPr>
                <w:rFonts w:ascii="Times New Roman" w:cs="Times New Roman" w:eastAsia="Times New Roman" w:hAnsi="Times New Roman"/>
                <w:sz w:val="11"/>
                <w:szCs w:val="11"/>
                <w:color w:val="auto"/>
              </w:rPr>
              <w:t>12,881</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240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IMIA Holdings, Inc. (Revolver) </w:t>
            </w:r>
            <w:r>
              <w:rPr>
                <w:rFonts w:ascii="Times New Roman" w:cs="Times New Roman" w:eastAsia="Times New Roman" w:hAnsi="Times New Roman"/>
                <w:sz w:val="14"/>
                <w:szCs w:val="14"/>
                <w:color w:val="auto"/>
                <w:vertAlign w:val="superscript"/>
              </w:rPr>
              <w:t>(7), (9)</w:t>
            </w:r>
          </w:p>
        </w:tc>
        <w:tc>
          <w:tcPr>
            <w:tcW w:w="88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9"/>
              </w:rPr>
              <w:t>04/09/2027</w:t>
            </w:r>
          </w:p>
        </w:tc>
        <w:tc>
          <w:tcPr>
            <w:tcW w:w="140" w:type="dxa"/>
            <w:vAlign w:val="bottom"/>
          </w:tcPr>
          <w:p>
            <w:pPr>
              <w:spacing w:after="0"/>
              <w:rPr>
                <w:sz w:val="11"/>
                <w:szCs w:val="11"/>
                <w:color w:val="auto"/>
              </w:rPr>
            </w:pPr>
          </w:p>
        </w:tc>
        <w:tc>
          <w:tcPr>
            <w:tcW w:w="26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120" w:type="dxa"/>
            <w:vAlign w:val="bottom"/>
          </w:tcPr>
          <w:p>
            <w:pPr>
              <w:spacing w:after="0"/>
              <w:rPr>
                <w:sz w:val="11"/>
                <w:szCs w:val="11"/>
                <w:color w:val="auto"/>
              </w:rPr>
            </w:pPr>
          </w:p>
        </w:tc>
        <w:tc>
          <w:tcPr>
            <w:tcW w:w="1240" w:type="dxa"/>
            <w:vAlign w:val="bottom"/>
            <w:gridSpan w:val="2"/>
          </w:tcPr>
          <w:p>
            <w:pPr>
              <w:jc w:val="right"/>
              <w:ind w:right="206"/>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2,343</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(47 )</w:t>
            </w:r>
          </w:p>
        </w:tc>
        <w:tc>
          <w:tcPr>
            <w:tcW w:w="0" w:type="dxa"/>
            <w:vAlign w:val="bottom"/>
          </w:tcPr>
          <w:p>
            <w:pPr>
              <w:spacing w:after="0"/>
              <w:rPr>
                <w:sz w:val="1"/>
                <w:szCs w:val="1"/>
                <w:color w:val="auto"/>
              </w:rPr>
            </w:pPr>
          </w:p>
        </w:tc>
      </w:tr>
      <w:tr>
        <w:trPr>
          <w:trHeight w:val="135"/>
        </w:trPr>
        <w:tc>
          <w:tcPr>
            <w:tcW w:w="240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Innova Medical Ophthalmics Inc. </w:t>
            </w:r>
            <w:r>
              <w:rPr>
                <w:rFonts w:ascii="Times New Roman" w:cs="Times New Roman" w:eastAsia="Times New Roman" w:hAnsi="Times New Roman"/>
                <w:sz w:val="14"/>
                <w:szCs w:val="14"/>
                <w:color w:val="auto"/>
                <w:vertAlign w:val="superscript"/>
              </w:rPr>
              <w:t>(5), (10)</w:t>
            </w:r>
          </w:p>
        </w:tc>
        <w:tc>
          <w:tcPr>
            <w:tcW w:w="88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9"/>
              </w:rPr>
              <w:t>04/13/2023</w:t>
            </w:r>
          </w:p>
        </w:tc>
        <w:tc>
          <w:tcPr>
            <w:tcW w:w="140" w:type="dxa"/>
            <w:vAlign w:val="bottom"/>
          </w:tcPr>
          <w:p>
            <w:pPr>
              <w:spacing w:after="0"/>
              <w:rPr>
                <w:sz w:val="11"/>
                <w:szCs w:val="11"/>
                <w:color w:val="auto"/>
              </w:rPr>
            </w:pPr>
          </w:p>
        </w:tc>
        <w:tc>
          <w:tcPr>
            <w:tcW w:w="26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6"/>
              </w:rPr>
              <w:t>Capital Equipment</w:t>
            </w:r>
          </w:p>
        </w:tc>
        <w:tc>
          <w:tcPr>
            <w:tcW w:w="1360" w:type="dxa"/>
            <w:vAlign w:val="bottom"/>
            <w:gridSpan w:val="3"/>
          </w:tcPr>
          <w:p>
            <w:pPr>
              <w:jc w:val="right"/>
              <w:ind w:right="86"/>
              <w:spacing w:after="0"/>
              <w:rPr>
                <w:sz w:val="20"/>
                <w:szCs w:val="20"/>
                <w:color w:val="auto"/>
              </w:rPr>
            </w:pPr>
            <w:r>
              <w:rPr>
                <w:rFonts w:ascii="Times New Roman" w:cs="Times New Roman" w:eastAsia="Times New Roman" w:hAnsi="Times New Roman"/>
                <w:sz w:val="11"/>
                <w:szCs w:val="11"/>
                <w:color w:val="auto"/>
              </w:rPr>
              <w:t>7.25 %</w:t>
            </w: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L+625</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3,253</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3,234</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3,253</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400" w:type="dxa"/>
            <w:vAlign w:val="bottom"/>
          </w:tcPr>
          <w:p>
            <w:pPr>
              <w:ind w:left="20"/>
              <w:spacing w:after="0" w:line="153" w:lineRule="exact"/>
              <w:rPr>
                <w:sz w:val="20"/>
                <w:szCs w:val="20"/>
                <w:color w:val="auto"/>
              </w:rPr>
            </w:pPr>
            <w:r>
              <w:rPr>
                <w:rFonts w:ascii="Times New Roman" w:cs="Times New Roman" w:eastAsia="Times New Roman" w:hAnsi="Times New Roman"/>
                <w:sz w:val="11"/>
                <w:szCs w:val="11"/>
                <w:color w:val="auto"/>
                <w:w w:val="95"/>
              </w:rPr>
              <w:t xml:space="preserve">Innova Medical Ophthalmics Inc. (Revolver) </w:t>
            </w:r>
            <w:r>
              <w:rPr>
                <w:rFonts w:ascii="Times New Roman" w:cs="Times New Roman" w:eastAsia="Times New Roman" w:hAnsi="Times New Roman"/>
                <w:sz w:val="14"/>
                <w:szCs w:val="14"/>
                <w:color w:val="auto"/>
                <w:w w:val="95"/>
                <w:vertAlign w:val="superscript"/>
              </w:rPr>
              <w:t>(5), (7), (10)</w:t>
            </w:r>
          </w:p>
        </w:tc>
        <w:tc>
          <w:tcPr>
            <w:tcW w:w="88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9"/>
              </w:rPr>
              <w:t>04/13/2023</w:t>
            </w:r>
          </w:p>
        </w:tc>
        <w:tc>
          <w:tcPr>
            <w:tcW w:w="140" w:type="dxa"/>
            <w:vAlign w:val="bottom"/>
          </w:tcPr>
          <w:p>
            <w:pPr>
              <w:spacing w:after="0"/>
              <w:rPr>
                <w:sz w:val="13"/>
                <w:szCs w:val="13"/>
                <w:color w:val="auto"/>
              </w:rPr>
            </w:pPr>
          </w:p>
        </w:tc>
        <w:tc>
          <w:tcPr>
            <w:tcW w:w="26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6"/>
              </w:rPr>
              <w:t>Capital Equipment</w:t>
            </w:r>
          </w:p>
        </w:tc>
        <w:tc>
          <w:tcPr>
            <w:tcW w:w="1360" w:type="dxa"/>
            <w:vAlign w:val="bottom"/>
            <w:gridSpan w:val="3"/>
          </w:tcPr>
          <w:p>
            <w:pPr>
              <w:jc w:val="right"/>
              <w:ind w:right="86"/>
              <w:spacing w:after="0"/>
              <w:rPr>
                <w:sz w:val="20"/>
                <w:szCs w:val="20"/>
                <w:color w:val="auto"/>
              </w:rPr>
            </w:pPr>
            <w:r>
              <w:rPr>
                <w:rFonts w:ascii="Times New Roman" w:cs="Times New Roman" w:eastAsia="Times New Roman" w:hAnsi="Times New Roman"/>
                <w:sz w:val="11"/>
                <w:szCs w:val="11"/>
                <w:color w:val="auto"/>
              </w:rPr>
              <w:t>7.25 %</w:t>
            </w: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L+625</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534</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534</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534</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2400" w:type="dxa"/>
            <w:vAlign w:val="bottom"/>
          </w:tcPr>
          <w:p>
            <w:pPr>
              <w:ind w:left="20"/>
              <w:spacing w:after="0" w:line="117" w:lineRule="exact"/>
              <w:rPr>
                <w:sz w:val="20"/>
                <w:szCs w:val="20"/>
                <w:color w:val="auto"/>
              </w:rPr>
            </w:pPr>
            <w:r>
              <w:rPr>
                <w:rFonts w:ascii="Times New Roman" w:cs="Times New Roman" w:eastAsia="Times New Roman" w:hAnsi="Times New Roman"/>
                <w:sz w:val="11"/>
                <w:szCs w:val="11"/>
                <w:color w:val="auto"/>
              </w:rPr>
              <w:t>Integrative Nutrition, LLC</w:t>
            </w:r>
          </w:p>
        </w:tc>
        <w:tc>
          <w:tcPr>
            <w:tcW w:w="880" w:type="dxa"/>
            <w:vAlign w:val="bottom"/>
            <w:gridSpan w:val="2"/>
          </w:tcPr>
          <w:p>
            <w:pPr>
              <w:jc w:val="center"/>
              <w:ind w:left="86"/>
              <w:spacing w:after="0" w:line="117" w:lineRule="exact"/>
              <w:rPr>
                <w:sz w:val="20"/>
                <w:szCs w:val="20"/>
                <w:color w:val="auto"/>
              </w:rPr>
            </w:pPr>
            <w:r>
              <w:rPr>
                <w:rFonts w:ascii="Times New Roman" w:cs="Times New Roman" w:eastAsia="Times New Roman" w:hAnsi="Times New Roman"/>
                <w:sz w:val="11"/>
                <w:szCs w:val="11"/>
                <w:color w:val="auto"/>
                <w:w w:val="99"/>
              </w:rPr>
              <w:t>09/29/2023</w:t>
            </w:r>
          </w:p>
        </w:tc>
        <w:tc>
          <w:tcPr>
            <w:tcW w:w="140" w:type="dxa"/>
            <w:vAlign w:val="bottom"/>
          </w:tcPr>
          <w:p>
            <w:pPr>
              <w:spacing w:after="0"/>
              <w:rPr>
                <w:sz w:val="10"/>
                <w:szCs w:val="10"/>
                <w:color w:val="auto"/>
              </w:rPr>
            </w:pPr>
          </w:p>
        </w:tc>
        <w:tc>
          <w:tcPr>
            <w:tcW w:w="260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color w:val="auto"/>
                <w:w w:val="98"/>
              </w:rPr>
              <w:t>Consumer Services</w:t>
            </w:r>
          </w:p>
        </w:tc>
        <w:tc>
          <w:tcPr>
            <w:tcW w:w="1360" w:type="dxa"/>
            <w:vAlign w:val="bottom"/>
            <w:gridSpan w:val="3"/>
          </w:tcPr>
          <w:p>
            <w:pPr>
              <w:jc w:val="right"/>
              <w:ind w:right="86"/>
              <w:spacing w:after="0" w:line="117" w:lineRule="exact"/>
              <w:rPr>
                <w:sz w:val="20"/>
                <w:szCs w:val="20"/>
                <w:color w:val="auto"/>
              </w:rPr>
            </w:pPr>
            <w:r>
              <w:rPr>
                <w:rFonts w:ascii="Times New Roman" w:cs="Times New Roman" w:eastAsia="Times New Roman" w:hAnsi="Times New Roman"/>
                <w:sz w:val="11"/>
                <w:szCs w:val="11"/>
                <w:color w:val="auto"/>
              </w:rPr>
              <w:t>5.50 %</w:t>
            </w:r>
          </w:p>
        </w:tc>
        <w:tc>
          <w:tcPr>
            <w:tcW w:w="80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3M L+450</w:t>
            </w:r>
          </w:p>
        </w:tc>
        <w:tc>
          <w:tcPr>
            <w:tcW w:w="98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1"/>
                <w:szCs w:val="11"/>
                <w:color w:val="auto"/>
              </w:rPr>
              <w:t>16,167</w:t>
            </w: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16,095</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16,167</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40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Integrative Nutrition, LLC (Revolver) </w:t>
            </w:r>
            <w:r>
              <w:rPr>
                <w:rFonts w:ascii="Times New Roman" w:cs="Times New Roman" w:eastAsia="Times New Roman" w:hAnsi="Times New Roman"/>
                <w:sz w:val="14"/>
                <w:szCs w:val="14"/>
                <w:color w:val="auto"/>
                <w:vertAlign w:val="superscript"/>
              </w:rPr>
              <w:t>(7), (9)</w:t>
            </w:r>
          </w:p>
        </w:tc>
        <w:tc>
          <w:tcPr>
            <w:tcW w:w="88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9"/>
              </w:rPr>
              <w:t>09/29/2023</w:t>
            </w:r>
          </w:p>
        </w:tc>
        <w:tc>
          <w:tcPr>
            <w:tcW w:w="140" w:type="dxa"/>
            <w:vAlign w:val="bottom"/>
          </w:tcPr>
          <w:p>
            <w:pPr>
              <w:spacing w:after="0"/>
              <w:rPr>
                <w:sz w:val="11"/>
                <w:szCs w:val="11"/>
                <w:color w:val="auto"/>
              </w:rPr>
            </w:pPr>
          </w:p>
        </w:tc>
        <w:tc>
          <w:tcPr>
            <w:tcW w:w="26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Consumer Services</w:t>
            </w:r>
          </w:p>
        </w:tc>
        <w:tc>
          <w:tcPr>
            <w:tcW w:w="120" w:type="dxa"/>
            <w:vAlign w:val="bottom"/>
          </w:tcPr>
          <w:p>
            <w:pPr>
              <w:spacing w:after="0"/>
              <w:rPr>
                <w:sz w:val="11"/>
                <w:szCs w:val="11"/>
                <w:color w:val="auto"/>
              </w:rPr>
            </w:pPr>
          </w:p>
        </w:tc>
        <w:tc>
          <w:tcPr>
            <w:tcW w:w="1240" w:type="dxa"/>
            <w:vAlign w:val="bottom"/>
            <w:gridSpan w:val="2"/>
          </w:tcPr>
          <w:p>
            <w:pPr>
              <w:jc w:val="right"/>
              <w:ind w:right="206"/>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5,000</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35"/>
        </w:trPr>
        <w:tc>
          <w:tcPr>
            <w:tcW w:w="240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Integrity Marketing Acquisition, LLC </w:t>
            </w:r>
            <w:r>
              <w:rPr>
                <w:rFonts w:ascii="Times New Roman" w:cs="Times New Roman" w:eastAsia="Times New Roman" w:hAnsi="Times New Roman"/>
                <w:sz w:val="14"/>
                <w:szCs w:val="14"/>
                <w:color w:val="auto"/>
                <w:vertAlign w:val="superscript"/>
              </w:rPr>
              <w:t>(7)</w:t>
            </w:r>
          </w:p>
        </w:tc>
        <w:tc>
          <w:tcPr>
            <w:tcW w:w="88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9"/>
              </w:rPr>
              <w:t>08/27/2025</w:t>
            </w:r>
          </w:p>
        </w:tc>
        <w:tc>
          <w:tcPr>
            <w:tcW w:w="140" w:type="dxa"/>
            <w:vAlign w:val="bottom"/>
          </w:tcPr>
          <w:p>
            <w:pPr>
              <w:spacing w:after="0"/>
              <w:rPr>
                <w:sz w:val="11"/>
                <w:szCs w:val="11"/>
                <w:color w:val="auto"/>
              </w:rPr>
            </w:pPr>
          </w:p>
        </w:tc>
        <w:tc>
          <w:tcPr>
            <w:tcW w:w="26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Insurance</w:t>
            </w:r>
          </w:p>
        </w:tc>
        <w:tc>
          <w:tcPr>
            <w:tcW w:w="1360" w:type="dxa"/>
            <w:vAlign w:val="bottom"/>
            <w:gridSpan w:val="3"/>
          </w:tcPr>
          <w:p>
            <w:pPr>
              <w:jc w:val="right"/>
              <w:ind w:right="86"/>
              <w:spacing w:after="0"/>
              <w:rPr>
                <w:sz w:val="20"/>
                <w:szCs w:val="20"/>
                <w:color w:val="auto"/>
              </w:rPr>
            </w:pPr>
            <w:r>
              <w:rPr>
                <w:rFonts w:ascii="Times New Roman" w:cs="Times New Roman" w:eastAsia="Times New Roman" w:hAnsi="Times New Roman"/>
                <w:sz w:val="11"/>
                <w:szCs w:val="11"/>
                <w:color w:val="auto"/>
              </w:rPr>
              <w:t>6.25 %</w:t>
            </w: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L+550</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3,170</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3,147</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3,154</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0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Integrity Marketing Acquisition, LLC </w:t>
            </w:r>
            <w:r>
              <w:rPr>
                <w:rFonts w:ascii="Times New Roman" w:cs="Times New Roman" w:eastAsia="Times New Roman" w:hAnsi="Times New Roman"/>
                <w:sz w:val="14"/>
                <w:szCs w:val="14"/>
                <w:color w:val="auto"/>
                <w:vertAlign w:val="superscript"/>
              </w:rPr>
              <w:t>(7), (9)</w:t>
            </w:r>
          </w:p>
        </w:tc>
        <w:tc>
          <w:tcPr>
            <w:tcW w:w="88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9"/>
              </w:rPr>
              <w:t>07/09/2023</w:t>
            </w:r>
          </w:p>
        </w:tc>
        <w:tc>
          <w:tcPr>
            <w:tcW w:w="140" w:type="dxa"/>
            <w:vAlign w:val="bottom"/>
          </w:tcPr>
          <w:p>
            <w:pPr>
              <w:spacing w:after="0"/>
              <w:rPr>
                <w:sz w:val="11"/>
                <w:szCs w:val="11"/>
                <w:color w:val="auto"/>
              </w:rPr>
            </w:pPr>
          </w:p>
        </w:tc>
        <w:tc>
          <w:tcPr>
            <w:tcW w:w="26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Insurance</w:t>
            </w:r>
          </w:p>
        </w:tc>
        <w:tc>
          <w:tcPr>
            <w:tcW w:w="120" w:type="dxa"/>
            <w:vAlign w:val="bottom"/>
          </w:tcPr>
          <w:p>
            <w:pPr>
              <w:spacing w:after="0"/>
              <w:rPr>
                <w:sz w:val="11"/>
                <w:szCs w:val="11"/>
                <w:color w:val="auto"/>
              </w:rPr>
            </w:pPr>
          </w:p>
        </w:tc>
        <w:tc>
          <w:tcPr>
            <w:tcW w:w="1240" w:type="dxa"/>
            <w:vAlign w:val="bottom"/>
            <w:gridSpan w:val="2"/>
          </w:tcPr>
          <w:p>
            <w:pPr>
              <w:jc w:val="right"/>
              <w:ind w:right="206"/>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18,822</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47</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0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K2 Pure Solutions NoCal, L.P. (Revolver) </w:t>
            </w:r>
            <w:r>
              <w:rPr>
                <w:rFonts w:ascii="Times New Roman" w:cs="Times New Roman" w:eastAsia="Times New Roman" w:hAnsi="Times New Roman"/>
                <w:sz w:val="14"/>
                <w:szCs w:val="14"/>
                <w:color w:val="auto"/>
                <w:vertAlign w:val="superscript"/>
              </w:rPr>
              <w:t>(7)</w:t>
            </w:r>
          </w:p>
        </w:tc>
        <w:tc>
          <w:tcPr>
            <w:tcW w:w="88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9"/>
              </w:rPr>
              <w:t>12/20/2023</w:t>
            </w:r>
          </w:p>
        </w:tc>
        <w:tc>
          <w:tcPr>
            <w:tcW w:w="140" w:type="dxa"/>
            <w:vAlign w:val="bottom"/>
          </w:tcPr>
          <w:p>
            <w:pPr>
              <w:spacing w:after="0"/>
              <w:rPr>
                <w:sz w:val="11"/>
                <w:szCs w:val="11"/>
                <w:color w:val="auto"/>
              </w:rPr>
            </w:pPr>
          </w:p>
        </w:tc>
        <w:tc>
          <w:tcPr>
            <w:tcW w:w="26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Chemicals, Plastics and Rubber</w:t>
            </w:r>
          </w:p>
        </w:tc>
        <w:tc>
          <w:tcPr>
            <w:tcW w:w="1360" w:type="dxa"/>
            <w:vAlign w:val="bottom"/>
            <w:gridSpan w:val="3"/>
          </w:tcPr>
          <w:p>
            <w:pPr>
              <w:jc w:val="right"/>
              <w:ind w:right="86"/>
              <w:spacing w:after="0"/>
              <w:rPr>
                <w:sz w:val="20"/>
                <w:szCs w:val="20"/>
                <w:color w:val="auto"/>
              </w:rPr>
            </w:pPr>
            <w:r>
              <w:rPr>
                <w:rFonts w:ascii="Times New Roman" w:cs="Times New Roman" w:eastAsia="Times New Roman" w:hAnsi="Times New Roman"/>
                <w:sz w:val="11"/>
                <w:szCs w:val="11"/>
                <w:color w:val="auto"/>
              </w:rPr>
              <w:t>8.00 %</w:t>
            </w: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1M L+700</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643</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643</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626</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400" w:type="dxa"/>
            <w:vAlign w:val="bottom"/>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K2 Pure Solutions NoCal, L.P. (Revolver) </w:t>
            </w:r>
            <w:r>
              <w:rPr>
                <w:rFonts w:ascii="Times New Roman" w:cs="Times New Roman" w:eastAsia="Times New Roman" w:hAnsi="Times New Roman"/>
                <w:sz w:val="14"/>
                <w:szCs w:val="14"/>
                <w:color w:val="auto"/>
                <w:vertAlign w:val="superscript"/>
              </w:rPr>
              <w:t>(7), (9)</w:t>
            </w:r>
          </w:p>
        </w:tc>
        <w:tc>
          <w:tcPr>
            <w:tcW w:w="88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9"/>
              </w:rPr>
              <w:t>12/20/2023</w:t>
            </w:r>
          </w:p>
        </w:tc>
        <w:tc>
          <w:tcPr>
            <w:tcW w:w="140" w:type="dxa"/>
            <w:vAlign w:val="bottom"/>
          </w:tcPr>
          <w:p>
            <w:pPr>
              <w:spacing w:after="0"/>
              <w:rPr>
                <w:sz w:val="13"/>
                <w:szCs w:val="13"/>
                <w:color w:val="auto"/>
              </w:rPr>
            </w:pPr>
          </w:p>
        </w:tc>
        <w:tc>
          <w:tcPr>
            <w:tcW w:w="26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Chemicals, Plastics and Rubber</w:t>
            </w:r>
          </w:p>
        </w:tc>
        <w:tc>
          <w:tcPr>
            <w:tcW w:w="120" w:type="dxa"/>
            <w:vAlign w:val="bottom"/>
          </w:tcPr>
          <w:p>
            <w:pPr>
              <w:spacing w:after="0"/>
              <w:rPr>
                <w:sz w:val="13"/>
                <w:szCs w:val="13"/>
                <w:color w:val="auto"/>
              </w:rPr>
            </w:pPr>
          </w:p>
        </w:tc>
        <w:tc>
          <w:tcPr>
            <w:tcW w:w="1240" w:type="dxa"/>
            <w:vAlign w:val="bottom"/>
            <w:gridSpan w:val="2"/>
          </w:tcPr>
          <w:p>
            <w:pPr>
              <w:jc w:val="right"/>
              <w:ind w:right="206"/>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786</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(21 )</w:t>
            </w:r>
          </w:p>
        </w:tc>
        <w:tc>
          <w:tcPr>
            <w:tcW w:w="0" w:type="dxa"/>
            <w:vAlign w:val="bottom"/>
          </w:tcPr>
          <w:p>
            <w:pPr>
              <w:spacing w:after="0"/>
              <w:rPr>
                <w:sz w:val="1"/>
                <w:szCs w:val="1"/>
                <w:color w:val="auto"/>
              </w:rPr>
            </w:pPr>
          </w:p>
        </w:tc>
      </w:tr>
      <w:tr>
        <w:trPr>
          <w:trHeight w:val="117"/>
        </w:trPr>
        <w:tc>
          <w:tcPr>
            <w:tcW w:w="2400" w:type="dxa"/>
            <w:vAlign w:val="bottom"/>
          </w:tcPr>
          <w:p>
            <w:pPr>
              <w:ind w:left="20"/>
              <w:spacing w:after="0" w:line="117" w:lineRule="exact"/>
              <w:rPr>
                <w:sz w:val="20"/>
                <w:szCs w:val="20"/>
                <w:color w:val="auto"/>
              </w:rPr>
            </w:pPr>
            <w:r>
              <w:rPr>
                <w:rFonts w:ascii="Times New Roman" w:cs="Times New Roman" w:eastAsia="Times New Roman" w:hAnsi="Times New Roman"/>
                <w:sz w:val="11"/>
                <w:szCs w:val="11"/>
                <w:color w:val="auto"/>
              </w:rPr>
              <w:t>Lash OpCo, LLC</w:t>
            </w:r>
          </w:p>
        </w:tc>
        <w:tc>
          <w:tcPr>
            <w:tcW w:w="880" w:type="dxa"/>
            <w:vAlign w:val="bottom"/>
            <w:gridSpan w:val="2"/>
          </w:tcPr>
          <w:p>
            <w:pPr>
              <w:jc w:val="center"/>
              <w:ind w:left="86"/>
              <w:spacing w:after="0" w:line="117" w:lineRule="exact"/>
              <w:rPr>
                <w:sz w:val="20"/>
                <w:szCs w:val="20"/>
                <w:color w:val="auto"/>
              </w:rPr>
            </w:pPr>
            <w:r>
              <w:rPr>
                <w:rFonts w:ascii="Times New Roman" w:cs="Times New Roman" w:eastAsia="Times New Roman" w:hAnsi="Times New Roman"/>
                <w:sz w:val="11"/>
                <w:szCs w:val="11"/>
                <w:color w:val="auto"/>
                <w:w w:val="99"/>
              </w:rPr>
              <w:t>02/18/2027</w:t>
            </w:r>
          </w:p>
        </w:tc>
        <w:tc>
          <w:tcPr>
            <w:tcW w:w="140" w:type="dxa"/>
            <w:vAlign w:val="bottom"/>
          </w:tcPr>
          <w:p>
            <w:pPr>
              <w:spacing w:after="0"/>
              <w:rPr>
                <w:sz w:val="10"/>
                <w:szCs w:val="10"/>
                <w:color w:val="auto"/>
              </w:rPr>
            </w:pPr>
          </w:p>
        </w:tc>
        <w:tc>
          <w:tcPr>
            <w:tcW w:w="260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color w:val="auto"/>
                <w:w w:val="95"/>
              </w:rPr>
              <w:t>Personal Products</w:t>
            </w:r>
          </w:p>
        </w:tc>
        <w:tc>
          <w:tcPr>
            <w:tcW w:w="1360" w:type="dxa"/>
            <w:vAlign w:val="bottom"/>
            <w:gridSpan w:val="3"/>
          </w:tcPr>
          <w:p>
            <w:pPr>
              <w:jc w:val="right"/>
              <w:ind w:right="86"/>
              <w:spacing w:after="0" w:line="117" w:lineRule="exact"/>
              <w:rPr>
                <w:sz w:val="20"/>
                <w:szCs w:val="20"/>
                <w:color w:val="auto"/>
              </w:rPr>
            </w:pPr>
            <w:r>
              <w:rPr>
                <w:rFonts w:ascii="Times New Roman" w:cs="Times New Roman" w:eastAsia="Times New Roman" w:hAnsi="Times New Roman"/>
                <w:sz w:val="11"/>
                <w:szCs w:val="11"/>
                <w:color w:val="auto"/>
              </w:rPr>
              <w:t>8.00 %</w:t>
            </w:r>
          </w:p>
        </w:tc>
        <w:tc>
          <w:tcPr>
            <w:tcW w:w="80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1M L+700</w:t>
            </w:r>
          </w:p>
        </w:tc>
        <w:tc>
          <w:tcPr>
            <w:tcW w:w="98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1"/>
                <w:szCs w:val="11"/>
                <w:color w:val="auto"/>
              </w:rPr>
              <w:t>31,662</w:t>
            </w: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30,960</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31,029</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40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Lash OpCo, LLC (Revolver) </w:t>
            </w:r>
            <w:r>
              <w:rPr>
                <w:rFonts w:ascii="Times New Roman" w:cs="Times New Roman" w:eastAsia="Times New Roman" w:hAnsi="Times New Roman"/>
                <w:sz w:val="14"/>
                <w:szCs w:val="14"/>
                <w:color w:val="auto"/>
                <w:vertAlign w:val="superscript"/>
              </w:rPr>
              <w:t>(7)</w:t>
            </w:r>
          </w:p>
        </w:tc>
        <w:tc>
          <w:tcPr>
            <w:tcW w:w="88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9"/>
              </w:rPr>
              <w:t>08/16/2026</w:t>
            </w:r>
          </w:p>
        </w:tc>
        <w:tc>
          <w:tcPr>
            <w:tcW w:w="140" w:type="dxa"/>
            <w:vAlign w:val="bottom"/>
          </w:tcPr>
          <w:p>
            <w:pPr>
              <w:spacing w:after="0"/>
              <w:rPr>
                <w:sz w:val="11"/>
                <w:szCs w:val="11"/>
                <w:color w:val="auto"/>
              </w:rPr>
            </w:pPr>
          </w:p>
        </w:tc>
        <w:tc>
          <w:tcPr>
            <w:tcW w:w="26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5"/>
              </w:rPr>
              <w:t>Personal Products</w:t>
            </w:r>
          </w:p>
        </w:tc>
        <w:tc>
          <w:tcPr>
            <w:tcW w:w="1360" w:type="dxa"/>
            <w:vAlign w:val="bottom"/>
            <w:gridSpan w:val="3"/>
          </w:tcPr>
          <w:p>
            <w:pPr>
              <w:jc w:val="right"/>
              <w:ind w:right="86"/>
              <w:spacing w:after="0"/>
              <w:rPr>
                <w:sz w:val="20"/>
                <w:szCs w:val="20"/>
                <w:color w:val="auto"/>
              </w:rPr>
            </w:pPr>
            <w:r>
              <w:rPr>
                <w:rFonts w:ascii="Times New Roman" w:cs="Times New Roman" w:eastAsia="Times New Roman" w:hAnsi="Times New Roman"/>
                <w:sz w:val="11"/>
                <w:szCs w:val="11"/>
                <w:color w:val="auto"/>
              </w:rPr>
              <w:t>8.00 %</w:t>
            </w: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1M L+700</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307</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307</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301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4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 xml:space="preserve">Lash OpCo, LLC (Revolver) </w:t>
            </w:r>
            <w:r>
              <w:rPr>
                <w:rFonts w:ascii="Times New Roman" w:cs="Times New Roman" w:eastAsia="Times New Roman" w:hAnsi="Times New Roman"/>
                <w:sz w:val="14"/>
                <w:szCs w:val="14"/>
                <w:color w:val="auto"/>
                <w:vertAlign w:val="superscript"/>
              </w:rPr>
              <w:t>(7), (9)</w:t>
            </w:r>
          </w:p>
        </w:tc>
        <w:tc>
          <w:tcPr>
            <w:tcW w:w="88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9"/>
              </w:rPr>
              <w:t>08/16/2026</w:t>
            </w:r>
          </w:p>
        </w:tc>
        <w:tc>
          <w:tcPr>
            <w:tcW w:w="140" w:type="dxa"/>
            <w:vAlign w:val="bottom"/>
          </w:tcPr>
          <w:p>
            <w:pPr>
              <w:spacing w:after="0"/>
              <w:rPr>
                <w:sz w:val="14"/>
                <w:szCs w:val="14"/>
                <w:color w:val="auto"/>
              </w:rPr>
            </w:pPr>
          </w:p>
        </w:tc>
        <w:tc>
          <w:tcPr>
            <w:tcW w:w="26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5"/>
              </w:rPr>
              <w:t>Personal Products</w:t>
            </w:r>
          </w:p>
        </w:tc>
        <w:tc>
          <w:tcPr>
            <w:tcW w:w="120" w:type="dxa"/>
            <w:vAlign w:val="bottom"/>
          </w:tcPr>
          <w:p>
            <w:pPr>
              <w:spacing w:after="0"/>
              <w:rPr>
                <w:sz w:val="14"/>
                <w:szCs w:val="14"/>
                <w:color w:val="auto"/>
              </w:rPr>
            </w:pPr>
          </w:p>
        </w:tc>
        <w:tc>
          <w:tcPr>
            <w:tcW w:w="1240" w:type="dxa"/>
            <w:vAlign w:val="bottom"/>
            <w:gridSpan w:val="2"/>
          </w:tcPr>
          <w:p>
            <w:pPr>
              <w:jc w:val="right"/>
              <w:ind w:right="206"/>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1,613</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(32 )</w:t>
            </w:r>
          </w:p>
        </w:tc>
        <w:tc>
          <w:tcPr>
            <w:tcW w:w="0" w:type="dxa"/>
            <w:vAlign w:val="bottom"/>
          </w:tcPr>
          <w:p>
            <w:pPr>
              <w:spacing w:after="0"/>
              <w:rPr>
                <w:sz w:val="1"/>
                <w:szCs w:val="1"/>
                <w:color w:val="auto"/>
              </w:rPr>
            </w:pPr>
          </w:p>
        </w:tc>
      </w:tr>
      <w:tr>
        <w:trPr>
          <w:trHeight w:val="135"/>
        </w:trPr>
        <w:tc>
          <w:tcPr>
            <w:tcW w:w="2400" w:type="dxa"/>
            <w:vAlign w:val="bottom"/>
            <w:shd w:val="clear" w:color="auto" w:fill="CCECFF"/>
          </w:tcPr>
          <w:p>
            <w:pPr>
              <w:ind w:left="20"/>
              <w:spacing w:after="0" w:line="122" w:lineRule="exact"/>
              <w:rPr>
                <w:sz w:val="20"/>
                <w:szCs w:val="20"/>
                <w:color w:val="auto"/>
              </w:rPr>
            </w:pPr>
            <w:r>
              <w:rPr>
                <w:rFonts w:ascii="Times New Roman" w:cs="Times New Roman" w:eastAsia="Times New Roman" w:hAnsi="Times New Roman"/>
                <w:sz w:val="11"/>
                <w:szCs w:val="11"/>
                <w:color w:val="auto"/>
              </w:rPr>
              <w:t>LAV Gear Holdings, Inc.</w:t>
            </w:r>
          </w:p>
        </w:tc>
        <w:tc>
          <w:tcPr>
            <w:tcW w:w="880" w:type="dxa"/>
            <w:vAlign w:val="bottom"/>
            <w:gridSpan w:val="2"/>
            <w:shd w:val="clear" w:color="auto" w:fill="CCECFF"/>
          </w:tcPr>
          <w:p>
            <w:pPr>
              <w:jc w:val="center"/>
              <w:ind w:left="86"/>
              <w:spacing w:after="0" w:line="122" w:lineRule="exact"/>
              <w:rPr>
                <w:sz w:val="20"/>
                <w:szCs w:val="20"/>
                <w:color w:val="auto"/>
              </w:rPr>
            </w:pPr>
            <w:r>
              <w:rPr>
                <w:rFonts w:ascii="Times New Roman" w:cs="Times New Roman" w:eastAsia="Times New Roman" w:hAnsi="Times New Roman"/>
                <w:sz w:val="11"/>
                <w:szCs w:val="11"/>
                <w:color w:val="auto"/>
                <w:w w:val="99"/>
              </w:rPr>
              <w:t>10/31/2024</w:t>
            </w:r>
          </w:p>
        </w:tc>
        <w:tc>
          <w:tcPr>
            <w:tcW w:w="140" w:type="dxa"/>
            <w:vAlign w:val="bottom"/>
            <w:shd w:val="clear" w:color="auto" w:fill="CCECFF"/>
          </w:tcPr>
          <w:p>
            <w:pPr>
              <w:spacing w:after="0"/>
              <w:rPr>
                <w:sz w:val="11"/>
                <w:szCs w:val="11"/>
                <w:color w:val="auto"/>
              </w:rPr>
            </w:pPr>
          </w:p>
        </w:tc>
        <w:tc>
          <w:tcPr>
            <w:tcW w:w="260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6"/>
              </w:rPr>
              <w:t>Capital Equipment</w:t>
            </w:r>
          </w:p>
        </w:tc>
        <w:tc>
          <w:tcPr>
            <w:tcW w:w="1360" w:type="dxa"/>
            <w:vAlign w:val="bottom"/>
            <w:gridSpan w:val="3"/>
            <w:shd w:val="clear" w:color="auto" w:fill="CCECFF"/>
          </w:tcPr>
          <w:p>
            <w:pPr>
              <w:jc w:val="right"/>
              <w:ind w:right="86"/>
              <w:spacing w:after="0" w:line="122" w:lineRule="exact"/>
              <w:rPr>
                <w:sz w:val="20"/>
                <w:szCs w:val="20"/>
                <w:color w:val="auto"/>
              </w:rPr>
            </w:pPr>
            <w:r>
              <w:rPr>
                <w:rFonts w:ascii="Times New Roman" w:cs="Times New Roman" w:eastAsia="Times New Roman" w:hAnsi="Times New Roman"/>
                <w:sz w:val="11"/>
                <w:szCs w:val="11"/>
                <w:color w:val="auto"/>
              </w:rPr>
              <w:t>8.50 %</w:t>
            </w:r>
          </w:p>
        </w:tc>
        <w:tc>
          <w:tcPr>
            <w:tcW w:w="80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1M L+750</w:t>
            </w:r>
          </w:p>
        </w:tc>
        <w:tc>
          <w:tcPr>
            <w:tcW w:w="98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9,487</w:t>
            </w:r>
          </w:p>
        </w:tc>
        <w:tc>
          <w:tcPr>
            <w:tcW w:w="22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9,453</w:t>
            </w:r>
          </w:p>
        </w:tc>
        <w:tc>
          <w:tcPr>
            <w:tcW w:w="22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70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8,892</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00" w:type="dxa"/>
            <w:vAlign w:val="bottom"/>
            <w:vMerge w:val="restart"/>
          </w:tcPr>
          <w:p>
            <w:pPr>
              <w:ind w:left="20"/>
              <w:spacing w:after="0"/>
              <w:rPr>
                <w:sz w:val="20"/>
                <w:szCs w:val="20"/>
                <w:color w:val="auto"/>
              </w:rPr>
            </w:pPr>
            <w:r>
              <w:rPr>
                <w:rFonts w:ascii="Times New Roman" w:cs="Times New Roman" w:eastAsia="Times New Roman" w:hAnsi="Times New Roman"/>
                <w:sz w:val="11"/>
                <w:szCs w:val="11"/>
                <w:color w:val="auto"/>
              </w:rPr>
              <w:t xml:space="preserve">LAV Gear Holdings, Inc. (Revolver) </w:t>
            </w:r>
            <w:r>
              <w:rPr>
                <w:rFonts w:ascii="Times New Roman" w:cs="Times New Roman" w:eastAsia="Times New Roman" w:hAnsi="Times New Roman"/>
                <w:sz w:val="14"/>
                <w:szCs w:val="14"/>
                <w:color w:val="auto"/>
                <w:vertAlign w:val="superscript"/>
              </w:rPr>
              <w:t>(7)</w:t>
            </w:r>
          </w:p>
        </w:tc>
        <w:tc>
          <w:tcPr>
            <w:tcW w:w="140" w:type="dxa"/>
            <w:vAlign w:val="bottom"/>
            <w:shd w:val="clear" w:color="auto" w:fill="CCECFF"/>
          </w:tcPr>
          <w:p>
            <w:pPr>
              <w:spacing w:after="0"/>
              <w:rPr>
                <w:sz w:val="11"/>
                <w:szCs w:val="11"/>
                <w:color w:val="auto"/>
              </w:rPr>
            </w:pPr>
          </w:p>
        </w:tc>
        <w:tc>
          <w:tcPr>
            <w:tcW w:w="74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260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1240" w:type="dxa"/>
            <w:vAlign w:val="bottom"/>
            <w:gridSpan w:val="2"/>
            <w:shd w:val="clear" w:color="auto" w:fill="CCECFF"/>
          </w:tcPr>
          <w:p>
            <w:pPr>
              <w:jc w:val="right"/>
              <w:ind w:right="206"/>
              <w:spacing w:after="0"/>
              <w:rPr>
                <w:sz w:val="20"/>
                <w:szCs w:val="20"/>
                <w:color w:val="auto"/>
              </w:rPr>
            </w:pPr>
            <w:r>
              <w:rPr>
                <w:rFonts w:ascii="Times New Roman" w:cs="Times New Roman" w:eastAsia="Times New Roman" w:hAnsi="Times New Roman"/>
                <w:sz w:val="11"/>
                <w:szCs w:val="11"/>
                <w:color w:val="auto"/>
              </w:rPr>
              <w:t>(PIK 5.00%)</w:t>
            </w:r>
          </w:p>
        </w:tc>
        <w:tc>
          <w:tcPr>
            <w:tcW w:w="80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76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58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70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400" w:type="dxa"/>
            <w:vAlign w:val="bottom"/>
            <w:vMerge w:val="continue"/>
          </w:tcPr>
          <w:p>
            <w:pPr>
              <w:spacing w:after="0"/>
              <w:rPr>
                <w:sz w:val="10"/>
                <w:szCs w:val="10"/>
                <w:color w:val="auto"/>
              </w:rPr>
            </w:pPr>
          </w:p>
        </w:tc>
        <w:tc>
          <w:tcPr>
            <w:tcW w:w="880" w:type="dxa"/>
            <w:vAlign w:val="bottom"/>
            <w:gridSpan w:val="2"/>
          </w:tcPr>
          <w:p>
            <w:pPr>
              <w:jc w:val="center"/>
              <w:ind w:left="86"/>
              <w:spacing w:after="0" w:line="122" w:lineRule="exact"/>
              <w:rPr>
                <w:sz w:val="20"/>
                <w:szCs w:val="20"/>
                <w:color w:val="auto"/>
              </w:rPr>
            </w:pPr>
            <w:r>
              <w:rPr>
                <w:rFonts w:ascii="Times New Roman" w:cs="Times New Roman" w:eastAsia="Times New Roman" w:hAnsi="Times New Roman"/>
                <w:sz w:val="11"/>
                <w:szCs w:val="11"/>
                <w:color w:val="auto"/>
                <w:w w:val="99"/>
              </w:rPr>
              <w:t>10/31/2024</w:t>
            </w:r>
          </w:p>
        </w:tc>
        <w:tc>
          <w:tcPr>
            <w:tcW w:w="140" w:type="dxa"/>
            <w:vAlign w:val="bottom"/>
          </w:tcPr>
          <w:p>
            <w:pPr>
              <w:spacing w:after="0"/>
              <w:rPr>
                <w:sz w:val="10"/>
                <w:szCs w:val="10"/>
                <w:color w:val="auto"/>
              </w:rPr>
            </w:pPr>
          </w:p>
        </w:tc>
        <w:tc>
          <w:tcPr>
            <w:tcW w:w="260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6"/>
              </w:rPr>
              <w:t>Capital Equipment</w:t>
            </w:r>
          </w:p>
        </w:tc>
        <w:tc>
          <w:tcPr>
            <w:tcW w:w="1360" w:type="dxa"/>
            <w:vAlign w:val="bottom"/>
            <w:gridSpan w:val="3"/>
          </w:tcPr>
          <w:p>
            <w:pPr>
              <w:jc w:val="right"/>
              <w:ind w:right="86"/>
              <w:spacing w:after="0" w:line="122" w:lineRule="exact"/>
              <w:rPr>
                <w:sz w:val="20"/>
                <w:szCs w:val="20"/>
                <w:color w:val="auto"/>
              </w:rPr>
            </w:pPr>
            <w:r>
              <w:rPr>
                <w:rFonts w:ascii="Times New Roman" w:cs="Times New Roman" w:eastAsia="Times New Roman" w:hAnsi="Times New Roman"/>
                <w:sz w:val="11"/>
                <w:szCs w:val="11"/>
                <w:color w:val="auto"/>
              </w:rPr>
              <w:t>8.50 %</w:t>
            </w:r>
          </w:p>
        </w:tc>
        <w:tc>
          <w:tcPr>
            <w:tcW w:w="8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1M L+750</w:t>
            </w:r>
          </w:p>
        </w:tc>
        <w:tc>
          <w:tcPr>
            <w:tcW w:w="98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1,691</w:t>
            </w: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1,691</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1,585</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jc w:val="right"/>
              <w:ind w:right="206"/>
              <w:spacing w:after="0"/>
              <w:rPr>
                <w:sz w:val="20"/>
                <w:szCs w:val="20"/>
                <w:color w:val="auto"/>
              </w:rPr>
            </w:pPr>
            <w:r>
              <w:rPr>
                <w:rFonts w:ascii="Times New Roman" w:cs="Times New Roman" w:eastAsia="Times New Roman" w:hAnsi="Times New Roman"/>
                <w:sz w:val="11"/>
                <w:szCs w:val="11"/>
                <w:color w:val="auto"/>
              </w:rPr>
              <w:t>(PIK 5.00%)</w:t>
            </w: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2400" w:type="dxa"/>
            <w:vAlign w:val="bottom"/>
          </w:tcPr>
          <w:p>
            <w:pPr>
              <w:ind w:left="20"/>
              <w:spacing w:after="0" w:line="117" w:lineRule="exact"/>
              <w:rPr>
                <w:sz w:val="20"/>
                <w:szCs w:val="20"/>
                <w:color w:val="auto"/>
              </w:rPr>
            </w:pPr>
            <w:r>
              <w:rPr>
                <w:rFonts w:ascii="Times New Roman" w:cs="Times New Roman" w:eastAsia="Times New Roman" w:hAnsi="Times New Roman"/>
                <w:sz w:val="11"/>
                <w:szCs w:val="11"/>
                <w:color w:val="auto"/>
              </w:rPr>
              <w:t>Lightspeed Buyer Inc.</w:t>
            </w:r>
          </w:p>
        </w:tc>
        <w:tc>
          <w:tcPr>
            <w:tcW w:w="880" w:type="dxa"/>
            <w:vAlign w:val="bottom"/>
            <w:gridSpan w:val="2"/>
          </w:tcPr>
          <w:p>
            <w:pPr>
              <w:jc w:val="center"/>
              <w:ind w:left="86"/>
              <w:spacing w:after="0" w:line="117" w:lineRule="exact"/>
              <w:rPr>
                <w:sz w:val="20"/>
                <w:szCs w:val="20"/>
                <w:color w:val="auto"/>
              </w:rPr>
            </w:pPr>
            <w:r>
              <w:rPr>
                <w:rFonts w:ascii="Times New Roman" w:cs="Times New Roman" w:eastAsia="Times New Roman" w:hAnsi="Times New Roman"/>
                <w:sz w:val="11"/>
                <w:szCs w:val="11"/>
                <w:color w:val="auto"/>
                <w:w w:val="99"/>
              </w:rPr>
              <w:t>02/03/2026</w:t>
            </w:r>
          </w:p>
        </w:tc>
        <w:tc>
          <w:tcPr>
            <w:tcW w:w="140" w:type="dxa"/>
            <w:vAlign w:val="bottom"/>
          </w:tcPr>
          <w:p>
            <w:pPr>
              <w:spacing w:after="0"/>
              <w:rPr>
                <w:sz w:val="10"/>
                <w:szCs w:val="10"/>
                <w:color w:val="auto"/>
              </w:rPr>
            </w:pPr>
          </w:p>
        </w:tc>
        <w:tc>
          <w:tcPr>
            <w:tcW w:w="260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color w:val="auto"/>
                <w:w w:val="97"/>
              </w:rPr>
              <w:t>Healthcare Technology</w:t>
            </w:r>
          </w:p>
        </w:tc>
        <w:tc>
          <w:tcPr>
            <w:tcW w:w="1360" w:type="dxa"/>
            <w:vAlign w:val="bottom"/>
            <w:gridSpan w:val="3"/>
          </w:tcPr>
          <w:p>
            <w:pPr>
              <w:jc w:val="right"/>
              <w:ind w:right="86"/>
              <w:spacing w:after="0" w:line="117" w:lineRule="exact"/>
              <w:rPr>
                <w:sz w:val="20"/>
                <w:szCs w:val="20"/>
                <w:color w:val="auto"/>
              </w:rPr>
            </w:pPr>
            <w:r>
              <w:rPr>
                <w:rFonts w:ascii="Times New Roman" w:cs="Times New Roman" w:eastAsia="Times New Roman" w:hAnsi="Times New Roman"/>
                <w:sz w:val="11"/>
                <w:szCs w:val="11"/>
                <w:color w:val="auto"/>
              </w:rPr>
              <w:t>6.75 %</w:t>
            </w:r>
          </w:p>
        </w:tc>
        <w:tc>
          <w:tcPr>
            <w:tcW w:w="80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1M L+575</w:t>
            </w:r>
          </w:p>
        </w:tc>
        <w:tc>
          <w:tcPr>
            <w:tcW w:w="98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1"/>
                <w:szCs w:val="11"/>
                <w:color w:val="auto"/>
              </w:rPr>
              <w:t>29,607</w:t>
            </w: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29,160</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29,607</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400" w:type="dxa"/>
            <w:vAlign w:val="bottom"/>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Lightspeed Buyer Inc. (Revolver) </w:t>
            </w:r>
            <w:r>
              <w:rPr>
                <w:rFonts w:ascii="Times New Roman" w:cs="Times New Roman" w:eastAsia="Times New Roman" w:hAnsi="Times New Roman"/>
                <w:sz w:val="14"/>
                <w:szCs w:val="14"/>
                <w:color w:val="auto"/>
                <w:vertAlign w:val="superscript"/>
              </w:rPr>
              <w:t>(7), (9)</w:t>
            </w:r>
          </w:p>
        </w:tc>
        <w:tc>
          <w:tcPr>
            <w:tcW w:w="88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9"/>
              </w:rPr>
              <w:t>02/03/2026</w:t>
            </w:r>
          </w:p>
        </w:tc>
        <w:tc>
          <w:tcPr>
            <w:tcW w:w="140" w:type="dxa"/>
            <w:vAlign w:val="bottom"/>
          </w:tcPr>
          <w:p>
            <w:pPr>
              <w:spacing w:after="0"/>
              <w:rPr>
                <w:sz w:val="13"/>
                <w:szCs w:val="13"/>
                <w:color w:val="auto"/>
              </w:rPr>
            </w:pPr>
          </w:p>
        </w:tc>
        <w:tc>
          <w:tcPr>
            <w:tcW w:w="26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Healthcare Technology</w:t>
            </w:r>
          </w:p>
        </w:tc>
        <w:tc>
          <w:tcPr>
            <w:tcW w:w="120" w:type="dxa"/>
            <w:vAlign w:val="bottom"/>
          </w:tcPr>
          <w:p>
            <w:pPr>
              <w:spacing w:after="0"/>
              <w:rPr>
                <w:sz w:val="13"/>
                <w:szCs w:val="13"/>
                <w:color w:val="auto"/>
              </w:rPr>
            </w:pPr>
          </w:p>
        </w:tc>
        <w:tc>
          <w:tcPr>
            <w:tcW w:w="1240" w:type="dxa"/>
            <w:vAlign w:val="bottom"/>
            <w:gridSpan w:val="2"/>
          </w:tcPr>
          <w:p>
            <w:pPr>
              <w:jc w:val="right"/>
              <w:ind w:right="206"/>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2,499</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17"/>
        </w:trPr>
        <w:tc>
          <w:tcPr>
            <w:tcW w:w="2400" w:type="dxa"/>
            <w:vAlign w:val="bottom"/>
          </w:tcPr>
          <w:p>
            <w:pPr>
              <w:ind w:left="20"/>
              <w:spacing w:after="0" w:line="117" w:lineRule="exact"/>
              <w:rPr>
                <w:sz w:val="20"/>
                <w:szCs w:val="20"/>
                <w:color w:val="auto"/>
              </w:rPr>
            </w:pPr>
            <w:r>
              <w:rPr>
                <w:rFonts w:ascii="Times New Roman" w:cs="Times New Roman" w:eastAsia="Times New Roman" w:hAnsi="Times New Roman"/>
                <w:sz w:val="11"/>
                <w:szCs w:val="11"/>
                <w:color w:val="auto"/>
              </w:rPr>
              <w:t>Lombart Brothers, Inc.</w:t>
            </w:r>
          </w:p>
        </w:tc>
        <w:tc>
          <w:tcPr>
            <w:tcW w:w="880" w:type="dxa"/>
            <w:vAlign w:val="bottom"/>
            <w:gridSpan w:val="2"/>
          </w:tcPr>
          <w:p>
            <w:pPr>
              <w:jc w:val="center"/>
              <w:ind w:left="86"/>
              <w:spacing w:after="0" w:line="117" w:lineRule="exact"/>
              <w:rPr>
                <w:sz w:val="20"/>
                <w:szCs w:val="20"/>
                <w:color w:val="auto"/>
              </w:rPr>
            </w:pPr>
            <w:r>
              <w:rPr>
                <w:rFonts w:ascii="Times New Roman" w:cs="Times New Roman" w:eastAsia="Times New Roman" w:hAnsi="Times New Roman"/>
                <w:sz w:val="11"/>
                <w:szCs w:val="11"/>
                <w:color w:val="auto"/>
                <w:w w:val="99"/>
              </w:rPr>
              <w:t>04/13/2023</w:t>
            </w:r>
          </w:p>
        </w:tc>
        <w:tc>
          <w:tcPr>
            <w:tcW w:w="140" w:type="dxa"/>
            <w:vAlign w:val="bottom"/>
          </w:tcPr>
          <w:p>
            <w:pPr>
              <w:spacing w:after="0"/>
              <w:rPr>
                <w:sz w:val="10"/>
                <w:szCs w:val="10"/>
                <w:color w:val="auto"/>
              </w:rPr>
            </w:pPr>
          </w:p>
        </w:tc>
        <w:tc>
          <w:tcPr>
            <w:tcW w:w="260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color w:val="auto"/>
                <w:w w:val="96"/>
              </w:rPr>
              <w:t>Capital Equipment</w:t>
            </w:r>
          </w:p>
        </w:tc>
        <w:tc>
          <w:tcPr>
            <w:tcW w:w="1360" w:type="dxa"/>
            <w:vAlign w:val="bottom"/>
            <w:gridSpan w:val="3"/>
          </w:tcPr>
          <w:p>
            <w:pPr>
              <w:jc w:val="right"/>
              <w:ind w:right="86"/>
              <w:spacing w:after="0" w:line="117" w:lineRule="exact"/>
              <w:rPr>
                <w:sz w:val="20"/>
                <w:szCs w:val="20"/>
                <w:color w:val="auto"/>
              </w:rPr>
            </w:pPr>
            <w:r>
              <w:rPr>
                <w:rFonts w:ascii="Times New Roman" w:cs="Times New Roman" w:eastAsia="Times New Roman" w:hAnsi="Times New Roman"/>
                <w:sz w:val="11"/>
                <w:szCs w:val="11"/>
                <w:color w:val="auto"/>
              </w:rPr>
              <w:t>7.25 %</w:t>
            </w:r>
          </w:p>
        </w:tc>
        <w:tc>
          <w:tcPr>
            <w:tcW w:w="80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3M L+625</w:t>
            </w:r>
          </w:p>
        </w:tc>
        <w:tc>
          <w:tcPr>
            <w:tcW w:w="98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1"/>
                <w:szCs w:val="11"/>
                <w:color w:val="auto"/>
              </w:rPr>
              <w:t>14,285</w:t>
            </w: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14,208</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14,285</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4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 xml:space="preserve">Lombart Brothers, Inc. (Revolver) </w:t>
            </w:r>
            <w:r>
              <w:rPr>
                <w:rFonts w:ascii="Times New Roman" w:cs="Times New Roman" w:eastAsia="Times New Roman" w:hAnsi="Times New Roman"/>
                <w:sz w:val="14"/>
                <w:szCs w:val="14"/>
                <w:color w:val="auto"/>
                <w:vertAlign w:val="superscript"/>
              </w:rPr>
              <w:t>(7)</w:t>
            </w:r>
          </w:p>
        </w:tc>
        <w:tc>
          <w:tcPr>
            <w:tcW w:w="88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9"/>
              </w:rPr>
              <w:t>04/13/2023</w:t>
            </w:r>
          </w:p>
        </w:tc>
        <w:tc>
          <w:tcPr>
            <w:tcW w:w="140" w:type="dxa"/>
            <w:vAlign w:val="bottom"/>
          </w:tcPr>
          <w:p>
            <w:pPr>
              <w:spacing w:after="0"/>
              <w:rPr>
                <w:sz w:val="14"/>
                <w:szCs w:val="14"/>
                <w:color w:val="auto"/>
              </w:rPr>
            </w:pPr>
          </w:p>
        </w:tc>
        <w:tc>
          <w:tcPr>
            <w:tcW w:w="26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6"/>
              </w:rPr>
              <w:t>Capital Equipment</w:t>
            </w:r>
          </w:p>
        </w:tc>
        <w:tc>
          <w:tcPr>
            <w:tcW w:w="1360" w:type="dxa"/>
            <w:vAlign w:val="bottom"/>
            <w:gridSpan w:val="3"/>
          </w:tcPr>
          <w:p>
            <w:pPr>
              <w:jc w:val="right"/>
              <w:ind w:right="86"/>
              <w:spacing w:after="0"/>
              <w:rPr>
                <w:sz w:val="20"/>
                <w:szCs w:val="20"/>
                <w:color w:val="auto"/>
              </w:rPr>
            </w:pPr>
            <w:r>
              <w:rPr>
                <w:rFonts w:ascii="Times New Roman" w:cs="Times New Roman" w:eastAsia="Times New Roman" w:hAnsi="Times New Roman"/>
                <w:sz w:val="11"/>
                <w:szCs w:val="11"/>
                <w:color w:val="auto"/>
              </w:rPr>
              <w:t>7.25 %</w:t>
            </w: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L+625</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516</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516</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516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4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Lucky Bucks, LLC</w:t>
            </w:r>
          </w:p>
        </w:tc>
        <w:tc>
          <w:tcPr>
            <w:tcW w:w="880" w:type="dxa"/>
            <w:vAlign w:val="bottom"/>
            <w:gridSpan w:val="2"/>
            <w:shd w:val="clear" w:color="auto" w:fill="CCECFF"/>
          </w:tcPr>
          <w:p>
            <w:pPr>
              <w:jc w:val="center"/>
              <w:ind w:left="86"/>
              <w:spacing w:after="0"/>
              <w:rPr>
                <w:sz w:val="20"/>
                <w:szCs w:val="20"/>
                <w:color w:val="auto"/>
              </w:rPr>
            </w:pPr>
            <w:r>
              <w:rPr>
                <w:rFonts w:ascii="Times New Roman" w:cs="Times New Roman" w:eastAsia="Times New Roman" w:hAnsi="Times New Roman"/>
                <w:sz w:val="11"/>
                <w:szCs w:val="11"/>
                <w:color w:val="auto"/>
                <w:w w:val="99"/>
              </w:rPr>
              <w:t>07/20/2027</w:t>
            </w:r>
          </w:p>
        </w:tc>
        <w:tc>
          <w:tcPr>
            <w:tcW w:w="140" w:type="dxa"/>
            <w:vAlign w:val="bottom"/>
            <w:shd w:val="clear" w:color="auto" w:fill="CCECFF"/>
          </w:tcPr>
          <w:p>
            <w:pPr>
              <w:spacing w:after="0"/>
              <w:rPr>
                <w:sz w:val="11"/>
                <w:szCs w:val="11"/>
                <w:color w:val="auto"/>
              </w:rPr>
            </w:pPr>
          </w:p>
        </w:tc>
        <w:tc>
          <w:tcPr>
            <w:tcW w:w="26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Hotels, Restaurants and Leisure</w:t>
            </w:r>
          </w:p>
        </w:tc>
        <w:tc>
          <w:tcPr>
            <w:tcW w:w="1360" w:type="dxa"/>
            <w:vAlign w:val="bottom"/>
            <w:gridSpan w:val="3"/>
            <w:shd w:val="clear" w:color="auto" w:fill="CCECFF"/>
          </w:tcPr>
          <w:p>
            <w:pPr>
              <w:jc w:val="right"/>
              <w:ind w:right="86"/>
              <w:spacing w:after="0"/>
              <w:rPr>
                <w:sz w:val="20"/>
                <w:szCs w:val="20"/>
                <w:color w:val="auto"/>
              </w:rPr>
            </w:pPr>
            <w:r>
              <w:rPr>
                <w:rFonts w:ascii="Times New Roman" w:cs="Times New Roman" w:eastAsia="Times New Roman" w:hAnsi="Times New Roman"/>
                <w:sz w:val="11"/>
                <w:szCs w:val="11"/>
                <w:color w:val="auto"/>
              </w:rPr>
              <w:t>6.25 %</w:t>
            </w:r>
          </w:p>
        </w:tc>
        <w:tc>
          <w:tcPr>
            <w:tcW w:w="8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L+550</w:t>
            </w:r>
          </w:p>
        </w:tc>
        <w:tc>
          <w:tcPr>
            <w:tcW w:w="98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4,500</w:t>
            </w:r>
          </w:p>
        </w:tc>
        <w:tc>
          <w:tcPr>
            <w:tcW w:w="22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4,411</w:t>
            </w:r>
          </w:p>
        </w:tc>
        <w:tc>
          <w:tcPr>
            <w:tcW w:w="22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4,424</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MAG DS Corp.</w:t>
            </w:r>
          </w:p>
        </w:tc>
        <w:tc>
          <w:tcPr>
            <w:tcW w:w="88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9"/>
              </w:rPr>
              <w:t>04/01/2027</w:t>
            </w:r>
          </w:p>
        </w:tc>
        <w:tc>
          <w:tcPr>
            <w:tcW w:w="140" w:type="dxa"/>
            <w:vAlign w:val="bottom"/>
          </w:tcPr>
          <w:p>
            <w:pPr>
              <w:spacing w:after="0"/>
              <w:rPr>
                <w:sz w:val="11"/>
                <w:szCs w:val="11"/>
                <w:color w:val="auto"/>
              </w:rPr>
            </w:pPr>
          </w:p>
        </w:tc>
        <w:tc>
          <w:tcPr>
            <w:tcW w:w="26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1360" w:type="dxa"/>
            <w:vAlign w:val="bottom"/>
            <w:gridSpan w:val="3"/>
          </w:tcPr>
          <w:p>
            <w:pPr>
              <w:jc w:val="right"/>
              <w:ind w:right="86"/>
              <w:spacing w:after="0"/>
              <w:rPr>
                <w:sz w:val="20"/>
                <w:szCs w:val="20"/>
                <w:color w:val="auto"/>
              </w:rPr>
            </w:pPr>
            <w:r>
              <w:rPr>
                <w:rFonts w:ascii="Times New Roman" w:cs="Times New Roman" w:eastAsia="Times New Roman" w:hAnsi="Times New Roman"/>
                <w:sz w:val="11"/>
                <w:szCs w:val="11"/>
                <w:color w:val="auto"/>
              </w:rPr>
              <w:t>6.50 %</w:t>
            </w: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1M L+550</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3,891</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3,721</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3,502</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Magenta Buyer, LLC</w:t>
            </w:r>
          </w:p>
        </w:tc>
        <w:tc>
          <w:tcPr>
            <w:tcW w:w="880" w:type="dxa"/>
            <w:vAlign w:val="bottom"/>
            <w:gridSpan w:val="2"/>
            <w:shd w:val="clear" w:color="auto" w:fill="CCECFF"/>
          </w:tcPr>
          <w:p>
            <w:pPr>
              <w:jc w:val="center"/>
              <w:ind w:left="86"/>
              <w:spacing w:after="0"/>
              <w:rPr>
                <w:sz w:val="20"/>
                <w:szCs w:val="20"/>
                <w:color w:val="auto"/>
              </w:rPr>
            </w:pPr>
            <w:r>
              <w:rPr>
                <w:rFonts w:ascii="Times New Roman" w:cs="Times New Roman" w:eastAsia="Times New Roman" w:hAnsi="Times New Roman"/>
                <w:sz w:val="11"/>
                <w:szCs w:val="11"/>
                <w:color w:val="auto"/>
                <w:w w:val="99"/>
              </w:rPr>
              <w:t>07/31/2028</w:t>
            </w:r>
          </w:p>
        </w:tc>
        <w:tc>
          <w:tcPr>
            <w:tcW w:w="140" w:type="dxa"/>
            <w:vAlign w:val="bottom"/>
            <w:shd w:val="clear" w:color="auto" w:fill="CCECFF"/>
          </w:tcPr>
          <w:p>
            <w:pPr>
              <w:spacing w:after="0"/>
              <w:rPr>
                <w:sz w:val="11"/>
                <w:szCs w:val="11"/>
                <w:color w:val="auto"/>
              </w:rPr>
            </w:pPr>
          </w:p>
        </w:tc>
        <w:tc>
          <w:tcPr>
            <w:tcW w:w="26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rPr>
              <w:t>Software</w:t>
            </w:r>
          </w:p>
        </w:tc>
        <w:tc>
          <w:tcPr>
            <w:tcW w:w="1360" w:type="dxa"/>
            <w:vAlign w:val="bottom"/>
            <w:gridSpan w:val="3"/>
            <w:shd w:val="clear" w:color="auto" w:fill="CCECFF"/>
          </w:tcPr>
          <w:p>
            <w:pPr>
              <w:jc w:val="right"/>
              <w:ind w:right="86"/>
              <w:spacing w:after="0"/>
              <w:rPr>
                <w:sz w:val="20"/>
                <w:szCs w:val="20"/>
                <w:color w:val="auto"/>
              </w:rPr>
            </w:pPr>
            <w:r>
              <w:rPr>
                <w:rFonts w:ascii="Times New Roman" w:cs="Times New Roman" w:eastAsia="Times New Roman" w:hAnsi="Times New Roman"/>
                <w:sz w:val="11"/>
                <w:szCs w:val="11"/>
                <w:color w:val="auto"/>
              </w:rPr>
              <w:t>5.75 %</w:t>
            </w:r>
          </w:p>
        </w:tc>
        <w:tc>
          <w:tcPr>
            <w:tcW w:w="8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L+500</w:t>
            </w:r>
          </w:p>
        </w:tc>
        <w:tc>
          <w:tcPr>
            <w:tcW w:w="98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10,000</w:t>
            </w:r>
          </w:p>
        </w:tc>
        <w:tc>
          <w:tcPr>
            <w:tcW w:w="22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9,901</w:t>
            </w:r>
          </w:p>
        </w:tc>
        <w:tc>
          <w:tcPr>
            <w:tcW w:w="22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9,997</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03"/>
        </w:trPr>
        <w:tc>
          <w:tcPr>
            <w:tcW w:w="2400" w:type="dxa"/>
            <w:vAlign w:val="bottom"/>
          </w:tcPr>
          <w:p>
            <w:pPr>
              <w:ind w:left="20"/>
              <w:spacing w:after="0" w:line="103" w:lineRule="exact"/>
              <w:rPr>
                <w:sz w:val="20"/>
                <w:szCs w:val="20"/>
                <w:color w:val="auto"/>
              </w:rPr>
            </w:pPr>
            <w:r>
              <w:rPr>
                <w:rFonts w:ascii="Times New Roman" w:cs="Times New Roman" w:eastAsia="Times New Roman" w:hAnsi="Times New Roman"/>
                <w:sz w:val="11"/>
                <w:szCs w:val="11"/>
                <w:color w:val="auto"/>
              </w:rPr>
              <w:t>Mars Acquisition Holdings Corp.</w:t>
            </w:r>
          </w:p>
        </w:tc>
        <w:tc>
          <w:tcPr>
            <w:tcW w:w="880" w:type="dxa"/>
            <w:vAlign w:val="bottom"/>
            <w:gridSpan w:val="2"/>
          </w:tcPr>
          <w:p>
            <w:pPr>
              <w:jc w:val="center"/>
              <w:ind w:left="86"/>
              <w:spacing w:after="0" w:line="103" w:lineRule="exact"/>
              <w:rPr>
                <w:sz w:val="20"/>
                <w:szCs w:val="20"/>
                <w:color w:val="auto"/>
              </w:rPr>
            </w:pPr>
            <w:r>
              <w:rPr>
                <w:rFonts w:ascii="Times New Roman" w:cs="Times New Roman" w:eastAsia="Times New Roman" w:hAnsi="Times New Roman"/>
                <w:sz w:val="11"/>
                <w:szCs w:val="11"/>
                <w:color w:val="auto"/>
                <w:w w:val="99"/>
              </w:rPr>
              <w:t>05/14/2026</w:t>
            </w:r>
          </w:p>
        </w:tc>
        <w:tc>
          <w:tcPr>
            <w:tcW w:w="140" w:type="dxa"/>
            <w:vAlign w:val="bottom"/>
          </w:tcPr>
          <w:p>
            <w:pPr>
              <w:spacing w:after="0"/>
              <w:rPr>
                <w:sz w:val="8"/>
                <w:szCs w:val="8"/>
                <w:color w:val="auto"/>
              </w:rPr>
            </w:pPr>
          </w:p>
        </w:tc>
        <w:tc>
          <w:tcPr>
            <w:tcW w:w="2600" w:type="dxa"/>
            <w:vAlign w:val="bottom"/>
          </w:tcPr>
          <w:p>
            <w:pPr>
              <w:jc w:val="center"/>
              <w:spacing w:after="0" w:line="103" w:lineRule="exact"/>
              <w:rPr>
                <w:sz w:val="20"/>
                <w:szCs w:val="20"/>
                <w:color w:val="auto"/>
              </w:rPr>
            </w:pPr>
            <w:r>
              <w:rPr>
                <w:rFonts w:ascii="Times New Roman" w:cs="Times New Roman" w:eastAsia="Times New Roman" w:hAnsi="Times New Roman"/>
                <w:sz w:val="11"/>
                <w:szCs w:val="11"/>
                <w:color w:val="auto"/>
                <w:w w:val="99"/>
              </w:rPr>
              <w:t>Media</w:t>
            </w:r>
          </w:p>
        </w:tc>
        <w:tc>
          <w:tcPr>
            <w:tcW w:w="1360" w:type="dxa"/>
            <w:vAlign w:val="bottom"/>
            <w:gridSpan w:val="3"/>
          </w:tcPr>
          <w:p>
            <w:pPr>
              <w:jc w:val="right"/>
              <w:ind w:right="86"/>
              <w:spacing w:after="0" w:line="103" w:lineRule="exact"/>
              <w:rPr>
                <w:sz w:val="20"/>
                <w:szCs w:val="20"/>
                <w:color w:val="auto"/>
              </w:rPr>
            </w:pPr>
            <w:r>
              <w:rPr>
                <w:rFonts w:ascii="Times New Roman" w:cs="Times New Roman" w:eastAsia="Times New Roman" w:hAnsi="Times New Roman"/>
                <w:sz w:val="11"/>
                <w:szCs w:val="11"/>
                <w:color w:val="auto"/>
              </w:rPr>
              <w:t>6.50 %</w:t>
            </w:r>
          </w:p>
        </w:tc>
        <w:tc>
          <w:tcPr>
            <w:tcW w:w="800" w:type="dxa"/>
            <w:vAlign w:val="bottom"/>
          </w:tcPr>
          <w:p>
            <w:pPr>
              <w:jc w:val="right"/>
              <w:spacing w:after="0" w:line="103" w:lineRule="exact"/>
              <w:rPr>
                <w:sz w:val="20"/>
                <w:szCs w:val="20"/>
                <w:color w:val="auto"/>
              </w:rPr>
            </w:pPr>
            <w:r>
              <w:rPr>
                <w:rFonts w:ascii="Times New Roman" w:cs="Times New Roman" w:eastAsia="Times New Roman" w:hAnsi="Times New Roman"/>
                <w:sz w:val="11"/>
                <w:szCs w:val="11"/>
                <w:color w:val="auto"/>
              </w:rPr>
              <w:t>3M L+550</w:t>
            </w:r>
          </w:p>
        </w:tc>
        <w:tc>
          <w:tcPr>
            <w:tcW w:w="980" w:type="dxa"/>
            <w:vAlign w:val="bottom"/>
            <w:gridSpan w:val="2"/>
          </w:tcPr>
          <w:p>
            <w:pPr>
              <w:jc w:val="right"/>
              <w:spacing w:after="0" w:line="103" w:lineRule="exact"/>
              <w:rPr>
                <w:sz w:val="20"/>
                <w:szCs w:val="20"/>
                <w:color w:val="auto"/>
              </w:rPr>
            </w:pPr>
            <w:r>
              <w:rPr>
                <w:rFonts w:ascii="Times New Roman" w:cs="Times New Roman" w:eastAsia="Times New Roman" w:hAnsi="Times New Roman"/>
                <w:sz w:val="11"/>
                <w:szCs w:val="11"/>
                <w:color w:val="auto"/>
              </w:rPr>
              <w:t>6,113</w:t>
            </w: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jc w:val="right"/>
              <w:spacing w:after="0" w:line="103" w:lineRule="exact"/>
              <w:rPr>
                <w:sz w:val="20"/>
                <w:szCs w:val="20"/>
                <w:color w:val="auto"/>
              </w:rPr>
            </w:pPr>
            <w:r>
              <w:rPr>
                <w:rFonts w:ascii="Times New Roman" w:cs="Times New Roman" w:eastAsia="Times New Roman" w:hAnsi="Times New Roman"/>
                <w:sz w:val="11"/>
                <w:szCs w:val="11"/>
                <w:color w:val="auto"/>
              </w:rPr>
              <w:t>5,998</w:t>
            </w: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jc w:val="right"/>
              <w:spacing w:after="0" w:line="103" w:lineRule="exact"/>
              <w:rPr>
                <w:sz w:val="20"/>
                <w:szCs w:val="20"/>
                <w:color w:val="auto"/>
              </w:rPr>
            </w:pPr>
            <w:r>
              <w:rPr>
                <w:rFonts w:ascii="Times New Roman" w:cs="Times New Roman" w:eastAsia="Times New Roman" w:hAnsi="Times New Roman"/>
                <w:sz w:val="11"/>
                <w:szCs w:val="11"/>
                <w:color w:val="auto"/>
              </w:rPr>
              <w:t>6,052</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240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Mars Acquisition Holdings Corp. (Revolver)</w:t>
            </w:r>
            <w:r>
              <w:rPr>
                <w:rFonts w:ascii="Times New Roman" w:cs="Times New Roman" w:eastAsia="Times New Roman" w:hAnsi="Times New Roman"/>
                <w:sz w:val="14"/>
                <w:szCs w:val="14"/>
                <w:color w:val="auto"/>
                <w:vertAlign w:val="superscript"/>
              </w:rPr>
              <w:t>(7)(9)</w:t>
            </w:r>
          </w:p>
        </w:tc>
        <w:tc>
          <w:tcPr>
            <w:tcW w:w="88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9"/>
              </w:rPr>
              <w:t>05/14/2026</w:t>
            </w:r>
          </w:p>
        </w:tc>
        <w:tc>
          <w:tcPr>
            <w:tcW w:w="140" w:type="dxa"/>
            <w:vAlign w:val="bottom"/>
          </w:tcPr>
          <w:p>
            <w:pPr>
              <w:spacing w:after="0"/>
              <w:rPr>
                <w:sz w:val="11"/>
                <w:szCs w:val="11"/>
                <w:color w:val="auto"/>
              </w:rPr>
            </w:pPr>
          </w:p>
        </w:tc>
        <w:tc>
          <w:tcPr>
            <w:tcW w:w="26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Media</w:t>
            </w:r>
          </w:p>
        </w:tc>
        <w:tc>
          <w:tcPr>
            <w:tcW w:w="120" w:type="dxa"/>
            <w:vAlign w:val="bottom"/>
          </w:tcPr>
          <w:p>
            <w:pPr>
              <w:spacing w:after="0"/>
              <w:rPr>
                <w:sz w:val="11"/>
                <w:szCs w:val="11"/>
                <w:color w:val="auto"/>
              </w:rPr>
            </w:pPr>
          </w:p>
        </w:tc>
        <w:tc>
          <w:tcPr>
            <w:tcW w:w="1240" w:type="dxa"/>
            <w:vAlign w:val="bottom"/>
            <w:gridSpan w:val="2"/>
          </w:tcPr>
          <w:p>
            <w:pPr>
              <w:jc w:val="right"/>
              <w:ind w:right="206"/>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1,624</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(16 )</w:t>
            </w:r>
          </w:p>
        </w:tc>
        <w:tc>
          <w:tcPr>
            <w:tcW w:w="0" w:type="dxa"/>
            <w:vAlign w:val="bottom"/>
          </w:tcPr>
          <w:p>
            <w:pPr>
              <w:spacing w:after="0"/>
              <w:rPr>
                <w:sz w:val="1"/>
                <w:szCs w:val="1"/>
                <w:color w:val="auto"/>
              </w:rPr>
            </w:pPr>
          </w:p>
        </w:tc>
      </w:tr>
      <w:tr>
        <w:trPr>
          <w:trHeight w:val="153"/>
        </w:trPr>
        <w:tc>
          <w:tcPr>
            <w:tcW w:w="2400" w:type="dxa"/>
            <w:vAlign w:val="bottom"/>
          </w:tcPr>
          <w:p>
            <w:pPr>
              <w:ind w:left="20"/>
              <w:spacing w:after="0" w:line="153" w:lineRule="exact"/>
              <w:rPr>
                <w:sz w:val="20"/>
                <w:szCs w:val="20"/>
                <w:color w:val="auto"/>
              </w:rPr>
            </w:pPr>
            <w:r>
              <w:rPr>
                <w:rFonts w:ascii="Times New Roman" w:cs="Times New Roman" w:eastAsia="Times New Roman" w:hAnsi="Times New Roman"/>
                <w:sz w:val="11"/>
                <w:szCs w:val="11"/>
                <w:color w:val="auto"/>
              </w:rPr>
              <w:t>MBS Holdings, Inc. (Revolver)</w:t>
            </w:r>
            <w:r>
              <w:rPr>
                <w:rFonts w:ascii="Times New Roman" w:cs="Times New Roman" w:eastAsia="Times New Roman" w:hAnsi="Times New Roman"/>
                <w:sz w:val="14"/>
                <w:szCs w:val="14"/>
                <w:color w:val="auto"/>
                <w:vertAlign w:val="superscript"/>
              </w:rPr>
              <w:t>(7)(9)</w:t>
            </w:r>
          </w:p>
        </w:tc>
        <w:tc>
          <w:tcPr>
            <w:tcW w:w="88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9"/>
              </w:rPr>
              <w:t>04/16/2027</w:t>
            </w:r>
          </w:p>
        </w:tc>
        <w:tc>
          <w:tcPr>
            <w:tcW w:w="140" w:type="dxa"/>
            <w:vAlign w:val="bottom"/>
          </w:tcPr>
          <w:p>
            <w:pPr>
              <w:spacing w:after="0"/>
              <w:rPr>
                <w:sz w:val="13"/>
                <w:szCs w:val="13"/>
                <w:color w:val="auto"/>
              </w:rPr>
            </w:pPr>
          </w:p>
        </w:tc>
        <w:tc>
          <w:tcPr>
            <w:tcW w:w="26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Internet Software and Services</w:t>
            </w:r>
          </w:p>
        </w:tc>
        <w:tc>
          <w:tcPr>
            <w:tcW w:w="120" w:type="dxa"/>
            <w:vAlign w:val="bottom"/>
          </w:tcPr>
          <w:p>
            <w:pPr>
              <w:spacing w:after="0"/>
              <w:rPr>
                <w:sz w:val="13"/>
                <w:szCs w:val="13"/>
                <w:color w:val="auto"/>
              </w:rPr>
            </w:pPr>
          </w:p>
        </w:tc>
        <w:tc>
          <w:tcPr>
            <w:tcW w:w="1240" w:type="dxa"/>
            <w:vAlign w:val="bottom"/>
            <w:gridSpan w:val="2"/>
          </w:tcPr>
          <w:p>
            <w:pPr>
              <w:jc w:val="right"/>
              <w:ind w:right="206"/>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1,157</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(23 )</w:t>
            </w:r>
          </w:p>
        </w:tc>
        <w:tc>
          <w:tcPr>
            <w:tcW w:w="0" w:type="dxa"/>
            <w:vAlign w:val="bottom"/>
          </w:tcPr>
          <w:p>
            <w:pPr>
              <w:spacing w:after="0"/>
              <w:rPr>
                <w:sz w:val="1"/>
                <w:szCs w:val="1"/>
                <w:color w:val="auto"/>
              </w:rPr>
            </w:pPr>
          </w:p>
        </w:tc>
      </w:tr>
      <w:tr>
        <w:trPr>
          <w:trHeight w:val="117"/>
        </w:trPr>
        <w:tc>
          <w:tcPr>
            <w:tcW w:w="2400" w:type="dxa"/>
            <w:vAlign w:val="bottom"/>
          </w:tcPr>
          <w:p>
            <w:pPr>
              <w:ind w:left="20"/>
              <w:spacing w:after="0" w:line="117" w:lineRule="exact"/>
              <w:rPr>
                <w:sz w:val="20"/>
                <w:szCs w:val="20"/>
                <w:color w:val="auto"/>
              </w:rPr>
            </w:pPr>
            <w:r>
              <w:rPr>
                <w:rFonts w:ascii="Times New Roman" w:cs="Times New Roman" w:eastAsia="Times New Roman" w:hAnsi="Times New Roman"/>
                <w:sz w:val="11"/>
                <w:szCs w:val="11"/>
                <w:color w:val="auto"/>
              </w:rPr>
              <w:t>MeritDirect, LLC</w:t>
            </w:r>
          </w:p>
        </w:tc>
        <w:tc>
          <w:tcPr>
            <w:tcW w:w="880" w:type="dxa"/>
            <w:vAlign w:val="bottom"/>
            <w:gridSpan w:val="2"/>
          </w:tcPr>
          <w:p>
            <w:pPr>
              <w:jc w:val="center"/>
              <w:ind w:left="86"/>
              <w:spacing w:after="0" w:line="117" w:lineRule="exact"/>
              <w:rPr>
                <w:sz w:val="20"/>
                <w:szCs w:val="20"/>
                <w:color w:val="auto"/>
              </w:rPr>
            </w:pPr>
            <w:r>
              <w:rPr>
                <w:rFonts w:ascii="Times New Roman" w:cs="Times New Roman" w:eastAsia="Times New Roman" w:hAnsi="Times New Roman"/>
                <w:sz w:val="11"/>
                <w:szCs w:val="11"/>
                <w:color w:val="auto"/>
                <w:w w:val="99"/>
              </w:rPr>
              <w:t>05/23/2024</w:t>
            </w:r>
          </w:p>
        </w:tc>
        <w:tc>
          <w:tcPr>
            <w:tcW w:w="140" w:type="dxa"/>
            <w:vAlign w:val="bottom"/>
          </w:tcPr>
          <w:p>
            <w:pPr>
              <w:spacing w:after="0"/>
              <w:rPr>
                <w:sz w:val="10"/>
                <w:szCs w:val="10"/>
                <w:color w:val="auto"/>
              </w:rPr>
            </w:pPr>
          </w:p>
        </w:tc>
        <w:tc>
          <w:tcPr>
            <w:tcW w:w="260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color w:val="auto"/>
                <w:w w:val="99"/>
              </w:rPr>
              <w:t>Media</w:t>
            </w:r>
          </w:p>
        </w:tc>
        <w:tc>
          <w:tcPr>
            <w:tcW w:w="1360" w:type="dxa"/>
            <w:vAlign w:val="bottom"/>
            <w:gridSpan w:val="3"/>
          </w:tcPr>
          <w:p>
            <w:pPr>
              <w:jc w:val="right"/>
              <w:ind w:right="86"/>
              <w:spacing w:after="0" w:line="117" w:lineRule="exact"/>
              <w:rPr>
                <w:sz w:val="20"/>
                <w:szCs w:val="20"/>
                <w:color w:val="auto"/>
              </w:rPr>
            </w:pPr>
            <w:r>
              <w:rPr>
                <w:rFonts w:ascii="Times New Roman" w:cs="Times New Roman" w:eastAsia="Times New Roman" w:hAnsi="Times New Roman"/>
                <w:sz w:val="11"/>
                <w:szCs w:val="11"/>
                <w:color w:val="auto"/>
              </w:rPr>
              <w:t>6.50 %</w:t>
            </w:r>
          </w:p>
        </w:tc>
        <w:tc>
          <w:tcPr>
            <w:tcW w:w="80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3M L+550</w:t>
            </w:r>
          </w:p>
        </w:tc>
        <w:tc>
          <w:tcPr>
            <w:tcW w:w="98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1"/>
                <w:szCs w:val="11"/>
                <w:color w:val="auto"/>
              </w:rPr>
              <w:t>25,250</w:t>
            </w: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25,029</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24,997</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400" w:type="dxa"/>
            <w:vAlign w:val="bottom"/>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MeritDirect, LLC (Revolver) </w:t>
            </w:r>
            <w:r>
              <w:rPr>
                <w:rFonts w:ascii="Times New Roman" w:cs="Times New Roman" w:eastAsia="Times New Roman" w:hAnsi="Times New Roman"/>
                <w:sz w:val="14"/>
                <w:szCs w:val="14"/>
                <w:color w:val="auto"/>
                <w:vertAlign w:val="superscript"/>
              </w:rPr>
              <w:t>(7), (9)</w:t>
            </w:r>
          </w:p>
        </w:tc>
        <w:tc>
          <w:tcPr>
            <w:tcW w:w="88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9"/>
              </w:rPr>
              <w:t>05/23/2024</w:t>
            </w:r>
          </w:p>
        </w:tc>
        <w:tc>
          <w:tcPr>
            <w:tcW w:w="140" w:type="dxa"/>
            <w:vAlign w:val="bottom"/>
          </w:tcPr>
          <w:p>
            <w:pPr>
              <w:spacing w:after="0"/>
              <w:rPr>
                <w:sz w:val="13"/>
                <w:szCs w:val="13"/>
                <w:color w:val="auto"/>
              </w:rPr>
            </w:pPr>
          </w:p>
        </w:tc>
        <w:tc>
          <w:tcPr>
            <w:tcW w:w="26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Media</w:t>
            </w:r>
          </w:p>
        </w:tc>
        <w:tc>
          <w:tcPr>
            <w:tcW w:w="120" w:type="dxa"/>
            <w:vAlign w:val="bottom"/>
          </w:tcPr>
          <w:p>
            <w:pPr>
              <w:spacing w:after="0"/>
              <w:rPr>
                <w:sz w:val="13"/>
                <w:szCs w:val="13"/>
                <w:color w:val="auto"/>
              </w:rPr>
            </w:pPr>
          </w:p>
        </w:tc>
        <w:tc>
          <w:tcPr>
            <w:tcW w:w="1240" w:type="dxa"/>
            <w:vAlign w:val="bottom"/>
            <w:gridSpan w:val="2"/>
          </w:tcPr>
          <w:p>
            <w:pPr>
              <w:jc w:val="right"/>
              <w:ind w:right="206"/>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4,482</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(45 )</w:t>
            </w:r>
          </w:p>
        </w:tc>
        <w:tc>
          <w:tcPr>
            <w:tcW w:w="0" w:type="dxa"/>
            <w:vAlign w:val="bottom"/>
          </w:tcPr>
          <w:p>
            <w:pPr>
              <w:spacing w:after="0"/>
              <w:rPr>
                <w:sz w:val="1"/>
                <w:szCs w:val="1"/>
                <w:color w:val="auto"/>
              </w:rPr>
            </w:pPr>
          </w:p>
        </w:tc>
      </w:tr>
      <w:tr>
        <w:trPr>
          <w:trHeight w:val="117"/>
        </w:trPr>
        <w:tc>
          <w:tcPr>
            <w:tcW w:w="2400" w:type="dxa"/>
            <w:vAlign w:val="bottom"/>
          </w:tcPr>
          <w:p>
            <w:pPr>
              <w:ind w:left="20"/>
              <w:spacing w:after="0" w:line="117" w:lineRule="exact"/>
              <w:rPr>
                <w:sz w:val="20"/>
                <w:szCs w:val="20"/>
                <w:color w:val="auto"/>
              </w:rPr>
            </w:pPr>
            <w:r>
              <w:rPr>
                <w:rFonts w:ascii="Times New Roman" w:cs="Times New Roman" w:eastAsia="Times New Roman" w:hAnsi="Times New Roman"/>
                <w:sz w:val="11"/>
                <w:szCs w:val="11"/>
                <w:color w:val="auto"/>
              </w:rPr>
              <w:t>Mission Critical Electronics, Inc.</w:t>
            </w:r>
          </w:p>
        </w:tc>
        <w:tc>
          <w:tcPr>
            <w:tcW w:w="880" w:type="dxa"/>
            <w:vAlign w:val="bottom"/>
            <w:gridSpan w:val="2"/>
          </w:tcPr>
          <w:p>
            <w:pPr>
              <w:jc w:val="center"/>
              <w:ind w:left="86"/>
              <w:spacing w:after="0" w:line="117" w:lineRule="exact"/>
              <w:rPr>
                <w:sz w:val="20"/>
                <w:szCs w:val="20"/>
                <w:color w:val="auto"/>
              </w:rPr>
            </w:pPr>
            <w:r>
              <w:rPr>
                <w:rFonts w:ascii="Times New Roman" w:cs="Times New Roman" w:eastAsia="Times New Roman" w:hAnsi="Times New Roman"/>
                <w:sz w:val="11"/>
                <w:szCs w:val="11"/>
                <w:color w:val="auto"/>
                <w:w w:val="99"/>
              </w:rPr>
              <w:t>09/28/2022</w:t>
            </w:r>
          </w:p>
        </w:tc>
        <w:tc>
          <w:tcPr>
            <w:tcW w:w="140" w:type="dxa"/>
            <w:vAlign w:val="bottom"/>
          </w:tcPr>
          <w:p>
            <w:pPr>
              <w:spacing w:after="0"/>
              <w:rPr>
                <w:sz w:val="10"/>
                <w:szCs w:val="10"/>
                <w:color w:val="auto"/>
              </w:rPr>
            </w:pPr>
          </w:p>
        </w:tc>
        <w:tc>
          <w:tcPr>
            <w:tcW w:w="260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color w:val="auto"/>
                <w:w w:val="96"/>
              </w:rPr>
              <w:t>Capital Equipment</w:t>
            </w:r>
          </w:p>
        </w:tc>
        <w:tc>
          <w:tcPr>
            <w:tcW w:w="1360" w:type="dxa"/>
            <w:vAlign w:val="bottom"/>
            <w:gridSpan w:val="3"/>
          </w:tcPr>
          <w:p>
            <w:pPr>
              <w:jc w:val="right"/>
              <w:ind w:right="86"/>
              <w:spacing w:after="0" w:line="117" w:lineRule="exact"/>
              <w:rPr>
                <w:sz w:val="20"/>
                <w:szCs w:val="20"/>
                <w:color w:val="auto"/>
              </w:rPr>
            </w:pPr>
            <w:r>
              <w:rPr>
                <w:rFonts w:ascii="Times New Roman" w:cs="Times New Roman" w:eastAsia="Times New Roman" w:hAnsi="Times New Roman"/>
                <w:sz w:val="11"/>
                <w:szCs w:val="11"/>
                <w:color w:val="auto"/>
              </w:rPr>
              <w:t>6.00 %</w:t>
            </w:r>
          </w:p>
        </w:tc>
        <w:tc>
          <w:tcPr>
            <w:tcW w:w="80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1M L+500</w:t>
            </w:r>
          </w:p>
        </w:tc>
        <w:tc>
          <w:tcPr>
            <w:tcW w:w="98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1"/>
                <w:szCs w:val="11"/>
                <w:color w:val="auto"/>
              </w:rPr>
              <w:t>606</w:t>
            </w: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604</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606</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40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Mission Critical Electronics, Inc. (Revolver) </w:t>
            </w:r>
            <w:r>
              <w:rPr>
                <w:rFonts w:ascii="Times New Roman" w:cs="Times New Roman" w:eastAsia="Times New Roman" w:hAnsi="Times New Roman"/>
                <w:sz w:val="14"/>
                <w:szCs w:val="14"/>
                <w:color w:val="auto"/>
                <w:vertAlign w:val="superscript"/>
              </w:rPr>
              <w:t>(7)</w:t>
            </w:r>
          </w:p>
        </w:tc>
        <w:tc>
          <w:tcPr>
            <w:tcW w:w="88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9"/>
              </w:rPr>
              <w:t>09/28/2022</w:t>
            </w:r>
          </w:p>
        </w:tc>
        <w:tc>
          <w:tcPr>
            <w:tcW w:w="140" w:type="dxa"/>
            <w:vAlign w:val="bottom"/>
          </w:tcPr>
          <w:p>
            <w:pPr>
              <w:spacing w:after="0"/>
              <w:rPr>
                <w:sz w:val="11"/>
                <w:szCs w:val="11"/>
                <w:color w:val="auto"/>
              </w:rPr>
            </w:pPr>
          </w:p>
        </w:tc>
        <w:tc>
          <w:tcPr>
            <w:tcW w:w="26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6"/>
              </w:rPr>
              <w:t>Capital Equipment</w:t>
            </w:r>
          </w:p>
        </w:tc>
        <w:tc>
          <w:tcPr>
            <w:tcW w:w="1360" w:type="dxa"/>
            <w:vAlign w:val="bottom"/>
            <w:gridSpan w:val="3"/>
          </w:tcPr>
          <w:p>
            <w:pPr>
              <w:jc w:val="right"/>
              <w:ind w:right="86"/>
              <w:spacing w:after="0"/>
              <w:rPr>
                <w:sz w:val="20"/>
                <w:szCs w:val="20"/>
                <w:color w:val="auto"/>
              </w:rPr>
            </w:pPr>
            <w:r>
              <w:rPr>
                <w:rFonts w:ascii="Times New Roman" w:cs="Times New Roman" w:eastAsia="Times New Roman" w:hAnsi="Times New Roman"/>
                <w:sz w:val="11"/>
                <w:szCs w:val="11"/>
                <w:color w:val="auto"/>
              </w:rPr>
              <w:t>6.00 %</w:t>
            </w: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1M L+500</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468</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468</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468</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0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Mission Critical Electronics, Inc. (Revolver) </w:t>
            </w:r>
            <w:r>
              <w:rPr>
                <w:rFonts w:ascii="Times New Roman" w:cs="Times New Roman" w:eastAsia="Times New Roman" w:hAnsi="Times New Roman"/>
                <w:sz w:val="14"/>
                <w:szCs w:val="14"/>
                <w:color w:val="auto"/>
                <w:vertAlign w:val="superscript"/>
              </w:rPr>
              <w:t>(7), (9)</w:t>
            </w:r>
          </w:p>
        </w:tc>
        <w:tc>
          <w:tcPr>
            <w:tcW w:w="88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9"/>
              </w:rPr>
              <w:t>09/28/2022</w:t>
            </w:r>
          </w:p>
        </w:tc>
        <w:tc>
          <w:tcPr>
            <w:tcW w:w="140" w:type="dxa"/>
            <w:vAlign w:val="bottom"/>
          </w:tcPr>
          <w:p>
            <w:pPr>
              <w:spacing w:after="0"/>
              <w:rPr>
                <w:sz w:val="11"/>
                <w:szCs w:val="11"/>
                <w:color w:val="auto"/>
              </w:rPr>
            </w:pPr>
          </w:p>
        </w:tc>
        <w:tc>
          <w:tcPr>
            <w:tcW w:w="26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6"/>
              </w:rPr>
              <w:t>Capital Equipment</w:t>
            </w:r>
          </w:p>
        </w:tc>
        <w:tc>
          <w:tcPr>
            <w:tcW w:w="120" w:type="dxa"/>
            <w:vAlign w:val="bottom"/>
          </w:tcPr>
          <w:p>
            <w:pPr>
              <w:spacing w:after="0"/>
              <w:rPr>
                <w:sz w:val="11"/>
                <w:szCs w:val="11"/>
                <w:color w:val="auto"/>
              </w:rPr>
            </w:pPr>
          </w:p>
        </w:tc>
        <w:tc>
          <w:tcPr>
            <w:tcW w:w="1240" w:type="dxa"/>
            <w:vAlign w:val="bottom"/>
            <w:gridSpan w:val="2"/>
          </w:tcPr>
          <w:p>
            <w:pPr>
              <w:jc w:val="right"/>
              <w:ind w:right="206"/>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857</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35"/>
        </w:trPr>
        <w:tc>
          <w:tcPr>
            <w:tcW w:w="240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Municipal Emergency Services, Inc. </w:t>
            </w:r>
            <w:r>
              <w:rPr>
                <w:rFonts w:ascii="Times New Roman" w:cs="Times New Roman" w:eastAsia="Times New Roman" w:hAnsi="Times New Roman"/>
                <w:sz w:val="14"/>
                <w:szCs w:val="14"/>
                <w:color w:val="auto"/>
                <w:vertAlign w:val="superscript"/>
              </w:rPr>
              <w:t>(7)</w:t>
            </w:r>
          </w:p>
        </w:tc>
        <w:tc>
          <w:tcPr>
            <w:tcW w:w="88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9"/>
              </w:rPr>
              <w:t>09/28/2027</w:t>
            </w:r>
          </w:p>
        </w:tc>
        <w:tc>
          <w:tcPr>
            <w:tcW w:w="140" w:type="dxa"/>
            <w:vAlign w:val="bottom"/>
          </w:tcPr>
          <w:p>
            <w:pPr>
              <w:spacing w:after="0"/>
              <w:rPr>
                <w:sz w:val="11"/>
                <w:szCs w:val="11"/>
                <w:color w:val="auto"/>
              </w:rPr>
            </w:pPr>
          </w:p>
        </w:tc>
        <w:tc>
          <w:tcPr>
            <w:tcW w:w="26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Distributors</w:t>
            </w:r>
          </w:p>
        </w:tc>
        <w:tc>
          <w:tcPr>
            <w:tcW w:w="1360" w:type="dxa"/>
            <w:vAlign w:val="bottom"/>
            <w:gridSpan w:val="3"/>
          </w:tcPr>
          <w:p>
            <w:pPr>
              <w:jc w:val="right"/>
              <w:ind w:right="86"/>
              <w:spacing w:after="0"/>
              <w:rPr>
                <w:sz w:val="20"/>
                <w:szCs w:val="20"/>
                <w:color w:val="auto"/>
              </w:rPr>
            </w:pPr>
            <w:r>
              <w:rPr>
                <w:rFonts w:ascii="Times New Roman" w:cs="Times New Roman" w:eastAsia="Times New Roman" w:hAnsi="Times New Roman"/>
                <w:sz w:val="11"/>
                <w:szCs w:val="11"/>
                <w:color w:val="auto"/>
              </w:rPr>
              <w:t>6.00 %</w:t>
            </w: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L+500</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3,500</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3,430</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3,430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0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Municipal Emergency Services, Inc. </w:t>
            </w:r>
            <w:r>
              <w:rPr>
                <w:rFonts w:ascii="Times New Roman" w:cs="Times New Roman" w:eastAsia="Times New Roman" w:hAnsi="Times New Roman"/>
                <w:sz w:val="14"/>
                <w:szCs w:val="14"/>
                <w:color w:val="auto"/>
                <w:vertAlign w:val="superscript"/>
              </w:rPr>
              <w:t>(7), (9)</w:t>
            </w:r>
          </w:p>
        </w:tc>
        <w:tc>
          <w:tcPr>
            <w:tcW w:w="88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9"/>
              </w:rPr>
              <w:t>09/28/2027</w:t>
            </w:r>
          </w:p>
        </w:tc>
        <w:tc>
          <w:tcPr>
            <w:tcW w:w="140" w:type="dxa"/>
            <w:vAlign w:val="bottom"/>
          </w:tcPr>
          <w:p>
            <w:pPr>
              <w:spacing w:after="0"/>
              <w:rPr>
                <w:sz w:val="11"/>
                <w:szCs w:val="11"/>
                <w:color w:val="auto"/>
              </w:rPr>
            </w:pPr>
          </w:p>
        </w:tc>
        <w:tc>
          <w:tcPr>
            <w:tcW w:w="26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Distributors</w:t>
            </w:r>
          </w:p>
        </w:tc>
        <w:tc>
          <w:tcPr>
            <w:tcW w:w="120" w:type="dxa"/>
            <w:vAlign w:val="bottom"/>
          </w:tcPr>
          <w:p>
            <w:pPr>
              <w:spacing w:after="0"/>
              <w:rPr>
                <w:sz w:val="11"/>
                <w:szCs w:val="11"/>
                <w:color w:val="auto"/>
              </w:rPr>
            </w:pPr>
          </w:p>
        </w:tc>
        <w:tc>
          <w:tcPr>
            <w:tcW w:w="1240" w:type="dxa"/>
            <w:vAlign w:val="bottom"/>
            <w:gridSpan w:val="2"/>
          </w:tcPr>
          <w:p>
            <w:pPr>
              <w:jc w:val="right"/>
              <w:ind w:right="206"/>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947</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35"/>
        </w:trPr>
        <w:tc>
          <w:tcPr>
            <w:tcW w:w="240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w w:val="98"/>
              </w:rPr>
              <w:t xml:space="preserve">Municipal Emergency Services, Inc. (Revolver) </w:t>
            </w:r>
            <w:r>
              <w:rPr>
                <w:rFonts w:ascii="Times New Roman" w:cs="Times New Roman" w:eastAsia="Times New Roman" w:hAnsi="Times New Roman"/>
                <w:sz w:val="14"/>
                <w:szCs w:val="14"/>
                <w:color w:val="auto"/>
                <w:w w:val="98"/>
                <w:vertAlign w:val="superscript"/>
              </w:rPr>
              <w:t>(7), (9)</w:t>
            </w:r>
          </w:p>
        </w:tc>
        <w:tc>
          <w:tcPr>
            <w:tcW w:w="88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9"/>
              </w:rPr>
              <w:t>09/28/2027</w:t>
            </w:r>
          </w:p>
        </w:tc>
        <w:tc>
          <w:tcPr>
            <w:tcW w:w="140" w:type="dxa"/>
            <w:vAlign w:val="bottom"/>
          </w:tcPr>
          <w:p>
            <w:pPr>
              <w:spacing w:after="0"/>
              <w:rPr>
                <w:sz w:val="11"/>
                <w:szCs w:val="11"/>
                <w:color w:val="auto"/>
              </w:rPr>
            </w:pPr>
          </w:p>
        </w:tc>
        <w:tc>
          <w:tcPr>
            <w:tcW w:w="26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Distributors</w:t>
            </w:r>
          </w:p>
        </w:tc>
        <w:tc>
          <w:tcPr>
            <w:tcW w:w="120" w:type="dxa"/>
            <w:vAlign w:val="bottom"/>
          </w:tcPr>
          <w:p>
            <w:pPr>
              <w:spacing w:after="0"/>
              <w:rPr>
                <w:sz w:val="11"/>
                <w:szCs w:val="11"/>
                <w:color w:val="auto"/>
              </w:rPr>
            </w:pPr>
          </w:p>
        </w:tc>
        <w:tc>
          <w:tcPr>
            <w:tcW w:w="1240" w:type="dxa"/>
            <w:vAlign w:val="bottom"/>
            <w:gridSpan w:val="2"/>
          </w:tcPr>
          <w:p>
            <w:pPr>
              <w:jc w:val="right"/>
              <w:ind w:right="206"/>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947</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53"/>
        </w:trPr>
        <w:tc>
          <w:tcPr>
            <w:tcW w:w="2400" w:type="dxa"/>
            <w:vAlign w:val="bottom"/>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NBH Group LLC (Revolver) </w:t>
            </w:r>
            <w:r>
              <w:rPr>
                <w:rFonts w:ascii="Times New Roman" w:cs="Times New Roman" w:eastAsia="Times New Roman" w:hAnsi="Times New Roman"/>
                <w:sz w:val="14"/>
                <w:szCs w:val="14"/>
                <w:color w:val="auto"/>
                <w:vertAlign w:val="superscript"/>
              </w:rPr>
              <w:t>(7), (9)</w:t>
            </w:r>
          </w:p>
        </w:tc>
        <w:tc>
          <w:tcPr>
            <w:tcW w:w="88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9"/>
              </w:rPr>
              <w:t>08/19/2026</w:t>
            </w:r>
          </w:p>
        </w:tc>
        <w:tc>
          <w:tcPr>
            <w:tcW w:w="140" w:type="dxa"/>
            <w:vAlign w:val="bottom"/>
          </w:tcPr>
          <w:p>
            <w:pPr>
              <w:spacing w:after="0"/>
              <w:rPr>
                <w:sz w:val="13"/>
                <w:szCs w:val="13"/>
                <w:color w:val="auto"/>
              </w:rPr>
            </w:pPr>
          </w:p>
        </w:tc>
        <w:tc>
          <w:tcPr>
            <w:tcW w:w="26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Healthcare Equipment and Supplies</w:t>
            </w:r>
          </w:p>
        </w:tc>
        <w:tc>
          <w:tcPr>
            <w:tcW w:w="120" w:type="dxa"/>
            <w:vAlign w:val="bottom"/>
          </w:tcPr>
          <w:p>
            <w:pPr>
              <w:spacing w:after="0"/>
              <w:rPr>
                <w:sz w:val="13"/>
                <w:szCs w:val="13"/>
                <w:color w:val="auto"/>
              </w:rPr>
            </w:pPr>
          </w:p>
        </w:tc>
        <w:tc>
          <w:tcPr>
            <w:tcW w:w="1240" w:type="dxa"/>
            <w:vAlign w:val="bottom"/>
            <w:gridSpan w:val="2"/>
          </w:tcPr>
          <w:p>
            <w:pPr>
              <w:jc w:val="right"/>
              <w:ind w:right="206"/>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1,677</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(34 )</w:t>
            </w:r>
          </w:p>
        </w:tc>
        <w:tc>
          <w:tcPr>
            <w:tcW w:w="0" w:type="dxa"/>
            <w:vAlign w:val="bottom"/>
          </w:tcPr>
          <w:p>
            <w:pPr>
              <w:spacing w:after="0"/>
              <w:rPr>
                <w:sz w:val="1"/>
                <w:szCs w:val="1"/>
                <w:color w:val="auto"/>
              </w:rPr>
            </w:pPr>
          </w:p>
        </w:tc>
      </w:tr>
      <w:tr>
        <w:trPr>
          <w:trHeight w:val="117"/>
        </w:trPr>
        <w:tc>
          <w:tcPr>
            <w:tcW w:w="2400" w:type="dxa"/>
            <w:vAlign w:val="bottom"/>
          </w:tcPr>
          <w:p>
            <w:pPr>
              <w:ind w:left="20"/>
              <w:spacing w:after="0" w:line="117" w:lineRule="exact"/>
              <w:rPr>
                <w:sz w:val="20"/>
                <w:szCs w:val="20"/>
                <w:color w:val="auto"/>
              </w:rPr>
            </w:pPr>
            <w:r>
              <w:rPr>
                <w:rFonts w:ascii="Times New Roman" w:cs="Times New Roman" w:eastAsia="Times New Roman" w:hAnsi="Times New Roman"/>
                <w:sz w:val="11"/>
                <w:szCs w:val="11"/>
                <w:color w:val="auto"/>
              </w:rPr>
              <w:t>OIS Management Services, LLC</w:t>
            </w:r>
          </w:p>
        </w:tc>
        <w:tc>
          <w:tcPr>
            <w:tcW w:w="880" w:type="dxa"/>
            <w:vAlign w:val="bottom"/>
            <w:gridSpan w:val="2"/>
          </w:tcPr>
          <w:p>
            <w:pPr>
              <w:jc w:val="center"/>
              <w:ind w:left="86"/>
              <w:spacing w:after="0" w:line="117" w:lineRule="exact"/>
              <w:rPr>
                <w:sz w:val="20"/>
                <w:szCs w:val="20"/>
                <w:color w:val="auto"/>
              </w:rPr>
            </w:pPr>
            <w:r>
              <w:rPr>
                <w:rFonts w:ascii="Times New Roman" w:cs="Times New Roman" w:eastAsia="Times New Roman" w:hAnsi="Times New Roman"/>
                <w:sz w:val="11"/>
                <w:szCs w:val="11"/>
                <w:color w:val="auto"/>
                <w:w w:val="99"/>
              </w:rPr>
              <w:t>07/09/2026</w:t>
            </w:r>
          </w:p>
        </w:tc>
        <w:tc>
          <w:tcPr>
            <w:tcW w:w="140" w:type="dxa"/>
            <w:vAlign w:val="bottom"/>
          </w:tcPr>
          <w:p>
            <w:pPr>
              <w:spacing w:after="0"/>
              <w:rPr>
                <w:sz w:val="10"/>
                <w:szCs w:val="10"/>
                <w:color w:val="auto"/>
              </w:rPr>
            </w:pPr>
          </w:p>
        </w:tc>
        <w:tc>
          <w:tcPr>
            <w:tcW w:w="260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color w:val="auto"/>
                <w:w w:val="98"/>
              </w:rPr>
              <w:t>Healthcare Equipment and Supplies</w:t>
            </w:r>
          </w:p>
        </w:tc>
        <w:tc>
          <w:tcPr>
            <w:tcW w:w="1360" w:type="dxa"/>
            <w:vAlign w:val="bottom"/>
            <w:gridSpan w:val="3"/>
          </w:tcPr>
          <w:p>
            <w:pPr>
              <w:jc w:val="right"/>
              <w:ind w:right="86"/>
              <w:spacing w:after="0" w:line="117" w:lineRule="exact"/>
              <w:rPr>
                <w:sz w:val="20"/>
                <w:szCs w:val="20"/>
                <w:color w:val="auto"/>
              </w:rPr>
            </w:pPr>
            <w:r>
              <w:rPr>
                <w:rFonts w:ascii="Times New Roman" w:cs="Times New Roman" w:eastAsia="Times New Roman" w:hAnsi="Times New Roman"/>
                <w:sz w:val="11"/>
                <w:szCs w:val="11"/>
                <w:color w:val="auto"/>
              </w:rPr>
              <w:t>5.75 %</w:t>
            </w:r>
          </w:p>
        </w:tc>
        <w:tc>
          <w:tcPr>
            <w:tcW w:w="80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3M L+475</w:t>
            </w:r>
          </w:p>
        </w:tc>
        <w:tc>
          <w:tcPr>
            <w:tcW w:w="98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1"/>
                <w:szCs w:val="11"/>
                <w:color w:val="auto"/>
              </w:rPr>
              <w:t>3,195</w:t>
            </w: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3,156</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3,147</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40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OIS Management Services, LLC </w:t>
            </w:r>
            <w:r>
              <w:rPr>
                <w:rFonts w:ascii="Times New Roman" w:cs="Times New Roman" w:eastAsia="Times New Roman" w:hAnsi="Times New Roman"/>
                <w:sz w:val="14"/>
                <w:szCs w:val="14"/>
                <w:color w:val="auto"/>
                <w:vertAlign w:val="superscript"/>
              </w:rPr>
              <w:t>(7), (9)</w:t>
            </w:r>
          </w:p>
        </w:tc>
        <w:tc>
          <w:tcPr>
            <w:tcW w:w="88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9"/>
              </w:rPr>
              <w:t>07/09/2023</w:t>
            </w:r>
          </w:p>
        </w:tc>
        <w:tc>
          <w:tcPr>
            <w:tcW w:w="140" w:type="dxa"/>
            <w:vAlign w:val="bottom"/>
          </w:tcPr>
          <w:p>
            <w:pPr>
              <w:spacing w:after="0"/>
              <w:rPr>
                <w:sz w:val="11"/>
                <w:szCs w:val="11"/>
                <w:color w:val="auto"/>
              </w:rPr>
            </w:pPr>
          </w:p>
        </w:tc>
        <w:tc>
          <w:tcPr>
            <w:tcW w:w="26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Healthcare Equipment and Supplies</w:t>
            </w:r>
          </w:p>
        </w:tc>
        <w:tc>
          <w:tcPr>
            <w:tcW w:w="120" w:type="dxa"/>
            <w:vAlign w:val="bottom"/>
          </w:tcPr>
          <w:p>
            <w:pPr>
              <w:spacing w:after="0"/>
              <w:rPr>
                <w:sz w:val="11"/>
                <w:szCs w:val="11"/>
                <w:color w:val="auto"/>
              </w:rPr>
            </w:pPr>
          </w:p>
        </w:tc>
        <w:tc>
          <w:tcPr>
            <w:tcW w:w="1240" w:type="dxa"/>
            <w:vAlign w:val="bottom"/>
            <w:gridSpan w:val="2"/>
          </w:tcPr>
          <w:p>
            <w:pPr>
              <w:jc w:val="right"/>
              <w:ind w:right="206"/>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1,911</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(14 )</w:t>
            </w:r>
          </w:p>
        </w:tc>
        <w:tc>
          <w:tcPr>
            <w:tcW w:w="0" w:type="dxa"/>
            <w:vAlign w:val="bottom"/>
          </w:tcPr>
          <w:p>
            <w:pPr>
              <w:spacing w:after="0"/>
              <w:rPr>
                <w:sz w:val="1"/>
                <w:szCs w:val="1"/>
                <w:color w:val="auto"/>
              </w:rPr>
            </w:pPr>
          </w:p>
        </w:tc>
      </w:tr>
      <w:tr>
        <w:trPr>
          <w:trHeight w:val="153"/>
        </w:trPr>
        <w:tc>
          <w:tcPr>
            <w:tcW w:w="2400" w:type="dxa"/>
            <w:vAlign w:val="bottom"/>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OIS Management Services, LLC (Revolver) </w:t>
            </w:r>
            <w:r>
              <w:rPr>
                <w:rFonts w:ascii="Times New Roman" w:cs="Times New Roman" w:eastAsia="Times New Roman" w:hAnsi="Times New Roman"/>
                <w:sz w:val="14"/>
                <w:szCs w:val="14"/>
                <w:color w:val="auto"/>
                <w:vertAlign w:val="superscript"/>
              </w:rPr>
              <w:t>(7), (9)</w:t>
            </w:r>
          </w:p>
        </w:tc>
        <w:tc>
          <w:tcPr>
            <w:tcW w:w="88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9"/>
              </w:rPr>
              <w:t>07/09/2026</w:t>
            </w:r>
          </w:p>
        </w:tc>
        <w:tc>
          <w:tcPr>
            <w:tcW w:w="140" w:type="dxa"/>
            <w:vAlign w:val="bottom"/>
          </w:tcPr>
          <w:p>
            <w:pPr>
              <w:spacing w:after="0"/>
              <w:rPr>
                <w:sz w:val="13"/>
                <w:szCs w:val="13"/>
                <w:color w:val="auto"/>
              </w:rPr>
            </w:pPr>
          </w:p>
        </w:tc>
        <w:tc>
          <w:tcPr>
            <w:tcW w:w="26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Healthcare Equipment and Supplies</w:t>
            </w:r>
          </w:p>
        </w:tc>
        <w:tc>
          <w:tcPr>
            <w:tcW w:w="120" w:type="dxa"/>
            <w:vAlign w:val="bottom"/>
          </w:tcPr>
          <w:p>
            <w:pPr>
              <w:spacing w:after="0"/>
              <w:rPr>
                <w:sz w:val="13"/>
                <w:szCs w:val="13"/>
                <w:color w:val="auto"/>
              </w:rPr>
            </w:pPr>
          </w:p>
        </w:tc>
        <w:tc>
          <w:tcPr>
            <w:tcW w:w="1240" w:type="dxa"/>
            <w:vAlign w:val="bottom"/>
            <w:gridSpan w:val="2"/>
          </w:tcPr>
          <w:p>
            <w:pPr>
              <w:jc w:val="right"/>
              <w:ind w:right="206"/>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444</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(7 )</w:t>
            </w:r>
          </w:p>
        </w:tc>
        <w:tc>
          <w:tcPr>
            <w:tcW w:w="0" w:type="dxa"/>
            <w:vAlign w:val="bottom"/>
          </w:tcPr>
          <w:p>
            <w:pPr>
              <w:spacing w:after="0"/>
              <w:rPr>
                <w:sz w:val="1"/>
                <w:szCs w:val="1"/>
                <w:color w:val="auto"/>
              </w:rPr>
            </w:pPr>
          </w:p>
        </w:tc>
      </w:tr>
      <w:tr>
        <w:trPr>
          <w:trHeight w:val="117"/>
        </w:trPr>
        <w:tc>
          <w:tcPr>
            <w:tcW w:w="2400" w:type="dxa"/>
            <w:vAlign w:val="bottom"/>
          </w:tcPr>
          <w:p>
            <w:pPr>
              <w:ind w:left="20"/>
              <w:spacing w:after="0" w:line="117" w:lineRule="exact"/>
              <w:rPr>
                <w:sz w:val="20"/>
                <w:szCs w:val="20"/>
                <w:color w:val="auto"/>
              </w:rPr>
            </w:pPr>
            <w:r>
              <w:rPr>
                <w:rFonts w:ascii="Times New Roman" w:cs="Times New Roman" w:eastAsia="Times New Roman" w:hAnsi="Times New Roman"/>
                <w:sz w:val="11"/>
                <w:szCs w:val="11"/>
                <w:color w:val="auto"/>
              </w:rPr>
              <w:t>One Stop Mailing, LLC</w:t>
            </w:r>
          </w:p>
        </w:tc>
        <w:tc>
          <w:tcPr>
            <w:tcW w:w="880" w:type="dxa"/>
            <w:vAlign w:val="bottom"/>
            <w:gridSpan w:val="2"/>
          </w:tcPr>
          <w:p>
            <w:pPr>
              <w:jc w:val="center"/>
              <w:ind w:left="86"/>
              <w:spacing w:after="0" w:line="117" w:lineRule="exact"/>
              <w:rPr>
                <w:sz w:val="20"/>
                <w:szCs w:val="20"/>
                <w:color w:val="auto"/>
              </w:rPr>
            </w:pPr>
            <w:r>
              <w:rPr>
                <w:rFonts w:ascii="Times New Roman" w:cs="Times New Roman" w:eastAsia="Times New Roman" w:hAnsi="Times New Roman"/>
                <w:sz w:val="11"/>
                <w:szCs w:val="11"/>
                <w:color w:val="auto"/>
                <w:w w:val="99"/>
              </w:rPr>
              <w:t>05/07/2027</w:t>
            </w:r>
          </w:p>
        </w:tc>
        <w:tc>
          <w:tcPr>
            <w:tcW w:w="140" w:type="dxa"/>
            <w:vAlign w:val="bottom"/>
          </w:tcPr>
          <w:p>
            <w:pPr>
              <w:spacing w:after="0"/>
              <w:rPr>
                <w:sz w:val="10"/>
                <w:szCs w:val="10"/>
                <w:color w:val="auto"/>
              </w:rPr>
            </w:pPr>
          </w:p>
        </w:tc>
        <w:tc>
          <w:tcPr>
            <w:tcW w:w="260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color w:val="auto"/>
                <w:w w:val="97"/>
              </w:rPr>
              <w:t>Air Freight and Logistics</w:t>
            </w:r>
          </w:p>
        </w:tc>
        <w:tc>
          <w:tcPr>
            <w:tcW w:w="1360" w:type="dxa"/>
            <w:vAlign w:val="bottom"/>
            <w:gridSpan w:val="3"/>
          </w:tcPr>
          <w:p>
            <w:pPr>
              <w:jc w:val="right"/>
              <w:ind w:right="86"/>
              <w:spacing w:after="0" w:line="117" w:lineRule="exact"/>
              <w:rPr>
                <w:sz w:val="20"/>
                <w:szCs w:val="20"/>
                <w:color w:val="auto"/>
              </w:rPr>
            </w:pPr>
            <w:r>
              <w:rPr>
                <w:rFonts w:ascii="Times New Roman" w:cs="Times New Roman" w:eastAsia="Times New Roman" w:hAnsi="Times New Roman"/>
                <w:sz w:val="11"/>
                <w:szCs w:val="11"/>
                <w:color w:val="auto"/>
              </w:rPr>
              <w:t>7.25 %</w:t>
            </w:r>
          </w:p>
        </w:tc>
        <w:tc>
          <w:tcPr>
            <w:tcW w:w="80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3M L+625</w:t>
            </w:r>
          </w:p>
        </w:tc>
        <w:tc>
          <w:tcPr>
            <w:tcW w:w="98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1"/>
                <w:szCs w:val="11"/>
                <w:color w:val="auto"/>
              </w:rPr>
              <w:t>8,952</w:t>
            </w: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8,779</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8,795</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40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ORL Acquisition, Inc. </w:t>
            </w:r>
            <w:r>
              <w:rPr>
                <w:rFonts w:ascii="Times New Roman" w:cs="Times New Roman" w:eastAsia="Times New Roman" w:hAnsi="Times New Roman"/>
                <w:sz w:val="14"/>
                <w:szCs w:val="14"/>
                <w:color w:val="auto"/>
                <w:vertAlign w:val="superscript"/>
              </w:rPr>
              <w:t>(7)</w:t>
            </w:r>
          </w:p>
        </w:tc>
        <w:tc>
          <w:tcPr>
            <w:tcW w:w="88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9"/>
              </w:rPr>
              <w:t>09/03/2027</w:t>
            </w:r>
          </w:p>
        </w:tc>
        <w:tc>
          <w:tcPr>
            <w:tcW w:w="140" w:type="dxa"/>
            <w:vAlign w:val="bottom"/>
          </w:tcPr>
          <w:p>
            <w:pPr>
              <w:spacing w:after="0"/>
              <w:rPr>
                <w:sz w:val="11"/>
                <w:szCs w:val="11"/>
                <w:color w:val="auto"/>
              </w:rPr>
            </w:pPr>
          </w:p>
        </w:tc>
        <w:tc>
          <w:tcPr>
            <w:tcW w:w="26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6"/>
              </w:rPr>
              <w:t>Consumer Finance</w:t>
            </w:r>
          </w:p>
        </w:tc>
        <w:tc>
          <w:tcPr>
            <w:tcW w:w="1360" w:type="dxa"/>
            <w:vAlign w:val="bottom"/>
            <w:gridSpan w:val="3"/>
          </w:tcPr>
          <w:p>
            <w:pPr>
              <w:jc w:val="right"/>
              <w:ind w:right="86"/>
              <w:spacing w:after="0"/>
              <w:rPr>
                <w:sz w:val="20"/>
                <w:szCs w:val="20"/>
                <w:color w:val="auto"/>
              </w:rPr>
            </w:pPr>
            <w:r>
              <w:rPr>
                <w:rFonts w:ascii="Times New Roman" w:cs="Times New Roman" w:eastAsia="Times New Roman" w:hAnsi="Times New Roman"/>
                <w:sz w:val="11"/>
                <w:szCs w:val="11"/>
                <w:color w:val="auto"/>
              </w:rPr>
              <w:t>6.25 %</w:t>
            </w: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L+525</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7,268</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7,124</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7,123</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400" w:type="dxa"/>
            <w:vAlign w:val="bottom"/>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ORL Acquisition, Inc. (Revolver) </w:t>
            </w:r>
            <w:r>
              <w:rPr>
                <w:rFonts w:ascii="Times New Roman" w:cs="Times New Roman" w:eastAsia="Times New Roman" w:hAnsi="Times New Roman"/>
                <w:sz w:val="14"/>
                <w:szCs w:val="14"/>
                <w:color w:val="auto"/>
                <w:vertAlign w:val="superscript"/>
              </w:rPr>
              <w:t>(7), (9)</w:t>
            </w:r>
          </w:p>
        </w:tc>
        <w:tc>
          <w:tcPr>
            <w:tcW w:w="88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9"/>
              </w:rPr>
              <w:t>09/03/2027</w:t>
            </w:r>
          </w:p>
        </w:tc>
        <w:tc>
          <w:tcPr>
            <w:tcW w:w="140" w:type="dxa"/>
            <w:vAlign w:val="bottom"/>
          </w:tcPr>
          <w:p>
            <w:pPr>
              <w:spacing w:after="0"/>
              <w:rPr>
                <w:sz w:val="13"/>
                <w:szCs w:val="13"/>
                <w:color w:val="auto"/>
              </w:rPr>
            </w:pPr>
          </w:p>
        </w:tc>
        <w:tc>
          <w:tcPr>
            <w:tcW w:w="26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6"/>
              </w:rPr>
              <w:t>Consumer Finance</w:t>
            </w:r>
          </w:p>
        </w:tc>
        <w:tc>
          <w:tcPr>
            <w:tcW w:w="120" w:type="dxa"/>
            <w:vAlign w:val="bottom"/>
          </w:tcPr>
          <w:p>
            <w:pPr>
              <w:spacing w:after="0"/>
              <w:rPr>
                <w:sz w:val="13"/>
                <w:szCs w:val="13"/>
                <w:color w:val="auto"/>
              </w:rPr>
            </w:pPr>
          </w:p>
        </w:tc>
        <w:tc>
          <w:tcPr>
            <w:tcW w:w="1240" w:type="dxa"/>
            <w:vAlign w:val="bottom"/>
            <w:gridSpan w:val="2"/>
          </w:tcPr>
          <w:p>
            <w:pPr>
              <w:jc w:val="right"/>
              <w:ind w:right="206"/>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861</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35"/>
        </w:trPr>
        <w:tc>
          <w:tcPr>
            <w:tcW w:w="24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Output Services Group, Inc.</w:t>
            </w:r>
          </w:p>
        </w:tc>
        <w:tc>
          <w:tcPr>
            <w:tcW w:w="88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9"/>
              </w:rPr>
              <w:t>03/27/2024</w:t>
            </w:r>
          </w:p>
        </w:tc>
        <w:tc>
          <w:tcPr>
            <w:tcW w:w="140" w:type="dxa"/>
            <w:vAlign w:val="bottom"/>
          </w:tcPr>
          <w:p>
            <w:pPr>
              <w:spacing w:after="0"/>
              <w:rPr>
                <w:sz w:val="11"/>
                <w:szCs w:val="11"/>
                <w:color w:val="auto"/>
              </w:rPr>
            </w:pPr>
          </w:p>
        </w:tc>
        <w:tc>
          <w:tcPr>
            <w:tcW w:w="26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5"/>
              </w:rPr>
              <w:t>Business Services</w:t>
            </w:r>
          </w:p>
        </w:tc>
        <w:tc>
          <w:tcPr>
            <w:tcW w:w="1360" w:type="dxa"/>
            <w:vAlign w:val="bottom"/>
            <w:gridSpan w:val="3"/>
          </w:tcPr>
          <w:p>
            <w:pPr>
              <w:jc w:val="right"/>
              <w:ind w:right="86"/>
              <w:spacing w:after="0"/>
              <w:rPr>
                <w:sz w:val="20"/>
                <w:szCs w:val="20"/>
                <w:color w:val="auto"/>
              </w:rPr>
            </w:pPr>
            <w:r>
              <w:rPr>
                <w:rFonts w:ascii="Times New Roman" w:cs="Times New Roman" w:eastAsia="Times New Roman" w:hAnsi="Times New Roman"/>
                <w:sz w:val="11"/>
                <w:szCs w:val="11"/>
                <w:color w:val="auto"/>
              </w:rPr>
              <w:t>5.50 %</w:t>
            </w: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1M L+450</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4,900</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4,448</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4,459</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2400" w:type="dxa"/>
            <w:vAlign w:val="bottom"/>
          </w:tcPr>
          <w:p>
            <w:pPr>
              <w:ind w:left="20"/>
              <w:spacing w:after="0" w:line="117" w:lineRule="exact"/>
              <w:rPr>
                <w:sz w:val="20"/>
                <w:szCs w:val="20"/>
                <w:color w:val="auto"/>
              </w:rPr>
            </w:pPr>
            <w:r>
              <w:rPr>
                <w:rFonts w:ascii="Times New Roman" w:cs="Times New Roman" w:eastAsia="Times New Roman" w:hAnsi="Times New Roman"/>
                <w:sz w:val="11"/>
                <w:szCs w:val="11"/>
                <w:color w:val="auto"/>
              </w:rPr>
              <w:t>Ox Two, LLC</w:t>
            </w:r>
          </w:p>
        </w:tc>
        <w:tc>
          <w:tcPr>
            <w:tcW w:w="880" w:type="dxa"/>
            <w:vAlign w:val="bottom"/>
            <w:gridSpan w:val="2"/>
          </w:tcPr>
          <w:p>
            <w:pPr>
              <w:jc w:val="center"/>
              <w:ind w:left="86"/>
              <w:spacing w:after="0" w:line="117" w:lineRule="exact"/>
              <w:rPr>
                <w:sz w:val="20"/>
                <w:szCs w:val="20"/>
                <w:color w:val="auto"/>
              </w:rPr>
            </w:pPr>
            <w:r>
              <w:rPr>
                <w:rFonts w:ascii="Times New Roman" w:cs="Times New Roman" w:eastAsia="Times New Roman" w:hAnsi="Times New Roman"/>
                <w:sz w:val="11"/>
                <w:szCs w:val="11"/>
                <w:color w:val="auto"/>
                <w:w w:val="99"/>
              </w:rPr>
              <w:t>05/18/2026</w:t>
            </w:r>
          </w:p>
        </w:tc>
        <w:tc>
          <w:tcPr>
            <w:tcW w:w="140" w:type="dxa"/>
            <w:vAlign w:val="bottom"/>
          </w:tcPr>
          <w:p>
            <w:pPr>
              <w:spacing w:after="0"/>
              <w:rPr>
                <w:sz w:val="10"/>
                <w:szCs w:val="10"/>
                <w:color w:val="auto"/>
              </w:rPr>
            </w:pPr>
          </w:p>
        </w:tc>
        <w:tc>
          <w:tcPr>
            <w:tcW w:w="260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color w:val="auto"/>
                <w:w w:val="99"/>
              </w:rPr>
              <w:t>Construction and Building</w:t>
            </w:r>
          </w:p>
        </w:tc>
        <w:tc>
          <w:tcPr>
            <w:tcW w:w="1360" w:type="dxa"/>
            <w:vAlign w:val="bottom"/>
            <w:gridSpan w:val="3"/>
          </w:tcPr>
          <w:p>
            <w:pPr>
              <w:jc w:val="right"/>
              <w:ind w:right="86"/>
              <w:spacing w:after="0" w:line="117" w:lineRule="exact"/>
              <w:rPr>
                <w:sz w:val="20"/>
                <w:szCs w:val="20"/>
                <w:color w:val="auto"/>
              </w:rPr>
            </w:pPr>
            <w:r>
              <w:rPr>
                <w:rFonts w:ascii="Times New Roman" w:cs="Times New Roman" w:eastAsia="Times New Roman" w:hAnsi="Times New Roman"/>
                <w:sz w:val="11"/>
                <w:szCs w:val="11"/>
                <w:color w:val="auto"/>
              </w:rPr>
              <w:t>7.00 %</w:t>
            </w:r>
          </w:p>
        </w:tc>
        <w:tc>
          <w:tcPr>
            <w:tcW w:w="80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1M L+600</w:t>
            </w:r>
          </w:p>
        </w:tc>
        <w:tc>
          <w:tcPr>
            <w:tcW w:w="98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1"/>
                <w:szCs w:val="11"/>
                <w:color w:val="auto"/>
              </w:rPr>
              <w:t>22,636</w:t>
            </w: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22,296</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22,184</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40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Ox Two, LLC (Revolver) </w:t>
            </w:r>
            <w:r>
              <w:rPr>
                <w:rFonts w:ascii="Times New Roman" w:cs="Times New Roman" w:eastAsia="Times New Roman" w:hAnsi="Times New Roman"/>
                <w:sz w:val="14"/>
                <w:szCs w:val="14"/>
                <w:color w:val="auto"/>
                <w:vertAlign w:val="superscript"/>
              </w:rPr>
              <w:t>(7)</w:t>
            </w:r>
          </w:p>
        </w:tc>
        <w:tc>
          <w:tcPr>
            <w:tcW w:w="88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9"/>
              </w:rPr>
              <w:t>05/18/2026</w:t>
            </w:r>
          </w:p>
        </w:tc>
        <w:tc>
          <w:tcPr>
            <w:tcW w:w="140" w:type="dxa"/>
            <w:vAlign w:val="bottom"/>
          </w:tcPr>
          <w:p>
            <w:pPr>
              <w:spacing w:after="0"/>
              <w:rPr>
                <w:sz w:val="11"/>
                <w:szCs w:val="11"/>
                <w:color w:val="auto"/>
              </w:rPr>
            </w:pPr>
          </w:p>
        </w:tc>
        <w:tc>
          <w:tcPr>
            <w:tcW w:w="26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Construction and Building</w:t>
            </w:r>
          </w:p>
        </w:tc>
        <w:tc>
          <w:tcPr>
            <w:tcW w:w="1360" w:type="dxa"/>
            <w:vAlign w:val="bottom"/>
            <w:gridSpan w:val="3"/>
          </w:tcPr>
          <w:p>
            <w:pPr>
              <w:jc w:val="right"/>
              <w:ind w:right="86"/>
              <w:spacing w:after="0"/>
              <w:rPr>
                <w:sz w:val="20"/>
                <w:szCs w:val="20"/>
                <w:color w:val="auto"/>
              </w:rPr>
            </w:pPr>
            <w:r>
              <w:rPr>
                <w:rFonts w:ascii="Times New Roman" w:cs="Times New Roman" w:eastAsia="Times New Roman" w:hAnsi="Times New Roman"/>
                <w:sz w:val="11"/>
                <w:szCs w:val="11"/>
                <w:color w:val="auto"/>
              </w:rPr>
              <w:t>7.00 %</w:t>
            </w: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1M L+600</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903</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903</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885</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400" w:type="dxa"/>
            <w:vAlign w:val="bottom"/>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Ox Two, LLC (Revolver) </w:t>
            </w:r>
            <w:r>
              <w:rPr>
                <w:rFonts w:ascii="Times New Roman" w:cs="Times New Roman" w:eastAsia="Times New Roman" w:hAnsi="Times New Roman"/>
                <w:sz w:val="14"/>
                <w:szCs w:val="14"/>
                <w:color w:val="auto"/>
                <w:vertAlign w:val="superscript"/>
              </w:rPr>
              <w:t>(7), (9)</w:t>
            </w:r>
          </w:p>
        </w:tc>
        <w:tc>
          <w:tcPr>
            <w:tcW w:w="88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9"/>
              </w:rPr>
              <w:t>05/18/2026</w:t>
            </w:r>
          </w:p>
        </w:tc>
        <w:tc>
          <w:tcPr>
            <w:tcW w:w="140" w:type="dxa"/>
            <w:vAlign w:val="bottom"/>
          </w:tcPr>
          <w:p>
            <w:pPr>
              <w:spacing w:after="0"/>
              <w:rPr>
                <w:sz w:val="13"/>
                <w:szCs w:val="13"/>
                <w:color w:val="auto"/>
              </w:rPr>
            </w:pPr>
          </w:p>
        </w:tc>
        <w:tc>
          <w:tcPr>
            <w:tcW w:w="26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Construction and Building</w:t>
            </w:r>
          </w:p>
        </w:tc>
        <w:tc>
          <w:tcPr>
            <w:tcW w:w="120" w:type="dxa"/>
            <w:vAlign w:val="bottom"/>
          </w:tcPr>
          <w:p>
            <w:pPr>
              <w:spacing w:after="0"/>
              <w:rPr>
                <w:sz w:val="13"/>
                <w:szCs w:val="13"/>
                <w:color w:val="auto"/>
              </w:rPr>
            </w:pPr>
          </w:p>
        </w:tc>
        <w:tc>
          <w:tcPr>
            <w:tcW w:w="1240" w:type="dxa"/>
            <w:vAlign w:val="bottom"/>
            <w:gridSpan w:val="2"/>
          </w:tcPr>
          <w:p>
            <w:pPr>
              <w:jc w:val="right"/>
              <w:ind w:right="206"/>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2,484</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(50 )</w:t>
            </w:r>
          </w:p>
        </w:tc>
        <w:tc>
          <w:tcPr>
            <w:tcW w:w="0" w:type="dxa"/>
            <w:vAlign w:val="bottom"/>
          </w:tcPr>
          <w:p>
            <w:pPr>
              <w:spacing w:after="0"/>
              <w:rPr>
                <w:sz w:val="1"/>
                <w:szCs w:val="1"/>
                <w:color w:val="auto"/>
              </w:rPr>
            </w:pPr>
          </w:p>
        </w:tc>
      </w:tr>
      <w:tr>
        <w:trPr>
          <w:trHeight w:val="144"/>
        </w:trPr>
        <w:tc>
          <w:tcPr>
            <w:tcW w:w="24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Plant Health Intermediate, Inc.</w:t>
            </w:r>
          </w:p>
        </w:tc>
        <w:tc>
          <w:tcPr>
            <w:tcW w:w="88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9"/>
              </w:rPr>
              <w:t>10/19/2022</w:t>
            </w:r>
          </w:p>
        </w:tc>
        <w:tc>
          <w:tcPr>
            <w:tcW w:w="140" w:type="dxa"/>
            <w:vAlign w:val="bottom"/>
          </w:tcPr>
          <w:p>
            <w:pPr>
              <w:spacing w:after="0"/>
              <w:rPr>
                <w:sz w:val="12"/>
                <w:szCs w:val="12"/>
                <w:color w:val="auto"/>
              </w:rPr>
            </w:pPr>
          </w:p>
        </w:tc>
        <w:tc>
          <w:tcPr>
            <w:tcW w:w="26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Chemicals, Plastics and Rubber</w:t>
            </w:r>
          </w:p>
        </w:tc>
        <w:tc>
          <w:tcPr>
            <w:tcW w:w="1360" w:type="dxa"/>
            <w:vAlign w:val="bottom"/>
            <w:gridSpan w:val="3"/>
          </w:tcPr>
          <w:p>
            <w:pPr>
              <w:jc w:val="right"/>
              <w:ind w:right="86"/>
              <w:spacing w:after="0"/>
              <w:rPr>
                <w:sz w:val="20"/>
                <w:szCs w:val="20"/>
                <w:color w:val="auto"/>
              </w:rPr>
            </w:pPr>
            <w:r>
              <w:rPr>
                <w:rFonts w:ascii="Times New Roman" w:cs="Times New Roman" w:eastAsia="Times New Roman" w:hAnsi="Times New Roman"/>
                <w:sz w:val="11"/>
                <w:szCs w:val="11"/>
                <w:color w:val="auto"/>
              </w:rPr>
              <w:t>6.75 %</w:t>
            </w: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L+575</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644</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642</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644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4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PlayPower, Inc.</w:t>
            </w:r>
          </w:p>
        </w:tc>
        <w:tc>
          <w:tcPr>
            <w:tcW w:w="880" w:type="dxa"/>
            <w:vAlign w:val="bottom"/>
            <w:gridSpan w:val="2"/>
            <w:shd w:val="clear" w:color="auto" w:fill="CCECFF"/>
          </w:tcPr>
          <w:p>
            <w:pPr>
              <w:jc w:val="center"/>
              <w:ind w:left="86"/>
              <w:spacing w:after="0"/>
              <w:rPr>
                <w:sz w:val="20"/>
                <w:szCs w:val="20"/>
                <w:color w:val="auto"/>
              </w:rPr>
            </w:pPr>
            <w:r>
              <w:rPr>
                <w:rFonts w:ascii="Times New Roman" w:cs="Times New Roman" w:eastAsia="Times New Roman" w:hAnsi="Times New Roman"/>
                <w:sz w:val="11"/>
                <w:szCs w:val="11"/>
                <w:color w:val="auto"/>
                <w:w w:val="99"/>
              </w:rPr>
              <w:t>05/08/2026</w:t>
            </w:r>
          </w:p>
        </w:tc>
        <w:tc>
          <w:tcPr>
            <w:tcW w:w="140" w:type="dxa"/>
            <w:vAlign w:val="bottom"/>
            <w:shd w:val="clear" w:color="auto" w:fill="CCECFF"/>
          </w:tcPr>
          <w:p>
            <w:pPr>
              <w:spacing w:after="0"/>
              <w:rPr>
                <w:sz w:val="12"/>
                <w:szCs w:val="12"/>
                <w:color w:val="auto"/>
              </w:rPr>
            </w:pPr>
          </w:p>
        </w:tc>
        <w:tc>
          <w:tcPr>
            <w:tcW w:w="26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6"/>
              </w:rPr>
              <w:t>Leisure Products</w:t>
            </w:r>
          </w:p>
        </w:tc>
        <w:tc>
          <w:tcPr>
            <w:tcW w:w="1360" w:type="dxa"/>
            <w:vAlign w:val="bottom"/>
            <w:gridSpan w:val="3"/>
            <w:shd w:val="clear" w:color="auto" w:fill="CCECFF"/>
          </w:tcPr>
          <w:p>
            <w:pPr>
              <w:jc w:val="right"/>
              <w:ind w:right="86"/>
              <w:spacing w:after="0"/>
              <w:rPr>
                <w:sz w:val="20"/>
                <w:szCs w:val="20"/>
                <w:color w:val="auto"/>
              </w:rPr>
            </w:pPr>
            <w:r>
              <w:rPr>
                <w:rFonts w:ascii="Times New Roman" w:cs="Times New Roman" w:eastAsia="Times New Roman" w:hAnsi="Times New Roman"/>
                <w:sz w:val="11"/>
                <w:szCs w:val="11"/>
                <w:color w:val="auto"/>
              </w:rPr>
              <w:t>5.70 %</w:t>
            </w:r>
          </w:p>
        </w:tc>
        <w:tc>
          <w:tcPr>
            <w:tcW w:w="8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1M L+550</w:t>
            </w:r>
          </w:p>
        </w:tc>
        <w:tc>
          <w:tcPr>
            <w:tcW w:w="98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5,074</w:t>
            </w:r>
          </w:p>
        </w:tc>
        <w:tc>
          <w:tcPr>
            <w:tcW w:w="22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5,037</w:t>
            </w:r>
          </w:p>
        </w:tc>
        <w:tc>
          <w:tcPr>
            <w:tcW w:w="22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4,981</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2400" w:type="dxa"/>
            <w:vAlign w:val="bottom"/>
          </w:tcPr>
          <w:p>
            <w:pPr>
              <w:ind w:left="20"/>
              <w:spacing w:after="0" w:line="122" w:lineRule="exact"/>
              <w:rPr>
                <w:sz w:val="20"/>
                <w:szCs w:val="20"/>
                <w:color w:val="auto"/>
              </w:rPr>
            </w:pPr>
            <w:r>
              <w:rPr>
                <w:rFonts w:ascii="Times New Roman" w:cs="Times New Roman" w:eastAsia="Times New Roman" w:hAnsi="Times New Roman"/>
                <w:sz w:val="11"/>
                <w:szCs w:val="11"/>
                <w:color w:val="auto"/>
              </w:rPr>
              <w:t>PRA Events, Inc.</w:t>
            </w:r>
          </w:p>
        </w:tc>
        <w:tc>
          <w:tcPr>
            <w:tcW w:w="880" w:type="dxa"/>
            <w:vAlign w:val="bottom"/>
            <w:gridSpan w:val="2"/>
          </w:tcPr>
          <w:p>
            <w:pPr>
              <w:jc w:val="center"/>
              <w:ind w:left="86"/>
              <w:spacing w:after="0" w:line="122" w:lineRule="exact"/>
              <w:rPr>
                <w:sz w:val="20"/>
                <w:szCs w:val="20"/>
                <w:color w:val="auto"/>
              </w:rPr>
            </w:pPr>
            <w:r>
              <w:rPr>
                <w:rFonts w:ascii="Times New Roman" w:cs="Times New Roman" w:eastAsia="Times New Roman" w:hAnsi="Times New Roman"/>
                <w:sz w:val="11"/>
                <w:szCs w:val="11"/>
                <w:color w:val="auto"/>
                <w:w w:val="99"/>
              </w:rPr>
              <w:t>08/07/2025</w:t>
            </w:r>
          </w:p>
        </w:tc>
        <w:tc>
          <w:tcPr>
            <w:tcW w:w="140" w:type="dxa"/>
            <w:vAlign w:val="bottom"/>
          </w:tcPr>
          <w:p>
            <w:pPr>
              <w:spacing w:after="0"/>
              <w:rPr>
                <w:sz w:val="10"/>
                <w:szCs w:val="10"/>
                <w:color w:val="auto"/>
              </w:rPr>
            </w:pPr>
          </w:p>
        </w:tc>
        <w:tc>
          <w:tcPr>
            <w:tcW w:w="260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5"/>
              </w:rPr>
              <w:t>Business Services</w:t>
            </w:r>
          </w:p>
        </w:tc>
        <w:tc>
          <w:tcPr>
            <w:tcW w:w="1360" w:type="dxa"/>
            <w:vAlign w:val="bottom"/>
            <w:gridSpan w:val="3"/>
          </w:tcPr>
          <w:p>
            <w:pPr>
              <w:jc w:val="right"/>
              <w:ind w:right="86"/>
              <w:spacing w:after="0" w:line="122" w:lineRule="exact"/>
              <w:rPr>
                <w:sz w:val="20"/>
                <w:szCs w:val="20"/>
                <w:color w:val="auto"/>
              </w:rPr>
            </w:pPr>
            <w:r>
              <w:rPr>
                <w:rFonts w:ascii="Times New Roman" w:cs="Times New Roman" w:eastAsia="Times New Roman" w:hAnsi="Times New Roman"/>
                <w:sz w:val="11"/>
                <w:szCs w:val="11"/>
                <w:color w:val="auto"/>
              </w:rPr>
              <w:t>11.50 %</w:t>
            </w:r>
          </w:p>
        </w:tc>
        <w:tc>
          <w:tcPr>
            <w:tcW w:w="8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1M L+1,050</w:t>
            </w:r>
          </w:p>
        </w:tc>
        <w:tc>
          <w:tcPr>
            <w:tcW w:w="98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3,158</w:t>
            </w: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2,724</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2,985</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jc w:val="right"/>
              <w:ind w:right="206"/>
              <w:spacing w:after="0"/>
              <w:rPr>
                <w:sz w:val="20"/>
                <w:szCs w:val="20"/>
                <w:color w:val="auto"/>
              </w:rPr>
            </w:pPr>
            <w:r>
              <w:rPr>
                <w:rFonts w:ascii="Times New Roman" w:cs="Times New Roman" w:eastAsia="Times New Roman" w:hAnsi="Times New Roman"/>
                <w:sz w:val="11"/>
                <w:szCs w:val="11"/>
                <w:color w:val="auto"/>
              </w:rPr>
              <w:t>(PIK 11.50%)</w:t>
            </w: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2400" w:type="dxa"/>
            <w:vAlign w:val="bottom"/>
          </w:tcPr>
          <w:p>
            <w:pPr>
              <w:ind w:left="20"/>
              <w:spacing w:after="0" w:line="117" w:lineRule="exact"/>
              <w:rPr>
                <w:sz w:val="20"/>
                <w:szCs w:val="20"/>
                <w:color w:val="auto"/>
              </w:rPr>
            </w:pPr>
            <w:r>
              <w:rPr>
                <w:rFonts w:ascii="Times New Roman" w:cs="Times New Roman" w:eastAsia="Times New Roman" w:hAnsi="Times New Roman"/>
                <w:sz w:val="11"/>
                <w:szCs w:val="11"/>
                <w:color w:val="auto"/>
              </w:rPr>
              <w:t>Quantic Electronics, LLC</w:t>
            </w:r>
          </w:p>
        </w:tc>
        <w:tc>
          <w:tcPr>
            <w:tcW w:w="880" w:type="dxa"/>
            <w:vAlign w:val="bottom"/>
            <w:gridSpan w:val="2"/>
          </w:tcPr>
          <w:p>
            <w:pPr>
              <w:jc w:val="center"/>
              <w:ind w:left="86"/>
              <w:spacing w:after="0" w:line="117" w:lineRule="exact"/>
              <w:rPr>
                <w:sz w:val="20"/>
                <w:szCs w:val="20"/>
                <w:color w:val="auto"/>
              </w:rPr>
            </w:pPr>
            <w:r>
              <w:rPr>
                <w:rFonts w:ascii="Times New Roman" w:cs="Times New Roman" w:eastAsia="Times New Roman" w:hAnsi="Times New Roman"/>
                <w:sz w:val="11"/>
                <w:szCs w:val="11"/>
                <w:color w:val="auto"/>
                <w:w w:val="99"/>
              </w:rPr>
              <w:t>11/19/2026</w:t>
            </w:r>
          </w:p>
        </w:tc>
        <w:tc>
          <w:tcPr>
            <w:tcW w:w="140" w:type="dxa"/>
            <w:vAlign w:val="bottom"/>
          </w:tcPr>
          <w:p>
            <w:pPr>
              <w:spacing w:after="0"/>
              <w:rPr>
                <w:sz w:val="10"/>
                <w:szCs w:val="10"/>
                <w:color w:val="auto"/>
              </w:rPr>
            </w:pPr>
          </w:p>
        </w:tc>
        <w:tc>
          <w:tcPr>
            <w:tcW w:w="260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color w:val="auto"/>
                <w:w w:val="97"/>
              </w:rPr>
              <w:t>Electronic Equipment, Instruments, and Components</w:t>
            </w:r>
          </w:p>
        </w:tc>
        <w:tc>
          <w:tcPr>
            <w:tcW w:w="1360" w:type="dxa"/>
            <w:vAlign w:val="bottom"/>
            <w:gridSpan w:val="3"/>
          </w:tcPr>
          <w:p>
            <w:pPr>
              <w:jc w:val="right"/>
              <w:ind w:right="86"/>
              <w:spacing w:after="0" w:line="117" w:lineRule="exact"/>
              <w:rPr>
                <w:sz w:val="20"/>
                <w:szCs w:val="20"/>
                <w:color w:val="auto"/>
              </w:rPr>
            </w:pPr>
            <w:r>
              <w:rPr>
                <w:rFonts w:ascii="Times New Roman" w:cs="Times New Roman" w:eastAsia="Times New Roman" w:hAnsi="Times New Roman"/>
                <w:sz w:val="11"/>
                <w:szCs w:val="11"/>
                <w:color w:val="auto"/>
              </w:rPr>
              <w:t>7.25 %</w:t>
            </w:r>
          </w:p>
        </w:tc>
        <w:tc>
          <w:tcPr>
            <w:tcW w:w="80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1M L+625</w:t>
            </w:r>
          </w:p>
        </w:tc>
        <w:tc>
          <w:tcPr>
            <w:tcW w:w="98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1"/>
                <w:szCs w:val="11"/>
                <w:color w:val="auto"/>
              </w:rPr>
              <w:t>8,716</w:t>
            </w: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8,583</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8,542</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40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Quantic Electronics, LLC </w:t>
            </w:r>
            <w:r>
              <w:rPr>
                <w:rFonts w:ascii="Times New Roman" w:cs="Times New Roman" w:eastAsia="Times New Roman" w:hAnsi="Times New Roman"/>
                <w:sz w:val="14"/>
                <w:szCs w:val="14"/>
                <w:color w:val="auto"/>
                <w:vertAlign w:val="superscript"/>
              </w:rPr>
              <w:t>(7), (9)</w:t>
            </w:r>
          </w:p>
        </w:tc>
        <w:tc>
          <w:tcPr>
            <w:tcW w:w="88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9"/>
              </w:rPr>
              <w:t>11/19/2026</w:t>
            </w:r>
          </w:p>
        </w:tc>
        <w:tc>
          <w:tcPr>
            <w:tcW w:w="140" w:type="dxa"/>
            <w:vAlign w:val="bottom"/>
          </w:tcPr>
          <w:p>
            <w:pPr>
              <w:spacing w:after="0"/>
              <w:rPr>
                <w:sz w:val="11"/>
                <w:szCs w:val="11"/>
                <w:color w:val="auto"/>
              </w:rPr>
            </w:pPr>
          </w:p>
        </w:tc>
        <w:tc>
          <w:tcPr>
            <w:tcW w:w="26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Electronic Equipment, Instruments, and Components</w:t>
            </w:r>
          </w:p>
        </w:tc>
        <w:tc>
          <w:tcPr>
            <w:tcW w:w="120" w:type="dxa"/>
            <w:vAlign w:val="bottom"/>
          </w:tcPr>
          <w:p>
            <w:pPr>
              <w:spacing w:after="0"/>
              <w:rPr>
                <w:sz w:val="11"/>
                <w:szCs w:val="11"/>
                <w:color w:val="auto"/>
              </w:rPr>
            </w:pPr>
          </w:p>
        </w:tc>
        <w:tc>
          <w:tcPr>
            <w:tcW w:w="1240" w:type="dxa"/>
            <w:vAlign w:val="bottom"/>
            <w:gridSpan w:val="2"/>
          </w:tcPr>
          <w:p>
            <w:pPr>
              <w:jc w:val="right"/>
              <w:ind w:right="206"/>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2,810</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(28 )</w:t>
            </w:r>
          </w:p>
        </w:tc>
        <w:tc>
          <w:tcPr>
            <w:tcW w:w="0" w:type="dxa"/>
            <w:vAlign w:val="bottom"/>
          </w:tcPr>
          <w:p>
            <w:pPr>
              <w:spacing w:after="0"/>
              <w:rPr>
                <w:sz w:val="1"/>
                <w:szCs w:val="1"/>
                <w:color w:val="auto"/>
              </w:rPr>
            </w:pPr>
          </w:p>
        </w:tc>
      </w:tr>
      <w:tr>
        <w:trPr>
          <w:trHeight w:val="153"/>
        </w:trPr>
        <w:tc>
          <w:tcPr>
            <w:tcW w:w="2400" w:type="dxa"/>
            <w:vAlign w:val="bottom"/>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Quantic Electronics, LLC (Revolver) </w:t>
            </w:r>
            <w:r>
              <w:rPr>
                <w:rFonts w:ascii="Times New Roman" w:cs="Times New Roman" w:eastAsia="Times New Roman" w:hAnsi="Times New Roman"/>
                <w:sz w:val="14"/>
                <w:szCs w:val="14"/>
                <w:color w:val="auto"/>
                <w:vertAlign w:val="superscript"/>
              </w:rPr>
              <w:t>(7), (9)</w:t>
            </w:r>
          </w:p>
        </w:tc>
        <w:tc>
          <w:tcPr>
            <w:tcW w:w="88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9"/>
              </w:rPr>
              <w:t>11/19/2026</w:t>
            </w:r>
          </w:p>
        </w:tc>
        <w:tc>
          <w:tcPr>
            <w:tcW w:w="140" w:type="dxa"/>
            <w:vAlign w:val="bottom"/>
          </w:tcPr>
          <w:p>
            <w:pPr>
              <w:spacing w:after="0"/>
              <w:rPr>
                <w:sz w:val="13"/>
                <w:szCs w:val="13"/>
                <w:color w:val="auto"/>
              </w:rPr>
            </w:pPr>
          </w:p>
        </w:tc>
        <w:tc>
          <w:tcPr>
            <w:tcW w:w="26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Electronic Equipment, Instruments, and Components</w:t>
            </w:r>
          </w:p>
        </w:tc>
        <w:tc>
          <w:tcPr>
            <w:tcW w:w="120" w:type="dxa"/>
            <w:vAlign w:val="bottom"/>
          </w:tcPr>
          <w:p>
            <w:pPr>
              <w:spacing w:after="0"/>
              <w:rPr>
                <w:sz w:val="13"/>
                <w:szCs w:val="13"/>
                <w:color w:val="auto"/>
              </w:rPr>
            </w:pPr>
          </w:p>
        </w:tc>
        <w:tc>
          <w:tcPr>
            <w:tcW w:w="1240" w:type="dxa"/>
            <w:vAlign w:val="bottom"/>
            <w:gridSpan w:val="2"/>
          </w:tcPr>
          <w:p>
            <w:pPr>
              <w:jc w:val="right"/>
              <w:ind w:right="206"/>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670</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(13 )</w:t>
            </w:r>
          </w:p>
        </w:tc>
        <w:tc>
          <w:tcPr>
            <w:tcW w:w="0" w:type="dxa"/>
            <w:vAlign w:val="bottom"/>
          </w:tcPr>
          <w:p>
            <w:pPr>
              <w:spacing w:after="0"/>
              <w:rPr>
                <w:sz w:val="1"/>
                <w:szCs w:val="1"/>
                <w:color w:val="auto"/>
              </w:rPr>
            </w:pPr>
          </w:p>
        </w:tc>
      </w:tr>
      <w:tr>
        <w:trPr>
          <w:trHeight w:val="135"/>
        </w:trPr>
        <w:tc>
          <w:tcPr>
            <w:tcW w:w="24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Questex, LLC</w:t>
            </w:r>
          </w:p>
        </w:tc>
        <w:tc>
          <w:tcPr>
            <w:tcW w:w="88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9"/>
              </w:rPr>
              <w:t>09/09/2024</w:t>
            </w:r>
          </w:p>
        </w:tc>
        <w:tc>
          <w:tcPr>
            <w:tcW w:w="140" w:type="dxa"/>
            <w:vAlign w:val="bottom"/>
          </w:tcPr>
          <w:p>
            <w:pPr>
              <w:spacing w:after="0"/>
              <w:rPr>
                <w:sz w:val="11"/>
                <w:szCs w:val="11"/>
                <w:color w:val="auto"/>
              </w:rPr>
            </w:pPr>
          </w:p>
        </w:tc>
        <w:tc>
          <w:tcPr>
            <w:tcW w:w="26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Media: Diversified and Production</w:t>
            </w:r>
          </w:p>
        </w:tc>
        <w:tc>
          <w:tcPr>
            <w:tcW w:w="1360" w:type="dxa"/>
            <w:vAlign w:val="bottom"/>
            <w:gridSpan w:val="3"/>
          </w:tcPr>
          <w:p>
            <w:pPr>
              <w:jc w:val="right"/>
              <w:ind w:right="86"/>
              <w:spacing w:after="0"/>
              <w:rPr>
                <w:sz w:val="20"/>
                <w:szCs w:val="20"/>
                <w:color w:val="auto"/>
              </w:rPr>
            </w:pPr>
            <w:r>
              <w:rPr>
                <w:rFonts w:ascii="Times New Roman" w:cs="Times New Roman" w:eastAsia="Times New Roman" w:hAnsi="Times New Roman"/>
                <w:sz w:val="11"/>
                <w:szCs w:val="11"/>
                <w:color w:val="auto"/>
              </w:rPr>
              <w:t>6.00 %</w:t>
            </w: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L+500</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7,275</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7,195</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6,839</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2400" w:type="dxa"/>
            <w:vAlign w:val="bottom"/>
          </w:tcPr>
          <w:p>
            <w:pPr>
              <w:ind w:left="20"/>
              <w:spacing w:after="0" w:line="117" w:lineRule="exact"/>
              <w:rPr>
                <w:sz w:val="20"/>
                <w:szCs w:val="20"/>
                <w:color w:val="auto"/>
              </w:rPr>
            </w:pPr>
            <w:r>
              <w:rPr>
                <w:rFonts w:ascii="Times New Roman" w:cs="Times New Roman" w:eastAsia="Times New Roman" w:hAnsi="Times New Roman"/>
                <w:sz w:val="11"/>
                <w:szCs w:val="11"/>
                <w:color w:val="auto"/>
              </w:rPr>
              <w:t>Questex, LLC (Revolver)</w:t>
            </w:r>
          </w:p>
        </w:tc>
        <w:tc>
          <w:tcPr>
            <w:tcW w:w="880" w:type="dxa"/>
            <w:vAlign w:val="bottom"/>
            <w:gridSpan w:val="2"/>
          </w:tcPr>
          <w:p>
            <w:pPr>
              <w:jc w:val="center"/>
              <w:ind w:left="86"/>
              <w:spacing w:after="0" w:line="117" w:lineRule="exact"/>
              <w:rPr>
                <w:sz w:val="20"/>
                <w:szCs w:val="20"/>
                <w:color w:val="auto"/>
              </w:rPr>
            </w:pPr>
            <w:r>
              <w:rPr>
                <w:rFonts w:ascii="Times New Roman" w:cs="Times New Roman" w:eastAsia="Times New Roman" w:hAnsi="Times New Roman"/>
                <w:sz w:val="11"/>
                <w:szCs w:val="11"/>
                <w:color w:val="auto"/>
                <w:w w:val="99"/>
              </w:rPr>
              <w:t>09/09/2024</w:t>
            </w:r>
          </w:p>
        </w:tc>
        <w:tc>
          <w:tcPr>
            <w:tcW w:w="140" w:type="dxa"/>
            <w:vAlign w:val="bottom"/>
          </w:tcPr>
          <w:p>
            <w:pPr>
              <w:spacing w:after="0"/>
              <w:rPr>
                <w:sz w:val="10"/>
                <w:szCs w:val="10"/>
                <w:color w:val="auto"/>
              </w:rPr>
            </w:pPr>
          </w:p>
        </w:tc>
        <w:tc>
          <w:tcPr>
            <w:tcW w:w="260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color w:val="auto"/>
                <w:w w:val="99"/>
              </w:rPr>
              <w:t>Media: Diversified and Production</w:t>
            </w:r>
          </w:p>
        </w:tc>
        <w:tc>
          <w:tcPr>
            <w:tcW w:w="1360" w:type="dxa"/>
            <w:vAlign w:val="bottom"/>
            <w:gridSpan w:val="3"/>
          </w:tcPr>
          <w:p>
            <w:pPr>
              <w:jc w:val="right"/>
              <w:ind w:right="86"/>
              <w:spacing w:after="0" w:line="117" w:lineRule="exact"/>
              <w:rPr>
                <w:sz w:val="20"/>
                <w:szCs w:val="20"/>
                <w:color w:val="auto"/>
              </w:rPr>
            </w:pPr>
            <w:r>
              <w:rPr>
                <w:rFonts w:ascii="Times New Roman" w:cs="Times New Roman" w:eastAsia="Times New Roman" w:hAnsi="Times New Roman"/>
                <w:sz w:val="11"/>
                <w:szCs w:val="11"/>
                <w:color w:val="auto"/>
              </w:rPr>
              <w:t>6.00 %</w:t>
            </w:r>
          </w:p>
        </w:tc>
        <w:tc>
          <w:tcPr>
            <w:tcW w:w="80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3M L+500</w:t>
            </w:r>
          </w:p>
        </w:tc>
        <w:tc>
          <w:tcPr>
            <w:tcW w:w="98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1"/>
                <w:szCs w:val="11"/>
                <w:color w:val="auto"/>
              </w:rPr>
              <w:t>718</w:t>
            </w: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718</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675</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40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Questex, LLC (Revolver) </w:t>
            </w:r>
            <w:r>
              <w:rPr>
                <w:rFonts w:ascii="Times New Roman" w:cs="Times New Roman" w:eastAsia="Times New Roman" w:hAnsi="Times New Roman"/>
                <w:sz w:val="14"/>
                <w:szCs w:val="14"/>
                <w:color w:val="auto"/>
                <w:vertAlign w:val="superscript"/>
              </w:rPr>
              <w:t>(7), (9)</w:t>
            </w:r>
          </w:p>
        </w:tc>
        <w:tc>
          <w:tcPr>
            <w:tcW w:w="88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9"/>
              </w:rPr>
              <w:t>09/09/2024</w:t>
            </w:r>
          </w:p>
        </w:tc>
        <w:tc>
          <w:tcPr>
            <w:tcW w:w="140" w:type="dxa"/>
            <w:vAlign w:val="bottom"/>
          </w:tcPr>
          <w:p>
            <w:pPr>
              <w:spacing w:after="0"/>
              <w:rPr>
                <w:sz w:val="11"/>
                <w:szCs w:val="11"/>
                <w:color w:val="auto"/>
              </w:rPr>
            </w:pPr>
          </w:p>
        </w:tc>
        <w:tc>
          <w:tcPr>
            <w:tcW w:w="26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Media: Diversified and Production</w:t>
            </w:r>
          </w:p>
        </w:tc>
        <w:tc>
          <w:tcPr>
            <w:tcW w:w="120" w:type="dxa"/>
            <w:vAlign w:val="bottom"/>
          </w:tcPr>
          <w:p>
            <w:pPr>
              <w:spacing w:after="0"/>
              <w:rPr>
                <w:sz w:val="11"/>
                <w:szCs w:val="11"/>
                <w:color w:val="auto"/>
              </w:rPr>
            </w:pPr>
          </w:p>
        </w:tc>
        <w:tc>
          <w:tcPr>
            <w:tcW w:w="1240" w:type="dxa"/>
            <w:vAlign w:val="bottom"/>
            <w:gridSpan w:val="2"/>
          </w:tcPr>
          <w:p>
            <w:pPr>
              <w:jc w:val="right"/>
              <w:ind w:right="206"/>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479</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(29 )</w:t>
            </w:r>
          </w:p>
        </w:tc>
        <w:tc>
          <w:tcPr>
            <w:tcW w:w="0" w:type="dxa"/>
            <w:vAlign w:val="bottom"/>
          </w:tcPr>
          <w:p>
            <w:pPr>
              <w:spacing w:after="0"/>
              <w:rPr>
                <w:sz w:val="1"/>
                <w:szCs w:val="1"/>
                <w:color w:val="auto"/>
              </w:rPr>
            </w:pPr>
          </w:p>
        </w:tc>
      </w:tr>
      <w:tr>
        <w:trPr>
          <w:trHeight w:val="135"/>
        </w:trPr>
        <w:tc>
          <w:tcPr>
            <w:tcW w:w="240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Rancho Health MSO, Inc. </w:t>
            </w:r>
            <w:r>
              <w:rPr>
                <w:rFonts w:ascii="Times New Roman" w:cs="Times New Roman" w:eastAsia="Times New Roman" w:hAnsi="Times New Roman"/>
                <w:sz w:val="14"/>
                <w:szCs w:val="14"/>
                <w:color w:val="auto"/>
                <w:vertAlign w:val="superscript"/>
              </w:rPr>
              <w:t>(7)</w:t>
            </w:r>
          </w:p>
        </w:tc>
        <w:tc>
          <w:tcPr>
            <w:tcW w:w="88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9"/>
              </w:rPr>
              <w:t>12/18/2025</w:t>
            </w:r>
          </w:p>
        </w:tc>
        <w:tc>
          <w:tcPr>
            <w:tcW w:w="140" w:type="dxa"/>
            <w:vAlign w:val="bottom"/>
          </w:tcPr>
          <w:p>
            <w:pPr>
              <w:spacing w:after="0"/>
              <w:rPr>
                <w:sz w:val="11"/>
                <w:szCs w:val="11"/>
                <w:color w:val="auto"/>
              </w:rPr>
            </w:pPr>
          </w:p>
        </w:tc>
        <w:tc>
          <w:tcPr>
            <w:tcW w:w="26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Healthcare Equipment and Supplies</w:t>
            </w:r>
          </w:p>
        </w:tc>
        <w:tc>
          <w:tcPr>
            <w:tcW w:w="1360" w:type="dxa"/>
            <w:vAlign w:val="bottom"/>
            <w:gridSpan w:val="3"/>
          </w:tcPr>
          <w:p>
            <w:pPr>
              <w:jc w:val="right"/>
              <w:ind w:right="86"/>
              <w:spacing w:after="0"/>
              <w:rPr>
                <w:sz w:val="20"/>
                <w:szCs w:val="20"/>
                <w:color w:val="auto"/>
              </w:rPr>
            </w:pPr>
            <w:r>
              <w:rPr>
                <w:rFonts w:ascii="Times New Roman" w:cs="Times New Roman" w:eastAsia="Times New Roman" w:hAnsi="Times New Roman"/>
                <w:sz w:val="11"/>
                <w:szCs w:val="11"/>
                <w:color w:val="auto"/>
              </w:rPr>
              <w:t>6.75 %</w:t>
            </w: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L+575</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1,050</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1,050</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1,050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400" w:type="dxa"/>
            <w:vAlign w:val="bottom"/>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Rancho Health MSO, Inc. (Revolver) </w:t>
            </w:r>
            <w:r>
              <w:rPr>
                <w:rFonts w:ascii="Times New Roman" w:cs="Times New Roman" w:eastAsia="Times New Roman" w:hAnsi="Times New Roman"/>
                <w:sz w:val="14"/>
                <w:szCs w:val="14"/>
                <w:color w:val="auto"/>
                <w:vertAlign w:val="superscript"/>
              </w:rPr>
              <w:t>(7), (9)</w:t>
            </w:r>
          </w:p>
        </w:tc>
        <w:tc>
          <w:tcPr>
            <w:tcW w:w="88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9"/>
              </w:rPr>
              <w:t>12/18/2025</w:t>
            </w:r>
          </w:p>
        </w:tc>
        <w:tc>
          <w:tcPr>
            <w:tcW w:w="140" w:type="dxa"/>
            <w:vAlign w:val="bottom"/>
          </w:tcPr>
          <w:p>
            <w:pPr>
              <w:spacing w:after="0"/>
              <w:rPr>
                <w:sz w:val="13"/>
                <w:szCs w:val="13"/>
                <w:color w:val="auto"/>
              </w:rPr>
            </w:pPr>
          </w:p>
        </w:tc>
        <w:tc>
          <w:tcPr>
            <w:tcW w:w="26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Healthcare Equipment and Supplies</w:t>
            </w:r>
          </w:p>
        </w:tc>
        <w:tc>
          <w:tcPr>
            <w:tcW w:w="120" w:type="dxa"/>
            <w:vAlign w:val="bottom"/>
          </w:tcPr>
          <w:p>
            <w:pPr>
              <w:spacing w:after="0"/>
              <w:rPr>
                <w:sz w:val="13"/>
                <w:szCs w:val="13"/>
                <w:color w:val="auto"/>
              </w:rPr>
            </w:pPr>
          </w:p>
        </w:tc>
        <w:tc>
          <w:tcPr>
            <w:tcW w:w="1240" w:type="dxa"/>
            <w:vAlign w:val="bottom"/>
            <w:gridSpan w:val="2"/>
          </w:tcPr>
          <w:p>
            <w:pPr>
              <w:jc w:val="right"/>
              <w:ind w:right="206"/>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525</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17"/>
        </w:trPr>
        <w:tc>
          <w:tcPr>
            <w:tcW w:w="2400" w:type="dxa"/>
            <w:vAlign w:val="bottom"/>
          </w:tcPr>
          <w:p>
            <w:pPr>
              <w:ind w:left="20"/>
              <w:spacing w:after="0" w:line="117" w:lineRule="exact"/>
              <w:rPr>
                <w:sz w:val="20"/>
                <w:szCs w:val="20"/>
                <w:color w:val="auto"/>
              </w:rPr>
            </w:pPr>
            <w:r>
              <w:rPr>
                <w:rFonts w:ascii="Times New Roman" w:cs="Times New Roman" w:eastAsia="Times New Roman" w:hAnsi="Times New Roman"/>
                <w:sz w:val="11"/>
                <w:szCs w:val="11"/>
                <w:color w:val="auto"/>
              </w:rPr>
              <w:t>Recteq, LLC</w:t>
            </w:r>
          </w:p>
        </w:tc>
        <w:tc>
          <w:tcPr>
            <w:tcW w:w="880" w:type="dxa"/>
            <w:vAlign w:val="bottom"/>
            <w:gridSpan w:val="2"/>
          </w:tcPr>
          <w:p>
            <w:pPr>
              <w:jc w:val="center"/>
              <w:ind w:left="86"/>
              <w:spacing w:after="0" w:line="117" w:lineRule="exact"/>
              <w:rPr>
                <w:sz w:val="20"/>
                <w:szCs w:val="20"/>
                <w:color w:val="auto"/>
              </w:rPr>
            </w:pPr>
            <w:r>
              <w:rPr>
                <w:rFonts w:ascii="Times New Roman" w:cs="Times New Roman" w:eastAsia="Times New Roman" w:hAnsi="Times New Roman"/>
                <w:sz w:val="11"/>
                <w:szCs w:val="11"/>
                <w:color w:val="auto"/>
                <w:w w:val="99"/>
              </w:rPr>
              <w:t>01/29/2026</w:t>
            </w:r>
          </w:p>
        </w:tc>
        <w:tc>
          <w:tcPr>
            <w:tcW w:w="140" w:type="dxa"/>
            <w:vAlign w:val="bottom"/>
          </w:tcPr>
          <w:p>
            <w:pPr>
              <w:spacing w:after="0"/>
              <w:rPr>
                <w:sz w:val="10"/>
                <w:szCs w:val="10"/>
                <w:color w:val="auto"/>
              </w:rPr>
            </w:pPr>
          </w:p>
        </w:tc>
        <w:tc>
          <w:tcPr>
            <w:tcW w:w="260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color w:val="auto"/>
                <w:w w:val="96"/>
              </w:rPr>
              <w:t>Leisure Products</w:t>
            </w:r>
          </w:p>
        </w:tc>
        <w:tc>
          <w:tcPr>
            <w:tcW w:w="1360" w:type="dxa"/>
            <w:vAlign w:val="bottom"/>
            <w:gridSpan w:val="3"/>
          </w:tcPr>
          <w:p>
            <w:pPr>
              <w:jc w:val="right"/>
              <w:ind w:right="86"/>
              <w:spacing w:after="0" w:line="117" w:lineRule="exact"/>
              <w:rPr>
                <w:sz w:val="20"/>
                <w:szCs w:val="20"/>
                <w:color w:val="auto"/>
              </w:rPr>
            </w:pPr>
            <w:r>
              <w:rPr>
                <w:rFonts w:ascii="Times New Roman" w:cs="Times New Roman" w:eastAsia="Times New Roman" w:hAnsi="Times New Roman"/>
                <w:sz w:val="11"/>
                <w:szCs w:val="11"/>
                <w:color w:val="auto"/>
              </w:rPr>
              <w:t>7.00 %</w:t>
            </w:r>
          </w:p>
        </w:tc>
        <w:tc>
          <w:tcPr>
            <w:tcW w:w="80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3M L+600</w:t>
            </w:r>
          </w:p>
        </w:tc>
        <w:tc>
          <w:tcPr>
            <w:tcW w:w="98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1"/>
                <w:szCs w:val="11"/>
                <w:color w:val="auto"/>
              </w:rPr>
              <w:t>1,493</w:t>
            </w: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1,466</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1,478</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4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 xml:space="preserve">Recteq, LLC (Revolver) </w:t>
            </w:r>
            <w:r>
              <w:rPr>
                <w:rFonts w:ascii="Times New Roman" w:cs="Times New Roman" w:eastAsia="Times New Roman" w:hAnsi="Times New Roman"/>
                <w:sz w:val="14"/>
                <w:szCs w:val="14"/>
                <w:color w:val="auto"/>
                <w:vertAlign w:val="superscript"/>
              </w:rPr>
              <w:t>(7), (9)</w:t>
            </w:r>
          </w:p>
        </w:tc>
        <w:tc>
          <w:tcPr>
            <w:tcW w:w="88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9"/>
              </w:rPr>
              <w:t>01/29/2026</w:t>
            </w:r>
          </w:p>
        </w:tc>
        <w:tc>
          <w:tcPr>
            <w:tcW w:w="140" w:type="dxa"/>
            <w:vAlign w:val="bottom"/>
          </w:tcPr>
          <w:p>
            <w:pPr>
              <w:spacing w:after="0"/>
              <w:rPr>
                <w:sz w:val="14"/>
                <w:szCs w:val="14"/>
                <w:color w:val="auto"/>
              </w:rPr>
            </w:pPr>
          </w:p>
        </w:tc>
        <w:tc>
          <w:tcPr>
            <w:tcW w:w="26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6"/>
              </w:rPr>
              <w:t>Leisure Products</w:t>
            </w:r>
          </w:p>
        </w:tc>
        <w:tc>
          <w:tcPr>
            <w:tcW w:w="120" w:type="dxa"/>
            <w:vAlign w:val="bottom"/>
          </w:tcPr>
          <w:p>
            <w:pPr>
              <w:spacing w:after="0"/>
              <w:rPr>
                <w:sz w:val="14"/>
                <w:szCs w:val="14"/>
                <w:color w:val="auto"/>
              </w:rPr>
            </w:pPr>
          </w:p>
        </w:tc>
        <w:tc>
          <w:tcPr>
            <w:tcW w:w="1240" w:type="dxa"/>
            <w:vAlign w:val="bottom"/>
            <w:gridSpan w:val="2"/>
          </w:tcPr>
          <w:p>
            <w:pPr>
              <w:jc w:val="right"/>
              <w:ind w:right="206"/>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1,296</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(13 )</w:t>
            </w:r>
          </w:p>
        </w:tc>
        <w:tc>
          <w:tcPr>
            <w:tcW w:w="0" w:type="dxa"/>
            <w:vAlign w:val="bottom"/>
          </w:tcPr>
          <w:p>
            <w:pPr>
              <w:spacing w:after="0"/>
              <w:rPr>
                <w:sz w:val="1"/>
                <w:szCs w:val="1"/>
                <w:color w:val="auto"/>
              </w:rPr>
            </w:pPr>
          </w:p>
        </w:tc>
      </w:tr>
      <w:tr>
        <w:trPr>
          <w:trHeight w:val="135"/>
        </w:trPr>
        <w:tc>
          <w:tcPr>
            <w:tcW w:w="24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Research Horizons, LLC</w:t>
            </w:r>
          </w:p>
        </w:tc>
        <w:tc>
          <w:tcPr>
            <w:tcW w:w="880" w:type="dxa"/>
            <w:vAlign w:val="bottom"/>
            <w:gridSpan w:val="2"/>
            <w:shd w:val="clear" w:color="auto" w:fill="CCECFF"/>
          </w:tcPr>
          <w:p>
            <w:pPr>
              <w:jc w:val="center"/>
              <w:ind w:left="86"/>
              <w:spacing w:after="0"/>
              <w:rPr>
                <w:sz w:val="20"/>
                <w:szCs w:val="20"/>
                <w:color w:val="auto"/>
              </w:rPr>
            </w:pPr>
            <w:r>
              <w:rPr>
                <w:rFonts w:ascii="Times New Roman" w:cs="Times New Roman" w:eastAsia="Times New Roman" w:hAnsi="Times New Roman"/>
                <w:sz w:val="11"/>
                <w:szCs w:val="11"/>
                <w:color w:val="auto"/>
                <w:w w:val="99"/>
              </w:rPr>
              <w:t>06/28/2022</w:t>
            </w:r>
          </w:p>
        </w:tc>
        <w:tc>
          <w:tcPr>
            <w:tcW w:w="140" w:type="dxa"/>
            <w:vAlign w:val="bottom"/>
            <w:shd w:val="clear" w:color="auto" w:fill="CCECFF"/>
          </w:tcPr>
          <w:p>
            <w:pPr>
              <w:spacing w:after="0"/>
              <w:rPr>
                <w:sz w:val="11"/>
                <w:szCs w:val="11"/>
                <w:color w:val="auto"/>
              </w:rPr>
            </w:pPr>
          </w:p>
        </w:tc>
        <w:tc>
          <w:tcPr>
            <w:tcW w:w="26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Media: Advertising, Printing and Publishing</w:t>
            </w:r>
          </w:p>
        </w:tc>
        <w:tc>
          <w:tcPr>
            <w:tcW w:w="1360" w:type="dxa"/>
            <w:vAlign w:val="bottom"/>
            <w:gridSpan w:val="3"/>
            <w:shd w:val="clear" w:color="auto" w:fill="CCECFF"/>
          </w:tcPr>
          <w:p>
            <w:pPr>
              <w:jc w:val="right"/>
              <w:ind w:right="86"/>
              <w:spacing w:after="0"/>
              <w:rPr>
                <w:sz w:val="20"/>
                <w:szCs w:val="20"/>
                <w:color w:val="auto"/>
              </w:rPr>
            </w:pPr>
            <w:r>
              <w:rPr>
                <w:rFonts w:ascii="Times New Roman" w:cs="Times New Roman" w:eastAsia="Times New Roman" w:hAnsi="Times New Roman"/>
                <w:sz w:val="11"/>
                <w:szCs w:val="11"/>
                <w:color w:val="auto"/>
              </w:rPr>
              <w:t>7.25 %</w:t>
            </w:r>
          </w:p>
        </w:tc>
        <w:tc>
          <w:tcPr>
            <w:tcW w:w="8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L+625</w:t>
            </w:r>
          </w:p>
        </w:tc>
        <w:tc>
          <w:tcPr>
            <w:tcW w:w="98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6,719</w:t>
            </w:r>
          </w:p>
        </w:tc>
        <w:tc>
          <w:tcPr>
            <w:tcW w:w="22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6,694</w:t>
            </w:r>
          </w:p>
        </w:tc>
        <w:tc>
          <w:tcPr>
            <w:tcW w:w="22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6,652</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400" w:type="dxa"/>
            <w:vAlign w:val="bottom"/>
          </w:tcPr>
          <w:p>
            <w:pPr>
              <w:ind w:left="20"/>
              <w:spacing w:after="0" w:line="122" w:lineRule="exact"/>
              <w:rPr>
                <w:sz w:val="20"/>
                <w:szCs w:val="20"/>
                <w:color w:val="auto"/>
              </w:rPr>
            </w:pPr>
            <w:r>
              <w:rPr>
                <w:rFonts w:ascii="Times New Roman" w:cs="Times New Roman" w:eastAsia="Times New Roman" w:hAnsi="Times New Roman"/>
                <w:sz w:val="11"/>
                <w:szCs w:val="11"/>
                <w:color w:val="auto"/>
              </w:rPr>
              <w:t>Research Now Group, Inc. and Dynata, LLC</w:t>
            </w:r>
          </w:p>
        </w:tc>
        <w:tc>
          <w:tcPr>
            <w:tcW w:w="880" w:type="dxa"/>
            <w:vAlign w:val="bottom"/>
            <w:gridSpan w:val="2"/>
          </w:tcPr>
          <w:p>
            <w:pPr>
              <w:jc w:val="center"/>
              <w:ind w:left="86"/>
              <w:spacing w:after="0" w:line="122" w:lineRule="exact"/>
              <w:rPr>
                <w:sz w:val="20"/>
                <w:szCs w:val="20"/>
                <w:color w:val="auto"/>
              </w:rPr>
            </w:pPr>
            <w:r>
              <w:rPr>
                <w:rFonts w:ascii="Times New Roman" w:cs="Times New Roman" w:eastAsia="Times New Roman" w:hAnsi="Times New Roman"/>
                <w:sz w:val="11"/>
                <w:szCs w:val="11"/>
                <w:color w:val="auto"/>
                <w:w w:val="99"/>
              </w:rPr>
              <w:t>12/20/2024</w:t>
            </w:r>
          </w:p>
        </w:tc>
        <w:tc>
          <w:tcPr>
            <w:tcW w:w="140" w:type="dxa"/>
            <w:vAlign w:val="bottom"/>
          </w:tcPr>
          <w:p>
            <w:pPr>
              <w:spacing w:after="0"/>
              <w:rPr>
                <w:sz w:val="10"/>
                <w:szCs w:val="10"/>
                <w:color w:val="auto"/>
              </w:rPr>
            </w:pPr>
          </w:p>
        </w:tc>
        <w:tc>
          <w:tcPr>
            <w:tcW w:w="260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5"/>
              </w:rPr>
              <w:t>Business Services</w:t>
            </w:r>
          </w:p>
        </w:tc>
        <w:tc>
          <w:tcPr>
            <w:tcW w:w="1360" w:type="dxa"/>
            <w:vAlign w:val="bottom"/>
            <w:gridSpan w:val="3"/>
          </w:tcPr>
          <w:p>
            <w:pPr>
              <w:jc w:val="right"/>
              <w:ind w:right="86"/>
              <w:spacing w:after="0" w:line="122" w:lineRule="exact"/>
              <w:rPr>
                <w:sz w:val="20"/>
                <w:szCs w:val="20"/>
                <w:color w:val="auto"/>
              </w:rPr>
            </w:pPr>
            <w:r>
              <w:rPr>
                <w:rFonts w:ascii="Times New Roman" w:cs="Times New Roman" w:eastAsia="Times New Roman" w:hAnsi="Times New Roman"/>
                <w:sz w:val="11"/>
                <w:szCs w:val="11"/>
                <w:color w:val="auto"/>
              </w:rPr>
              <w:t>6.50 %</w:t>
            </w:r>
          </w:p>
        </w:tc>
        <w:tc>
          <w:tcPr>
            <w:tcW w:w="8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3M L+550</w:t>
            </w:r>
          </w:p>
        </w:tc>
        <w:tc>
          <w:tcPr>
            <w:tcW w:w="98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17,322</w:t>
            </w: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17,099</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17,102</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400" w:type="dxa"/>
            <w:vAlign w:val="bottom"/>
          </w:tcPr>
          <w:p>
            <w:pPr>
              <w:ind w:left="20"/>
              <w:spacing w:after="0" w:line="117" w:lineRule="exact"/>
              <w:rPr>
                <w:sz w:val="20"/>
                <w:szCs w:val="20"/>
                <w:color w:val="auto"/>
              </w:rPr>
            </w:pPr>
            <w:r>
              <w:rPr>
                <w:rFonts w:ascii="Times New Roman" w:cs="Times New Roman" w:eastAsia="Times New Roman" w:hAnsi="Times New Roman"/>
                <w:sz w:val="11"/>
                <w:szCs w:val="11"/>
                <w:color w:val="auto"/>
              </w:rPr>
              <w:t>Riverpoint Medical, LLC</w:t>
            </w:r>
          </w:p>
        </w:tc>
        <w:tc>
          <w:tcPr>
            <w:tcW w:w="880" w:type="dxa"/>
            <w:vAlign w:val="bottom"/>
            <w:gridSpan w:val="2"/>
          </w:tcPr>
          <w:p>
            <w:pPr>
              <w:jc w:val="center"/>
              <w:ind w:left="86"/>
              <w:spacing w:after="0" w:line="117" w:lineRule="exact"/>
              <w:rPr>
                <w:sz w:val="20"/>
                <w:szCs w:val="20"/>
                <w:color w:val="auto"/>
              </w:rPr>
            </w:pPr>
            <w:r>
              <w:rPr>
                <w:rFonts w:ascii="Times New Roman" w:cs="Times New Roman" w:eastAsia="Times New Roman" w:hAnsi="Times New Roman"/>
                <w:sz w:val="11"/>
                <w:szCs w:val="11"/>
                <w:color w:val="auto"/>
                <w:w w:val="99"/>
              </w:rPr>
              <w:t>06/20/2025</w:t>
            </w:r>
          </w:p>
        </w:tc>
        <w:tc>
          <w:tcPr>
            <w:tcW w:w="140" w:type="dxa"/>
            <w:vAlign w:val="bottom"/>
          </w:tcPr>
          <w:p>
            <w:pPr>
              <w:spacing w:after="0"/>
              <w:rPr>
                <w:sz w:val="10"/>
                <w:szCs w:val="10"/>
                <w:color w:val="auto"/>
              </w:rPr>
            </w:pPr>
          </w:p>
        </w:tc>
        <w:tc>
          <w:tcPr>
            <w:tcW w:w="260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color w:val="auto"/>
                <w:w w:val="98"/>
              </w:rPr>
              <w:t>Healthcare Equipment and Supplies</w:t>
            </w:r>
          </w:p>
        </w:tc>
        <w:tc>
          <w:tcPr>
            <w:tcW w:w="1360" w:type="dxa"/>
            <w:vAlign w:val="bottom"/>
            <w:gridSpan w:val="3"/>
          </w:tcPr>
          <w:p>
            <w:pPr>
              <w:jc w:val="right"/>
              <w:ind w:right="86"/>
              <w:spacing w:after="0" w:line="117" w:lineRule="exact"/>
              <w:rPr>
                <w:sz w:val="20"/>
                <w:szCs w:val="20"/>
                <w:color w:val="auto"/>
              </w:rPr>
            </w:pPr>
            <w:r>
              <w:rPr>
                <w:rFonts w:ascii="Times New Roman" w:cs="Times New Roman" w:eastAsia="Times New Roman" w:hAnsi="Times New Roman"/>
                <w:sz w:val="11"/>
                <w:szCs w:val="11"/>
                <w:color w:val="auto"/>
              </w:rPr>
              <w:t>6.00 %</w:t>
            </w:r>
          </w:p>
        </w:tc>
        <w:tc>
          <w:tcPr>
            <w:tcW w:w="80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3M L+450</w:t>
            </w:r>
          </w:p>
        </w:tc>
        <w:tc>
          <w:tcPr>
            <w:tcW w:w="98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1"/>
                <w:szCs w:val="11"/>
                <w:color w:val="auto"/>
              </w:rPr>
              <w:t>8,115</w:t>
            </w: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8,039</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8,015</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4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 xml:space="preserve">Riverpoint Medical, LLC (Revolver) </w:t>
            </w:r>
            <w:r>
              <w:rPr>
                <w:rFonts w:ascii="Times New Roman" w:cs="Times New Roman" w:eastAsia="Times New Roman" w:hAnsi="Times New Roman"/>
                <w:sz w:val="14"/>
                <w:szCs w:val="14"/>
                <w:color w:val="auto"/>
                <w:vertAlign w:val="superscript"/>
              </w:rPr>
              <w:t>(7), (9)</w:t>
            </w:r>
          </w:p>
        </w:tc>
        <w:tc>
          <w:tcPr>
            <w:tcW w:w="88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9"/>
              </w:rPr>
              <w:t>06/20/2025</w:t>
            </w:r>
          </w:p>
        </w:tc>
        <w:tc>
          <w:tcPr>
            <w:tcW w:w="140" w:type="dxa"/>
            <w:vAlign w:val="bottom"/>
          </w:tcPr>
          <w:p>
            <w:pPr>
              <w:spacing w:after="0"/>
              <w:rPr>
                <w:sz w:val="14"/>
                <w:szCs w:val="14"/>
                <w:color w:val="auto"/>
              </w:rPr>
            </w:pPr>
          </w:p>
        </w:tc>
        <w:tc>
          <w:tcPr>
            <w:tcW w:w="26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Healthcare Equipment and Supplies</w:t>
            </w:r>
          </w:p>
        </w:tc>
        <w:tc>
          <w:tcPr>
            <w:tcW w:w="120" w:type="dxa"/>
            <w:vAlign w:val="bottom"/>
          </w:tcPr>
          <w:p>
            <w:pPr>
              <w:spacing w:after="0"/>
              <w:rPr>
                <w:sz w:val="14"/>
                <w:szCs w:val="14"/>
                <w:color w:val="auto"/>
              </w:rPr>
            </w:pPr>
          </w:p>
        </w:tc>
        <w:tc>
          <w:tcPr>
            <w:tcW w:w="1240" w:type="dxa"/>
            <w:vAlign w:val="bottom"/>
            <w:gridSpan w:val="2"/>
          </w:tcPr>
          <w:p>
            <w:pPr>
              <w:jc w:val="right"/>
              <w:ind w:right="206"/>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909</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(11 )</w:t>
            </w:r>
          </w:p>
        </w:tc>
        <w:tc>
          <w:tcPr>
            <w:tcW w:w="0" w:type="dxa"/>
            <w:vAlign w:val="bottom"/>
          </w:tcPr>
          <w:p>
            <w:pPr>
              <w:spacing w:after="0"/>
              <w:rPr>
                <w:sz w:val="1"/>
                <w:szCs w:val="1"/>
                <w:color w:val="auto"/>
              </w:rPr>
            </w:pPr>
          </w:p>
        </w:tc>
      </w:tr>
      <w:tr>
        <w:trPr>
          <w:trHeight w:val="135"/>
        </w:trPr>
        <w:tc>
          <w:tcPr>
            <w:tcW w:w="24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Riverside Assessments, LLC</w:t>
            </w:r>
          </w:p>
        </w:tc>
        <w:tc>
          <w:tcPr>
            <w:tcW w:w="880" w:type="dxa"/>
            <w:vAlign w:val="bottom"/>
            <w:gridSpan w:val="2"/>
            <w:shd w:val="clear" w:color="auto" w:fill="CCECFF"/>
          </w:tcPr>
          <w:p>
            <w:pPr>
              <w:jc w:val="center"/>
              <w:ind w:left="86"/>
              <w:spacing w:after="0"/>
              <w:rPr>
                <w:sz w:val="20"/>
                <w:szCs w:val="20"/>
                <w:color w:val="auto"/>
              </w:rPr>
            </w:pPr>
            <w:r>
              <w:rPr>
                <w:rFonts w:ascii="Times New Roman" w:cs="Times New Roman" w:eastAsia="Times New Roman" w:hAnsi="Times New Roman"/>
                <w:sz w:val="11"/>
                <w:szCs w:val="11"/>
                <w:color w:val="auto"/>
                <w:w w:val="99"/>
              </w:rPr>
              <w:t>03/10/2025</w:t>
            </w:r>
          </w:p>
        </w:tc>
        <w:tc>
          <w:tcPr>
            <w:tcW w:w="140" w:type="dxa"/>
            <w:vAlign w:val="bottom"/>
            <w:shd w:val="clear" w:color="auto" w:fill="CCECFF"/>
          </w:tcPr>
          <w:p>
            <w:pPr>
              <w:spacing w:after="0"/>
              <w:rPr>
                <w:sz w:val="11"/>
                <w:szCs w:val="11"/>
                <w:color w:val="auto"/>
              </w:rPr>
            </w:pPr>
          </w:p>
        </w:tc>
        <w:tc>
          <w:tcPr>
            <w:tcW w:w="26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Professional Services</w:t>
            </w:r>
          </w:p>
        </w:tc>
        <w:tc>
          <w:tcPr>
            <w:tcW w:w="1360" w:type="dxa"/>
            <w:vAlign w:val="bottom"/>
            <w:gridSpan w:val="3"/>
            <w:shd w:val="clear" w:color="auto" w:fill="CCECFF"/>
          </w:tcPr>
          <w:p>
            <w:pPr>
              <w:jc w:val="right"/>
              <w:ind w:right="86"/>
              <w:spacing w:after="0"/>
              <w:rPr>
                <w:sz w:val="20"/>
                <w:szCs w:val="20"/>
                <w:color w:val="auto"/>
              </w:rPr>
            </w:pPr>
            <w:r>
              <w:rPr>
                <w:rFonts w:ascii="Times New Roman" w:cs="Times New Roman" w:eastAsia="Times New Roman" w:hAnsi="Times New Roman"/>
                <w:sz w:val="11"/>
                <w:szCs w:val="11"/>
                <w:color w:val="auto"/>
              </w:rPr>
              <w:t>6.75 %</w:t>
            </w:r>
          </w:p>
        </w:tc>
        <w:tc>
          <w:tcPr>
            <w:tcW w:w="8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L+575</w:t>
            </w:r>
          </w:p>
        </w:tc>
        <w:tc>
          <w:tcPr>
            <w:tcW w:w="98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16,174</w:t>
            </w:r>
          </w:p>
        </w:tc>
        <w:tc>
          <w:tcPr>
            <w:tcW w:w="22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15,950</w:t>
            </w:r>
          </w:p>
        </w:tc>
        <w:tc>
          <w:tcPr>
            <w:tcW w:w="22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15,769</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03"/>
        </w:trPr>
        <w:tc>
          <w:tcPr>
            <w:tcW w:w="2400" w:type="dxa"/>
            <w:vAlign w:val="bottom"/>
          </w:tcPr>
          <w:p>
            <w:pPr>
              <w:ind w:left="20"/>
              <w:spacing w:after="0" w:line="103" w:lineRule="exact"/>
              <w:rPr>
                <w:sz w:val="20"/>
                <w:szCs w:val="20"/>
                <w:color w:val="auto"/>
              </w:rPr>
            </w:pPr>
            <w:r>
              <w:rPr>
                <w:rFonts w:ascii="Times New Roman" w:cs="Times New Roman" w:eastAsia="Times New Roman" w:hAnsi="Times New Roman"/>
                <w:sz w:val="11"/>
                <w:szCs w:val="11"/>
                <w:color w:val="auto"/>
              </w:rPr>
              <w:t>Sales Benchmark Index LLC</w:t>
            </w:r>
          </w:p>
        </w:tc>
        <w:tc>
          <w:tcPr>
            <w:tcW w:w="880" w:type="dxa"/>
            <w:vAlign w:val="bottom"/>
            <w:gridSpan w:val="2"/>
          </w:tcPr>
          <w:p>
            <w:pPr>
              <w:jc w:val="center"/>
              <w:ind w:left="86"/>
              <w:spacing w:after="0" w:line="103" w:lineRule="exact"/>
              <w:rPr>
                <w:sz w:val="20"/>
                <w:szCs w:val="20"/>
                <w:color w:val="auto"/>
              </w:rPr>
            </w:pPr>
            <w:r>
              <w:rPr>
                <w:rFonts w:ascii="Times New Roman" w:cs="Times New Roman" w:eastAsia="Times New Roman" w:hAnsi="Times New Roman"/>
                <w:sz w:val="11"/>
                <w:szCs w:val="11"/>
                <w:color w:val="auto"/>
                <w:w w:val="99"/>
              </w:rPr>
              <w:t>01/03/2025</w:t>
            </w:r>
          </w:p>
        </w:tc>
        <w:tc>
          <w:tcPr>
            <w:tcW w:w="140" w:type="dxa"/>
            <w:vAlign w:val="bottom"/>
          </w:tcPr>
          <w:p>
            <w:pPr>
              <w:spacing w:after="0"/>
              <w:rPr>
                <w:sz w:val="8"/>
                <w:szCs w:val="8"/>
                <w:color w:val="auto"/>
              </w:rPr>
            </w:pPr>
          </w:p>
        </w:tc>
        <w:tc>
          <w:tcPr>
            <w:tcW w:w="2600" w:type="dxa"/>
            <w:vAlign w:val="bottom"/>
          </w:tcPr>
          <w:p>
            <w:pPr>
              <w:jc w:val="center"/>
              <w:spacing w:after="0" w:line="103" w:lineRule="exact"/>
              <w:rPr>
                <w:sz w:val="20"/>
                <w:szCs w:val="20"/>
                <w:color w:val="auto"/>
              </w:rPr>
            </w:pPr>
            <w:r>
              <w:rPr>
                <w:rFonts w:ascii="Times New Roman" w:cs="Times New Roman" w:eastAsia="Times New Roman" w:hAnsi="Times New Roman"/>
                <w:sz w:val="11"/>
                <w:szCs w:val="11"/>
                <w:color w:val="auto"/>
                <w:w w:val="97"/>
              </w:rPr>
              <w:t>Professional Services</w:t>
            </w:r>
          </w:p>
        </w:tc>
        <w:tc>
          <w:tcPr>
            <w:tcW w:w="1360" w:type="dxa"/>
            <w:vAlign w:val="bottom"/>
            <w:gridSpan w:val="3"/>
          </w:tcPr>
          <w:p>
            <w:pPr>
              <w:jc w:val="right"/>
              <w:ind w:right="86"/>
              <w:spacing w:after="0" w:line="103" w:lineRule="exact"/>
              <w:rPr>
                <w:sz w:val="20"/>
                <w:szCs w:val="20"/>
                <w:color w:val="auto"/>
              </w:rPr>
            </w:pPr>
            <w:r>
              <w:rPr>
                <w:rFonts w:ascii="Times New Roman" w:cs="Times New Roman" w:eastAsia="Times New Roman" w:hAnsi="Times New Roman"/>
                <w:sz w:val="11"/>
                <w:szCs w:val="11"/>
                <w:color w:val="auto"/>
              </w:rPr>
              <w:t>7.75 %</w:t>
            </w:r>
          </w:p>
        </w:tc>
        <w:tc>
          <w:tcPr>
            <w:tcW w:w="800" w:type="dxa"/>
            <w:vAlign w:val="bottom"/>
          </w:tcPr>
          <w:p>
            <w:pPr>
              <w:jc w:val="right"/>
              <w:spacing w:after="0" w:line="103" w:lineRule="exact"/>
              <w:rPr>
                <w:sz w:val="20"/>
                <w:szCs w:val="20"/>
                <w:color w:val="auto"/>
              </w:rPr>
            </w:pPr>
            <w:r>
              <w:rPr>
                <w:rFonts w:ascii="Times New Roman" w:cs="Times New Roman" w:eastAsia="Times New Roman" w:hAnsi="Times New Roman"/>
                <w:sz w:val="11"/>
                <w:szCs w:val="11"/>
                <w:color w:val="auto"/>
              </w:rPr>
              <w:t>3M L+600</w:t>
            </w:r>
          </w:p>
        </w:tc>
        <w:tc>
          <w:tcPr>
            <w:tcW w:w="980" w:type="dxa"/>
            <w:vAlign w:val="bottom"/>
            <w:gridSpan w:val="2"/>
          </w:tcPr>
          <w:p>
            <w:pPr>
              <w:jc w:val="right"/>
              <w:spacing w:after="0" w:line="103" w:lineRule="exact"/>
              <w:rPr>
                <w:sz w:val="20"/>
                <w:szCs w:val="20"/>
                <w:color w:val="auto"/>
              </w:rPr>
            </w:pPr>
            <w:r>
              <w:rPr>
                <w:rFonts w:ascii="Times New Roman" w:cs="Times New Roman" w:eastAsia="Times New Roman" w:hAnsi="Times New Roman"/>
                <w:sz w:val="11"/>
                <w:szCs w:val="11"/>
                <w:color w:val="auto"/>
              </w:rPr>
              <w:t>7,906</w:t>
            </w: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jc w:val="right"/>
              <w:spacing w:after="0" w:line="103" w:lineRule="exact"/>
              <w:rPr>
                <w:sz w:val="20"/>
                <w:szCs w:val="20"/>
                <w:color w:val="auto"/>
              </w:rPr>
            </w:pPr>
            <w:r>
              <w:rPr>
                <w:rFonts w:ascii="Times New Roman" w:cs="Times New Roman" w:eastAsia="Times New Roman" w:hAnsi="Times New Roman"/>
                <w:sz w:val="11"/>
                <w:szCs w:val="11"/>
                <w:color w:val="auto"/>
              </w:rPr>
              <w:t>7,796</w:t>
            </w: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jc w:val="right"/>
              <w:spacing w:after="0" w:line="103" w:lineRule="exact"/>
              <w:rPr>
                <w:sz w:val="20"/>
                <w:szCs w:val="20"/>
                <w:color w:val="auto"/>
              </w:rPr>
            </w:pPr>
            <w:r>
              <w:rPr>
                <w:rFonts w:ascii="Times New Roman" w:cs="Times New Roman" w:eastAsia="Times New Roman" w:hAnsi="Times New Roman"/>
                <w:sz w:val="11"/>
                <w:szCs w:val="11"/>
                <w:color w:val="auto"/>
              </w:rPr>
              <w:t>7,708</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3"/>
        </w:trPr>
        <w:tc>
          <w:tcPr>
            <w:tcW w:w="2400" w:type="dxa"/>
            <w:vAlign w:val="bottom"/>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Sales Benchmark Index LLC (Revolver) </w:t>
            </w:r>
            <w:r>
              <w:rPr>
                <w:rFonts w:ascii="Times New Roman" w:cs="Times New Roman" w:eastAsia="Times New Roman" w:hAnsi="Times New Roman"/>
                <w:sz w:val="14"/>
                <w:szCs w:val="14"/>
                <w:color w:val="auto"/>
                <w:vertAlign w:val="superscript"/>
              </w:rPr>
              <w:t>(7), (9)</w:t>
            </w:r>
          </w:p>
        </w:tc>
        <w:tc>
          <w:tcPr>
            <w:tcW w:w="88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9"/>
              </w:rPr>
              <w:t>01/03/2025</w:t>
            </w:r>
          </w:p>
        </w:tc>
        <w:tc>
          <w:tcPr>
            <w:tcW w:w="140" w:type="dxa"/>
            <w:vAlign w:val="bottom"/>
          </w:tcPr>
          <w:p>
            <w:pPr>
              <w:spacing w:after="0"/>
              <w:rPr>
                <w:sz w:val="13"/>
                <w:szCs w:val="13"/>
                <w:color w:val="auto"/>
              </w:rPr>
            </w:pPr>
          </w:p>
        </w:tc>
        <w:tc>
          <w:tcPr>
            <w:tcW w:w="26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Professional Services</w:t>
            </w:r>
          </w:p>
        </w:tc>
        <w:tc>
          <w:tcPr>
            <w:tcW w:w="120" w:type="dxa"/>
            <w:vAlign w:val="bottom"/>
          </w:tcPr>
          <w:p>
            <w:pPr>
              <w:spacing w:after="0"/>
              <w:rPr>
                <w:sz w:val="13"/>
                <w:szCs w:val="13"/>
                <w:color w:val="auto"/>
              </w:rPr>
            </w:pPr>
          </w:p>
        </w:tc>
        <w:tc>
          <w:tcPr>
            <w:tcW w:w="1240" w:type="dxa"/>
            <w:vAlign w:val="bottom"/>
            <w:gridSpan w:val="2"/>
          </w:tcPr>
          <w:p>
            <w:pPr>
              <w:jc w:val="right"/>
              <w:ind w:right="206"/>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1,293</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(32 )</w:t>
            </w:r>
          </w:p>
        </w:tc>
        <w:tc>
          <w:tcPr>
            <w:tcW w:w="0" w:type="dxa"/>
            <w:vAlign w:val="bottom"/>
          </w:tcPr>
          <w:p>
            <w:pPr>
              <w:spacing w:after="0"/>
              <w:rPr>
                <w:sz w:val="1"/>
                <w:szCs w:val="1"/>
                <w:color w:val="auto"/>
              </w:rPr>
            </w:pPr>
          </w:p>
        </w:tc>
      </w:tr>
      <w:tr>
        <w:trPr>
          <w:trHeight w:val="135"/>
        </w:trPr>
        <w:tc>
          <w:tcPr>
            <w:tcW w:w="24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Sargent &amp; Greenleaf Inc.</w:t>
            </w:r>
          </w:p>
        </w:tc>
        <w:tc>
          <w:tcPr>
            <w:tcW w:w="88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9"/>
              </w:rPr>
              <w:t>12/20/2024</w:t>
            </w:r>
          </w:p>
        </w:tc>
        <w:tc>
          <w:tcPr>
            <w:tcW w:w="140" w:type="dxa"/>
            <w:vAlign w:val="bottom"/>
          </w:tcPr>
          <w:p>
            <w:pPr>
              <w:spacing w:after="0"/>
              <w:rPr>
                <w:sz w:val="11"/>
                <w:szCs w:val="11"/>
                <w:color w:val="auto"/>
              </w:rPr>
            </w:pPr>
          </w:p>
        </w:tc>
        <w:tc>
          <w:tcPr>
            <w:tcW w:w="26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Electronic Equipment, Instruments, and Components</w:t>
            </w:r>
          </w:p>
        </w:tc>
        <w:tc>
          <w:tcPr>
            <w:tcW w:w="1360" w:type="dxa"/>
            <w:vAlign w:val="bottom"/>
            <w:gridSpan w:val="3"/>
          </w:tcPr>
          <w:p>
            <w:pPr>
              <w:jc w:val="right"/>
              <w:ind w:right="86"/>
              <w:spacing w:after="0"/>
              <w:rPr>
                <w:sz w:val="20"/>
                <w:szCs w:val="20"/>
                <w:color w:val="auto"/>
              </w:rPr>
            </w:pPr>
            <w:r>
              <w:rPr>
                <w:rFonts w:ascii="Times New Roman" w:cs="Times New Roman" w:eastAsia="Times New Roman" w:hAnsi="Times New Roman"/>
                <w:sz w:val="11"/>
                <w:szCs w:val="11"/>
                <w:color w:val="auto"/>
              </w:rPr>
              <w:t>7.00 %</w:t>
            </w: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1M L+550</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3,694</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3,656</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3,694</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2400" w:type="dxa"/>
            <w:vAlign w:val="bottom"/>
          </w:tcPr>
          <w:p>
            <w:pPr>
              <w:ind w:left="20"/>
              <w:spacing w:after="0" w:line="117" w:lineRule="exact"/>
              <w:rPr>
                <w:sz w:val="20"/>
                <w:szCs w:val="20"/>
                <w:color w:val="auto"/>
              </w:rPr>
            </w:pPr>
            <w:r>
              <w:rPr>
                <w:rFonts w:ascii="Times New Roman" w:cs="Times New Roman" w:eastAsia="Times New Roman" w:hAnsi="Times New Roman"/>
                <w:sz w:val="11"/>
                <w:szCs w:val="11"/>
                <w:color w:val="auto"/>
              </w:rPr>
              <w:t>Sargent &amp; Greenleaf Inc. (Revolver)</w:t>
            </w:r>
          </w:p>
        </w:tc>
        <w:tc>
          <w:tcPr>
            <w:tcW w:w="880" w:type="dxa"/>
            <w:vAlign w:val="bottom"/>
            <w:gridSpan w:val="2"/>
          </w:tcPr>
          <w:p>
            <w:pPr>
              <w:jc w:val="center"/>
              <w:ind w:left="86"/>
              <w:spacing w:after="0" w:line="117" w:lineRule="exact"/>
              <w:rPr>
                <w:sz w:val="20"/>
                <w:szCs w:val="20"/>
                <w:color w:val="auto"/>
              </w:rPr>
            </w:pPr>
            <w:r>
              <w:rPr>
                <w:rFonts w:ascii="Times New Roman" w:cs="Times New Roman" w:eastAsia="Times New Roman" w:hAnsi="Times New Roman"/>
                <w:sz w:val="11"/>
                <w:szCs w:val="11"/>
                <w:color w:val="auto"/>
                <w:w w:val="99"/>
              </w:rPr>
              <w:t>12/20/2024</w:t>
            </w:r>
          </w:p>
        </w:tc>
        <w:tc>
          <w:tcPr>
            <w:tcW w:w="140" w:type="dxa"/>
            <w:vAlign w:val="bottom"/>
          </w:tcPr>
          <w:p>
            <w:pPr>
              <w:spacing w:after="0"/>
              <w:rPr>
                <w:sz w:val="10"/>
                <w:szCs w:val="10"/>
                <w:color w:val="auto"/>
              </w:rPr>
            </w:pPr>
          </w:p>
        </w:tc>
        <w:tc>
          <w:tcPr>
            <w:tcW w:w="260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color w:val="auto"/>
                <w:w w:val="97"/>
              </w:rPr>
              <w:t>Electronic Equipment, Instruments, and Components</w:t>
            </w:r>
          </w:p>
        </w:tc>
        <w:tc>
          <w:tcPr>
            <w:tcW w:w="1360" w:type="dxa"/>
            <w:vAlign w:val="bottom"/>
            <w:gridSpan w:val="3"/>
          </w:tcPr>
          <w:p>
            <w:pPr>
              <w:jc w:val="right"/>
              <w:ind w:right="86"/>
              <w:spacing w:after="0" w:line="117" w:lineRule="exact"/>
              <w:rPr>
                <w:sz w:val="20"/>
                <w:szCs w:val="20"/>
                <w:color w:val="auto"/>
              </w:rPr>
            </w:pPr>
            <w:r>
              <w:rPr>
                <w:rFonts w:ascii="Times New Roman" w:cs="Times New Roman" w:eastAsia="Times New Roman" w:hAnsi="Times New Roman"/>
                <w:sz w:val="11"/>
                <w:szCs w:val="11"/>
                <w:color w:val="auto"/>
              </w:rPr>
              <w:t>7.00 %</w:t>
            </w:r>
          </w:p>
        </w:tc>
        <w:tc>
          <w:tcPr>
            <w:tcW w:w="80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1M L+550</w:t>
            </w:r>
          </w:p>
        </w:tc>
        <w:tc>
          <w:tcPr>
            <w:tcW w:w="98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1"/>
                <w:szCs w:val="11"/>
                <w:color w:val="auto"/>
              </w:rPr>
              <w:t>528</w:t>
            </w: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528</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528</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4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 xml:space="preserve">Sargent &amp; Greenleaf Inc. (Revolver) </w:t>
            </w:r>
            <w:r>
              <w:rPr>
                <w:rFonts w:ascii="Times New Roman" w:cs="Times New Roman" w:eastAsia="Times New Roman" w:hAnsi="Times New Roman"/>
                <w:sz w:val="14"/>
                <w:szCs w:val="14"/>
                <w:color w:val="auto"/>
                <w:vertAlign w:val="superscript"/>
              </w:rPr>
              <w:t>(7),(9)</w:t>
            </w:r>
          </w:p>
        </w:tc>
        <w:tc>
          <w:tcPr>
            <w:tcW w:w="88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9"/>
              </w:rPr>
              <w:t>12/20/2024</w:t>
            </w:r>
          </w:p>
        </w:tc>
        <w:tc>
          <w:tcPr>
            <w:tcW w:w="140" w:type="dxa"/>
            <w:vAlign w:val="bottom"/>
          </w:tcPr>
          <w:p>
            <w:pPr>
              <w:spacing w:after="0"/>
              <w:rPr>
                <w:sz w:val="14"/>
                <w:szCs w:val="14"/>
                <w:color w:val="auto"/>
              </w:rPr>
            </w:pPr>
          </w:p>
        </w:tc>
        <w:tc>
          <w:tcPr>
            <w:tcW w:w="26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Electronic Equipment, Instruments, and Components</w:t>
            </w:r>
          </w:p>
        </w:tc>
        <w:tc>
          <w:tcPr>
            <w:tcW w:w="120" w:type="dxa"/>
            <w:vAlign w:val="bottom"/>
          </w:tcPr>
          <w:p>
            <w:pPr>
              <w:spacing w:after="0"/>
              <w:rPr>
                <w:sz w:val="14"/>
                <w:szCs w:val="14"/>
                <w:color w:val="auto"/>
              </w:rPr>
            </w:pPr>
          </w:p>
        </w:tc>
        <w:tc>
          <w:tcPr>
            <w:tcW w:w="1240" w:type="dxa"/>
            <w:vAlign w:val="bottom"/>
            <w:gridSpan w:val="2"/>
          </w:tcPr>
          <w:p>
            <w:pPr>
              <w:jc w:val="right"/>
              <w:ind w:right="206"/>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528</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35"/>
        </w:trPr>
        <w:tc>
          <w:tcPr>
            <w:tcW w:w="24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Schlesinger Global, Inc.</w:t>
            </w:r>
          </w:p>
        </w:tc>
        <w:tc>
          <w:tcPr>
            <w:tcW w:w="880" w:type="dxa"/>
            <w:vAlign w:val="bottom"/>
            <w:gridSpan w:val="2"/>
            <w:shd w:val="clear" w:color="auto" w:fill="CCECFF"/>
          </w:tcPr>
          <w:p>
            <w:pPr>
              <w:jc w:val="center"/>
              <w:ind w:left="86"/>
              <w:spacing w:after="0"/>
              <w:rPr>
                <w:sz w:val="20"/>
                <w:szCs w:val="20"/>
                <w:color w:val="auto"/>
              </w:rPr>
            </w:pPr>
            <w:r>
              <w:rPr>
                <w:rFonts w:ascii="Times New Roman" w:cs="Times New Roman" w:eastAsia="Times New Roman" w:hAnsi="Times New Roman"/>
                <w:sz w:val="11"/>
                <w:szCs w:val="11"/>
                <w:color w:val="auto"/>
                <w:w w:val="99"/>
              </w:rPr>
              <w:t>07/14/2025</w:t>
            </w:r>
          </w:p>
        </w:tc>
        <w:tc>
          <w:tcPr>
            <w:tcW w:w="140" w:type="dxa"/>
            <w:vAlign w:val="bottom"/>
            <w:shd w:val="clear" w:color="auto" w:fill="CCECFF"/>
          </w:tcPr>
          <w:p>
            <w:pPr>
              <w:spacing w:after="0"/>
              <w:rPr>
                <w:sz w:val="11"/>
                <w:szCs w:val="11"/>
                <w:color w:val="auto"/>
              </w:rPr>
            </w:pPr>
          </w:p>
        </w:tc>
        <w:tc>
          <w:tcPr>
            <w:tcW w:w="26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Professional Services</w:t>
            </w:r>
          </w:p>
        </w:tc>
        <w:tc>
          <w:tcPr>
            <w:tcW w:w="1360" w:type="dxa"/>
            <w:vAlign w:val="bottom"/>
            <w:gridSpan w:val="3"/>
            <w:shd w:val="clear" w:color="auto" w:fill="CCECFF"/>
          </w:tcPr>
          <w:p>
            <w:pPr>
              <w:jc w:val="right"/>
              <w:ind w:right="86"/>
              <w:spacing w:after="0"/>
              <w:rPr>
                <w:sz w:val="20"/>
                <w:szCs w:val="20"/>
                <w:color w:val="auto"/>
              </w:rPr>
            </w:pPr>
            <w:r>
              <w:rPr>
                <w:rFonts w:ascii="Times New Roman" w:cs="Times New Roman" w:eastAsia="Times New Roman" w:hAnsi="Times New Roman"/>
                <w:sz w:val="11"/>
                <w:szCs w:val="11"/>
                <w:color w:val="auto"/>
              </w:rPr>
              <w:t>8.00 %</w:t>
            </w:r>
          </w:p>
        </w:tc>
        <w:tc>
          <w:tcPr>
            <w:tcW w:w="8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1M L+700</w:t>
            </w:r>
          </w:p>
        </w:tc>
        <w:tc>
          <w:tcPr>
            <w:tcW w:w="98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13,377</w:t>
            </w:r>
          </w:p>
        </w:tc>
        <w:tc>
          <w:tcPr>
            <w:tcW w:w="22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13,275</w:t>
            </w:r>
          </w:p>
        </w:tc>
        <w:tc>
          <w:tcPr>
            <w:tcW w:w="22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12,775</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03"/>
        </w:trPr>
        <w:tc>
          <w:tcPr>
            <w:tcW w:w="2400" w:type="dxa"/>
            <w:vAlign w:val="bottom"/>
          </w:tcPr>
          <w:p>
            <w:pPr>
              <w:ind w:left="20"/>
              <w:spacing w:after="0" w:line="103" w:lineRule="exact"/>
              <w:rPr>
                <w:sz w:val="20"/>
                <w:szCs w:val="20"/>
                <w:color w:val="auto"/>
              </w:rPr>
            </w:pPr>
            <w:r>
              <w:rPr>
                <w:rFonts w:ascii="Times New Roman" w:cs="Times New Roman" w:eastAsia="Times New Roman" w:hAnsi="Times New Roman"/>
                <w:sz w:val="11"/>
                <w:szCs w:val="11"/>
                <w:color w:val="auto"/>
              </w:rPr>
              <w:t>Schlesinger Global, Inc. (Revolver)</w:t>
            </w:r>
          </w:p>
        </w:tc>
        <w:tc>
          <w:tcPr>
            <w:tcW w:w="880" w:type="dxa"/>
            <w:vAlign w:val="bottom"/>
            <w:gridSpan w:val="2"/>
          </w:tcPr>
          <w:p>
            <w:pPr>
              <w:jc w:val="center"/>
              <w:ind w:left="86"/>
              <w:spacing w:after="0" w:line="103" w:lineRule="exact"/>
              <w:rPr>
                <w:sz w:val="20"/>
                <w:szCs w:val="20"/>
                <w:color w:val="auto"/>
              </w:rPr>
            </w:pPr>
            <w:r>
              <w:rPr>
                <w:rFonts w:ascii="Times New Roman" w:cs="Times New Roman" w:eastAsia="Times New Roman" w:hAnsi="Times New Roman"/>
                <w:sz w:val="11"/>
                <w:szCs w:val="11"/>
                <w:color w:val="auto"/>
                <w:w w:val="99"/>
              </w:rPr>
              <w:t>07/14/2025</w:t>
            </w:r>
          </w:p>
        </w:tc>
        <w:tc>
          <w:tcPr>
            <w:tcW w:w="140" w:type="dxa"/>
            <w:vAlign w:val="bottom"/>
          </w:tcPr>
          <w:p>
            <w:pPr>
              <w:spacing w:after="0"/>
              <w:rPr>
                <w:sz w:val="8"/>
                <w:szCs w:val="8"/>
                <w:color w:val="auto"/>
              </w:rPr>
            </w:pPr>
          </w:p>
        </w:tc>
        <w:tc>
          <w:tcPr>
            <w:tcW w:w="2600" w:type="dxa"/>
            <w:vAlign w:val="bottom"/>
          </w:tcPr>
          <w:p>
            <w:pPr>
              <w:jc w:val="center"/>
              <w:spacing w:after="0" w:line="103" w:lineRule="exact"/>
              <w:rPr>
                <w:sz w:val="20"/>
                <w:szCs w:val="20"/>
                <w:color w:val="auto"/>
              </w:rPr>
            </w:pPr>
            <w:r>
              <w:rPr>
                <w:rFonts w:ascii="Times New Roman" w:cs="Times New Roman" w:eastAsia="Times New Roman" w:hAnsi="Times New Roman"/>
                <w:sz w:val="11"/>
                <w:szCs w:val="11"/>
                <w:color w:val="auto"/>
                <w:w w:val="97"/>
              </w:rPr>
              <w:t>Professional Services</w:t>
            </w:r>
          </w:p>
        </w:tc>
        <w:tc>
          <w:tcPr>
            <w:tcW w:w="1360" w:type="dxa"/>
            <w:vAlign w:val="bottom"/>
            <w:gridSpan w:val="3"/>
          </w:tcPr>
          <w:p>
            <w:pPr>
              <w:jc w:val="right"/>
              <w:ind w:right="86"/>
              <w:spacing w:after="0" w:line="103" w:lineRule="exact"/>
              <w:rPr>
                <w:sz w:val="20"/>
                <w:szCs w:val="20"/>
                <w:color w:val="auto"/>
              </w:rPr>
            </w:pPr>
            <w:r>
              <w:rPr>
                <w:rFonts w:ascii="Times New Roman" w:cs="Times New Roman" w:eastAsia="Times New Roman" w:hAnsi="Times New Roman"/>
                <w:sz w:val="11"/>
                <w:szCs w:val="11"/>
                <w:color w:val="auto"/>
              </w:rPr>
              <w:t>8.00 %</w:t>
            </w:r>
          </w:p>
        </w:tc>
        <w:tc>
          <w:tcPr>
            <w:tcW w:w="800" w:type="dxa"/>
            <w:vAlign w:val="bottom"/>
          </w:tcPr>
          <w:p>
            <w:pPr>
              <w:jc w:val="right"/>
              <w:spacing w:after="0" w:line="103" w:lineRule="exact"/>
              <w:rPr>
                <w:sz w:val="20"/>
                <w:szCs w:val="20"/>
                <w:color w:val="auto"/>
              </w:rPr>
            </w:pPr>
            <w:r>
              <w:rPr>
                <w:rFonts w:ascii="Times New Roman" w:cs="Times New Roman" w:eastAsia="Times New Roman" w:hAnsi="Times New Roman"/>
                <w:sz w:val="11"/>
                <w:szCs w:val="11"/>
                <w:color w:val="auto"/>
              </w:rPr>
              <w:t>1M L+700</w:t>
            </w:r>
          </w:p>
        </w:tc>
        <w:tc>
          <w:tcPr>
            <w:tcW w:w="980" w:type="dxa"/>
            <w:vAlign w:val="bottom"/>
            <w:gridSpan w:val="2"/>
          </w:tcPr>
          <w:p>
            <w:pPr>
              <w:jc w:val="right"/>
              <w:spacing w:after="0" w:line="103" w:lineRule="exact"/>
              <w:rPr>
                <w:sz w:val="20"/>
                <w:szCs w:val="20"/>
                <w:color w:val="auto"/>
              </w:rPr>
            </w:pPr>
            <w:r>
              <w:rPr>
                <w:rFonts w:ascii="Times New Roman" w:cs="Times New Roman" w:eastAsia="Times New Roman" w:hAnsi="Times New Roman"/>
                <w:sz w:val="11"/>
                <w:szCs w:val="11"/>
                <w:color w:val="auto"/>
              </w:rPr>
              <w:t>1,181</w:t>
            </w: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jc w:val="right"/>
              <w:spacing w:after="0" w:line="103" w:lineRule="exact"/>
              <w:rPr>
                <w:sz w:val="20"/>
                <w:szCs w:val="20"/>
                <w:color w:val="auto"/>
              </w:rPr>
            </w:pPr>
            <w:r>
              <w:rPr>
                <w:rFonts w:ascii="Times New Roman" w:cs="Times New Roman" w:eastAsia="Times New Roman" w:hAnsi="Times New Roman"/>
                <w:sz w:val="11"/>
                <w:szCs w:val="11"/>
                <w:color w:val="auto"/>
              </w:rPr>
              <w:t>1,181</w:t>
            </w: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jc w:val="right"/>
              <w:spacing w:after="0" w:line="103" w:lineRule="exact"/>
              <w:rPr>
                <w:sz w:val="20"/>
                <w:szCs w:val="20"/>
                <w:color w:val="auto"/>
              </w:rPr>
            </w:pPr>
            <w:r>
              <w:rPr>
                <w:rFonts w:ascii="Times New Roman" w:cs="Times New Roman" w:eastAsia="Times New Roman" w:hAnsi="Times New Roman"/>
                <w:sz w:val="11"/>
                <w:szCs w:val="11"/>
                <w:color w:val="auto"/>
              </w:rPr>
              <w:t>1,128</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3"/>
        </w:trPr>
        <w:tc>
          <w:tcPr>
            <w:tcW w:w="2400" w:type="dxa"/>
            <w:vAlign w:val="bottom"/>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Schlesinger Global, Inc. (Revolver) </w:t>
            </w:r>
            <w:r>
              <w:rPr>
                <w:rFonts w:ascii="Times New Roman" w:cs="Times New Roman" w:eastAsia="Times New Roman" w:hAnsi="Times New Roman"/>
                <w:sz w:val="14"/>
                <w:szCs w:val="14"/>
                <w:color w:val="auto"/>
                <w:vertAlign w:val="superscript"/>
              </w:rPr>
              <w:t>(7), (9)</w:t>
            </w:r>
          </w:p>
        </w:tc>
        <w:tc>
          <w:tcPr>
            <w:tcW w:w="88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9"/>
              </w:rPr>
              <w:t>07/14/2025</w:t>
            </w:r>
          </w:p>
        </w:tc>
        <w:tc>
          <w:tcPr>
            <w:tcW w:w="140" w:type="dxa"/>
            <w:vAlign w:val="bottom"/>
          </w:tcPr>
          <w:p>
            <w:pPr>
              <w:spacing w:after="0"/>
              <w:rPr>
                <w:sz w:val="13"/>
                <w:szCs w:val="13"/>
                <w:color w:val="auto"/>
              </w:rPr>
            </w:pPr>
          </w:p>
        </w:tc>
        <w:tc>
          <w:tcPr>
            <w:tcW w:w="26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Professional Services</w:t>
            </w:r>
          </w:p>
        </w:tc>
        <w:tc>
          <w:tcPr>
            <w:tcW w:w="120" w:type="dxa"/>
            <w:vAlign w:val="bottom"/>
          </w:tcPr>
          <w:p>
            <w:pPr>
              <w:spacing w:after="0"/>
              <w:rPr>
                <w:sz w:val="13"/>
                <w:szCs w:val="13"/>
                <w:color w:val="auto"/>
              </w:rPr>
            </w:pPr>
          </w:p>
        </w:tc>
        <w:tc>
          <w:tcPr>
            <w:tcW w:w="1240" w:type="dxa"/>
            <w:vAlign w:val="bottom"/>
            <w:gridSpan w:val="2"/>
          </w:tcPr>
          <w:p>
            <w:pPr>
              <w:jc w:val="right"/>
              <w:ind w:right="206"/>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691</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(31 )</w:t>
            </w:r>
          </w:p>
        </w:tc>
        <w:tc>
          <w:tcPr>
            <w:tcW w:w="0" w:type="dxa"/>
            <w:vAlign w:val="bottom"/>
          </w:tcPr>
          <w:p>
            <w:pPr>
              <w:spacing w:after="0"/>
              <w:rPr>
                <w:sz w:val="1"/>
                <w:szCs w:val="1"/>
                <w:color w:val="auto"/>
              </w:rPr>
            </w:pPr>
          </w:p>
        </w:tc>
      </w:tr>
      <w:tr>
        <w:trPr>
          <w:trHeight w:val="117"/>
        </w:trPr>
        <w:tc>
          <w:tcPr>
            <w:tcW w:w="2400" w:type="dxa"/>
            <w:vAlign w:val="bottom"/>
          </w:tcPr>
          <w:p>
            <w:pPr>
              <w:ind w:left="20"/>
              <w:spacing w:after="0" w:line="117" w:lineRule="exact"/>
              <w:rPr>
                <w:sz w:val="20"/>
                <w:szCs w:val="20"/>
                <w:color w:val="auto"/>
              </w:rPr>
            </w:pPr>
            <w:r>
              <w:rPr>
                <w:rFonts w:ascii="Times New Roman" w:cs="Times New Roman" w:eastAsia="Times New Roman" w:hAnsi="Times New Roman"/>
                <w:sz w:val="11"/>
                <w:szCs w:val="11"/>
                <w:color w:val="auto"/>
              </w:rPr>
              <w:t>Sigma Defense Systems, LLC</w:t>
            </w:r>
          </w:p>
        </w:tc>
        <w:tc>
          <w:tcPr>
            <w:tcW w:w="880" w:type="dxa"/>
            <w:vAlign w:val="bottom"/>
            <w:gridSpan w:val="2"/>
          </w:tcPr>
          <w:p>
            <w:pPr>
              <w:jc w:val="center"/>
              <w:ind w:left="86"/>
              <w:spacing w:after="0" w:line="117" w:lineRule="exact"/>
              <w:rPr>
                <w:sz w:val="20"/>
                <w:szCs w:val="20"/>
                <w:color w:val="auto"/>
              </w:rPr>
            </w:pPr>
            <w:r>
              <w:rPr>
                <w:rFonts w:ascii="Times New Roman" w:cs="Times New Roman" w:eastAsia="Times New Roman" w:hAnsi="Times New Roman"/>
                <w:sz w:val="11"/>
                <w:szCs w:val="11"/>
                <w:color w:val="auto"/>
                <w:w w:val="99"/>
              </w:rPr>
              <w:t>12/18/2025</w:t>
            </w:r>
          </w:p>
        </w:tc>
        <w:tc>
          <w:tcPr>
            <w:tcW w:w="140" w:type="dxa"/>
            <w:vAlign w:val="bottom"/>
          </w:tcPr>
          <w:p>
            <w:pPr>
              <w:spacing w:after="0"/>
              <w:rPr>
                <w:sz w:val="10"/>
                <w:szCs w:val="10"/>
                <w:color w:val="auto"/>
              </w:rPr>
            </w:pPr>
          </w:p>
        </w:tc>
        <w:tc>
          <w:tcPr>
            <w:tcW w:w="260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color w:val="auto"/>
                <w:w w:val="95"/>
              </w:rPr>
              <w:t>IT Services</w:t>
            </w:r>
          </w:p>
        </w:tc>
        <w:tc>
          <w:tcPr>
            <w:tcW w:w="1360" w:type="dxa"/>
            <w:vAlign w:val="bottom"/>
            <w:gridSpan w:val="3"/>
          </w:tcPr>
          <w:p>
            <w:pPr>
              <w:jc w:val="right"/>
              <w:ind w:right="86"/>
              <w:spacing w:after="0" w:line="117" w:lineRule="exact"/>
              <w:rPr>
                <w:sz w:val="20"/>
                <w:szCs w:val="20"/>
                <w:color w:val="auto"/>
              </w:rPr>
            </w:pPr>
            <w:r>
              <w:rPr>
                <w:rFonts w:ascii="Times New Roman" w:cs="Times New Roman" w:eastAsia="Times New Roman" w:hAnsi="Times New Roman"/>
                <w:sz w:val="11"/>
                <w:szCs w:val="11"/>
                <w:color w:val="auto"/>
              </w:rPr>
              <w:t>9.75 %</w:t>
            </w:r>
          </w:p>
        </w:tc>
        <w:tc>
          <w:tcPr>
            <w:tcW w:w="80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3M L+875</w:t>
            </w:r>
          </w:p>
        </w:tc>
        <w:tc>
          <w:tcPr>
            <w:tcW w:w="98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1"/>
                <w:szCs w:val="11"/>
                <w:color w:val="auto"/>
              </w:rPr>
              <w:t>805</w:t>
            </w: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787</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791</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400" w:type="dxa"/>
            <w:vAlign w:val="bottom"/>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Sigma Defense Systems, LLC (Revolver) </w:t>
            </w:r>
            <w:r>
              <w:rPr>
                <w:rFonts w:ascii="Times New Roman" w:cs="Times New Roman" w:eastAsia="Times New Roman" w:hAnsi="Times New Roman"/>
                <w:sz w:val="14"/>
                <w:szCs w:val="14"/>
                <w:color w:val="auto"/>
                <w:vertAlign w:val="superscript"/>
              </w:rPr>
              <w:t>(7), (9)</w:t>
            </w:r>
          </w:p>
        </w:tc>
        <w:tc>
          <w:tcPr>
            <w:tcW w:w="88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9"/>
              </w:rPr>
              <w:t>12/18/2025</w:t>
            </w:r>
          </w:p>
        </w:tc>
        <w:tc>
          <w:tcPr>
            <w:tcW w:w="140" w:type="dxa"/>
            <w:vAlign w:val="bottom"/>
          </w:tcPr>
          <w:p>
            <w:pPr>
              <w:spacing w:after="0"/>
              <w:rPr>
                <w:sz w:val="13"/>
                <w:szCs w:val="13"/>
                <w:color w:val="auto"/>
              </w:rPr>
            </w:pPr>
          </w:p>
        </w:tc>
        <w:tc>
          <w:tcPr>
            <w:tcW w:w="26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5"/>
              </w:rPr>
              <w:t>IT Services</w:t>
            </w:r>
          </w:p>
        </w:tc>
        <w:tc>
          <w:tcPr>
            <w:tcW w:w="120" w:type="dxa"/>
            <w:vAlign w:val="bottom"/>
          </w:tcPr>
          <w:p>
            <w:pPr>
              <w:spacing w:after="0"/>
              <w:rPr>
                <w:sz w:val="13"/>
                <w:szCs w:val="13"/>
                <w:color w:val="auto"/>
              </w:rPr>
            </w:pPr>
          </w:p>
        </w:tc>
        <w:tc>
          <w:tcPr>
            <w:tcW w:w="1240" w:type="dxa"/>
            <w:vAlign w:val="bottom"/>
            <w:gridSpan w:val="2"/>
          </w:tcPr>
          <w:p>
            <w:pPr>
              <w:jc w:val="right"/>
              <w:ind w:right="206"/>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837</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(15 )</w:t>
            </w:r>
          </w:p>
        </w:tc>
        <w:tc>
          <w:tcPr>
            <w:tcW w:w="0" w:type="dxa"/>
            <w:vAlign w:val="bottom"/>
          </w:tcPr>
          <w:p>
            <w:pPr>
              <w:spacing w:after="0"/>
              <w:rPr>
                <w:sz w:val="1"/>
                <w:szCs w:val="1"/>
                <w:color w:val="auto"/>
              </w:rPr>
            </w:pPr>
          </w:p>
        </w:tc>
      </w:tr>
      <w:tr>
        <w:trPr>
          <w:trHeight w:val="117"/>
        </w:trPr>
        <w:tc>
          <w:tcPr>
            <w:tcW w:w="2400" w:type="dxa"/>
            <w:vAlign w:val="bottom"/>
          </w:tcPr>
          <w:p>
            <w:pPr>
              <w:ind w:left="20"/>
              <w:spacing w:after="0" w:line="117" w:lineRule="exact"/>
              <w:rPr>
                <w:sz w:val="20"/>
                <w:szCs w:val="20"/>
                <w:color w:val="auto"/>
              </w:rPr>
            </w:pPr>
            <w:r>
              <w:rPr>
                <w:rFonts w:ascii="Times New Roman" w:cs="Times New Roman" w:eastAsia="Times New Roman" w:hAnsi="Times New Roman"/>
                <w:sz w:val="11"/>
                <w:szCs w:val="11"/>
                <w:color w:val="auto"/>
              </w:rPr>
              <w:t>Signature Systems Holding Company</w:t>
            </w:r>
          </w:p>
        </w:tc>
        <w:tc>
          <w:tcPr>
            <w:tcW w:w="880" w:type="dxa"/>
            <w:vAlign w:val="bottom"/>
            <w:gridSpan w:val="2"/>
          </w:tcPr>
          <w:p>
            <w:pPr>
              <w:jc w:val="center"/>
              <w:ind w:left="86"/>
              <w:spacing w:after="0" w:line="117" w:lineRule="exact"/>
              <w:rPr>
                <w:sz w:val="20"/>
                <w:szCs w:val="20"/>
                <w:color w:val="auto"/>
              </w:rPr>
            </w:pPr>
            <w:r>
              <w:rPr>
                <w:rFonts w:ascii="Times New Roman" w:cs="Times New Roman" w:eastAsia="Times New Roman" w:hAnsi="Times New Roman"/>
                <w:sz w:val="11"/>
                <w:szCs w:val="11"/>
                <w:color w:val="auto"/>
                <w:w w:val="99"/>
              </w:rPr>
              <w:t>05/03/2024</w:t>
            </w:r>
          </w:p>
        </w:tc>
        <w:tc>
          <w:tcPr>
            <w:tcW w:w="140" w:type="dxa"/>
            <w:vAlign w:val="bottom"/>
          </w:tcPr>
          <w:p>
            <w:pPr>
              <w:spacing w:after="0"/>
              <w:rPr>
                <w:sz w:val="10"/>
                <w:szCs w:val="10"/>
                <w:color w:val="auto"/>
              </w:rPr>
            </w:pPr>
          </w:p>
        </w:tc>
        <w:tc>
          <w:tcPr>
            <w:tcW w:w="260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color w:val="auto"/>
                <w:w w:val="98"/>
              </w:rPr>
              <w:t>Commercial Services &amp; Supplies</w:t>
            </w:r>
          </w:p>
        </w:tc>
        <w:tc>
          <w:tcPr>
            <w:tcW w:w="1360" w:type="dxa"/>
            <w:vAlign w:val="bottom"/>
            <w:gridSpan w:val="3"/>
          </w:tcPr>
          <w:p>
            <w:pPr>
              <w:jc w:val="right"/>
              <w:ind w:right="86"/>
              <w:spacing w:after="0" w:line="117" w:lineRule="exact"/>
              <w:rPr>
                <w:sz w:val="20"/>
                <w:szCs w:val="20"/>
                <w:color w:val="auto"/>
              </w:rPr>
            </w:pPr>
            <w:r>
              <w:rPr>
                <w:rFonts w:ascii="Times New Roman" w:cs="Times New Roman" w:eastAsia="Times New Roman" w:hAnsi="Times New Roman"/>
                <w:sz w:val="11"/>
                <w:szCs w:val="11"/>
                <w:color w:val="auto"/>
              </w:rPr>
              <w:t>8.50 %</w:t>
            </w:r>
          </w:p>
        </w:tc>
        <w:tc>
          <w:tcPr>
            <w:tcW w:w="80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1M L+750</w:t>
            </w:r>
          </w:p>
        </w:tc>
        <w:tc>
          <w:tcPr>
            <w:tcW w:w="98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1"/>
                <w:szCs w:val="11"/>
                <w:color w:val="auto"/>
              </w:rPr>
              <w:t>11,700</w:t>
            </w: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11,598</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11,583</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40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Signature Systems Holding Company (Revolver) </w:t>
            </w:r>
            <w:r>
              <w:rPr>
                <w:rFonts w:ascii="Times New Roman" w:cs="Times New Roman" w:eastAsia="Times New Roman" w:hAnsi="Times New Roman"/>
                <w:sz w:val="14"/>
                <w:szCs w:val="14"/>
                <w:color w:val="auto"/>
                <w:vertAlign w:val="superscript"/>
              </w:rPr>
              <w:t>(7)</w:t>
            </w:r>
          </w:p>
        </w:tc>
        <w:tc>
          <w:tcPr>
            <w:tcW w:w="88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9"/>
              </w:rPr>
              <w:t>05/03/2024</w:t>
            </w:r>
          </w:p>
        </w:tc>
        <w:tc>
          <w:tcPr>
            <w:tcW w:w="140" w:type="dxa"/>
            <w:vAlign w:val="bottom"/>
          </w:tcPr>
          <w:p>
            <w:pPr>
              <w:spacing w:after="0"/>
              <w:rPr>
                <w:sz w:val="11"/>
                <w:szCs w:val="11"/>
                <w:color w:val="auto"/>
              </w:rPr>
            </w:pPr>
          </w:p>
        </w:tc>
        <w:tc>
          <w:tcPr>
            <w:tcW w:w="26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Commercial Services &amp; Supplies</w:t>
            </w:r>
          </w:p>
        </w:tc>
        <w:tc>
          <w:tcPr>
            <w:tcW w:w="1360" w:type="dxa"/>
            <w:vAlign w:val="bottom"/>
            <w:gridSpan w:val="3"/>
          </w:tcPr>
          <w:p>
            <w:pPr>
              <w:jc w:val="right"/>
              <w:ind w:right="86"/>
              <w:spacing w:after="0"/>
              <w:rPr>
                <w:sz w:val="20"/>
                <w:szCs w:val="20"/>
                <w:color w:val="auto"/>
              </w:rPr>
            </w:pPr>
            <w:r>
              <w:rPr>
                <w:rFonts w:ascii="Times New Roman" w:cs="Times New Roman" w:eastAsia="Times New Roman" w:hAnsi="Times New Roman"/>
                <w:sz w:val="11"/>
                <w:szCs w:val="11"/>
                <w:color w:val="auto"/>
              </w:rPr>
              <w:t>8.50 %</w:t>
            </w: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1M L+750</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419</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419</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415</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4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 xml:space="preserve">Signature Systems Holding Company (Revolver) </w:t>
            </w:r>
            <w:r>
              <w:rPr>
                <w:rFonts w:ascii="Times New Roman" w:cs="Times New Roman" w:eastAsia="Times New Roman" w:hAnsi="Times New Roman"/>
                <w:sz w:val="14"/>
                <w:szCs w:val="14"/>
                <w:color w:val="auto"/>
                <w:vertAlign w:val="superscript"/>
              </w:rPr>
              <w:t>(9)</w:t>
            </w:r>
          </w:p>
        </w:tc>
        <w:tc>
          <w:tcPr>
            <w:tcW w:w="88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9"/>
              </w:rPr>
              <w:t>05/03/2024</w:t>
            </w:r>
          </w:p>
        </w:tc>
        <w:tc>
          <w:tcPr>
            <w:tcW w:w="140" w:type="dxa"/>
            <w:vAlign w:val="bottom"/>
          </w:tcPr>
          <w:p>
            <w:pPr>
              <w:spacing w:after="0"/>
              <w:rPr>
                <w:sz w:val="14"/>
                <w:szCs w:val="14"/>
                <w:color w:val="auto"/>
              </w:rPr>
            </w:pPr>
          </w:p>
        </w:tc>
        <w:tc>
          <w:tcPr>
            <w:tcW w:w="26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Commercial Services &amp; Supplies</w:t>
            </w:r>
          </w:p>
        </w:tc>
        <w:tc>
          <w:tcPr>
            <w:tcW w:w="120" w:type="dxa"/>
            <w:vAlign w:val="bottom"/>
          </w:tcPr>
          <w:p>
            <w:pPr>
              <w:spacing w:after="0"/>
              <w:rPr>
                <w:sz w:val="14"/>
                <w:szCs w:val="14"/>
                <w:color w:val="auto"/>
              </w:rPr>
            </w:pPr>
          </w:p>
        </w:tc>
        <w:tc>
          <w:tcPr>
            <w:tcW w:w="1240" w:type="dxa"/>
            <w:vAlign w:val="bottom"/>
            <w:gridSpan w:val="2"/>
          </w:tcPr>
          <w:p>
            <w:pPr>
              <w:jc w:val="right"/>
              <w:ind w:right="206"/>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1,328</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(13 )</w:t>
            </w:r>
          </w:p>
        </w:tc>
        <w:tc>
          <w:tcPr>
            <w:tcW w:w="0" w:type="dxa"/>
            <w:vAlign w:val="bottom"/>
          </w:tcPr>
          <w:p>
            <w:pPr>
              <w:spacing w:after="0"/>
              <w:rPr>
                <w:sz w:val="1"/>
                <w:szCs w:val="1"/>
                <w:color w:val="auto"/>
              </w:rPr>
            </w:pPr>
          </w:p>
        </w:tc>
      </w:tr>
      <w:tr>
        <w:trPr>
          <w:trHeight w:val="135"/>
        </w:trPr>
        <w:tc>
          <w:tcPr>
            <w:tcW w:w="24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Signature Systems Holding Company - Term Loan II</w:t>
            </w:r>
          </w:p>
        </w:tc>
        <w:tc>
          <w:tcPr>
            <w:tcW w:w="880" w:type="dxa"/>
            <w:vAlign w:val="bottom"/>
            <w:gridSpan w:val="2"/>
            <w:shd w:val="clear" w:color="auto" w:fill="CCECFF"/>
          </w:tcPr>
          <w:p>
            <w:pPr>
              <w:jc w:val="center"/>
              <w:ind w:left="86"/>
              <w:spacing w:after="0"/>
              <w:rPr>
                <w:sz w:val="20"/>
                <w:szCs w:val="20"/>
                <w:color w:val="auto"/>
              </w:rPr>
            </w:pPr>
            <w:r>
              <w:rPr>
                <w:rFonts w:ascii="Times New Roman" w:cs="Times New Roman" w:eastAsia="Times New Roman" w:hAnsi="Times New Roman"/>
                <w:sz w:val="11"/>
                <w:szCs w:val="11"/>
                <w:color w:val="auto"/>
                <w:w w:val="99"/>
              </w:rPr>
              <w:t>12/31/2021</w:t>
            </w:r>
          </w:p>
        </w:tc>
        <w:tc>
          <w:tcPr>
            <w:tcW w:w="140" w:type="dxa"/>
            <w:vAlign w:val="bottom"/>
            <w:shd w:val="clear" w:color="auto" w:fill="CCECFF"/>
          </w:tcPr>
          <w:p>
            <w:pPr>
              <w:spacing w:after="0"/>
              <w:rPr>
                <w:sz w:val="11"/>
                <w:szCs w:val="11"/>
                <w:color w:val="auto"/>
              </w:rPr>
            </w:pPr>
          </w:p>
        </w:tc>
        <w:tc>
          <w:tcPr>
            <w:tcW w:w="26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Commercial Services &amp; Supplies</w:t>
            </w:r>
          </w:p>
        </w:tc>
        <w:tc>
          <w:tcPr>
            <w:tcW w:w="1360" w:type="dxa"/>
            <w:vAlign w:val="bottom"/>
            <w:gridSpan w:val="3"/>
            <w:shd w:val="clear" w:color="auto" w:fill="CCECFF"/>
          </w:tcPr>
          <w:p>
            <w:pPr>
              <w:jc w:val="right"/>
              <w:ind w:right="86"/>
              <w:spacing w:after="0"/>
              <w:rPr>
                <w:sz w:val="20"/>
                <w:szCs w:val="20"/>
                <w:color w:val="auto"/>
              </w:rPr>
            </w:pPr>
            <w:r>
              <w:rPr>
                <w:rFonts w:ascii="Times New Roman" w:cs="Times New Roman" w:eastAsia="Times New Roman" w:hAnsi="Times New Roman"/>
                <w:sz w:val="11"/>
                <w:szCs w:val="11"/>
                <w:color w:val="auto"/>
              </w:rPr>
              <w:t>8.50 %</w:t>
            </w:r>
          </w:p>
        </w:tc>
        <w:tc>
          <w:tcPr>
            <w:tcW w:w="8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1M L+750</w:t>
            </w:r>
          </w:p>
        </w:tc>
        <w:tc>
          <w:tcPr>
            <w:tcW w:w="98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699</w:t>
            </w:r>
          </w:p>
        </w:tc>
        <w:tc>
          <w:tcPr>
            <w:tcW w:w="22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695</w:t>
            </w:r>
          </w:p>
        </w:tc>
        <w:tc>
          <w:tcPr>
            <w:tcW w:w="22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692</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534"/>
        </w:trPr>
        <w:tc>
          <w:tcPr>
            <w:tcW w:w="24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6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-7037070</wp:posOffset>
            </wp:positionV>
            <wp:extent cx="7132320" cy="8572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-6865620</wp:posOffset>
            </wp:positionV>
            <wp:extent cx="7132320" cy="8572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-6694170</wp:posOffset>
            </wp:positionV>
            <wp:extent cx="7132320" cy="8572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-6522720</wp:posOffset>
            </wp:positionV>
            <wp:extent cx="7132320" cy="8572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-6351270</wp:posOffset>
            </wp:positionV>
            <wp:extent cx="7132320" cy="8572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-6179820</wp:posOffset>
            </wp:positionV>
            <wp:extent cx="7132320" cy="8572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-6008370</wp:posOffset>
            </wp:positionV>
            <wp:extent cx="1517015" cy="17145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1517015"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-5665470</wp:posOffset>
            </wp:positionV>
            <wp:extent cx="7132320" cy="8572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-5494020</wp:posOffset>
            </wp:positionV>
            <wp:extent cx="7132320" cy="8572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-4979670</wp:posOffset>
            </wp:positionV>
            <wp:extent cx="7132320" cy="8572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-4808220</wp:posOffset>
            </wp:positionV>
            <wp:extent cx="7132320" cy="8572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-4636770</wp:posOffset>
            </wp:positionV>
            <wp:extent cx="7132320" cy="8572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-4465320</wp:posOffset>
            </wp:positionV>
            <wp:extent cx="7132320" cy="8572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-4293870</wp:posOffset>
            </wp:positionV>
            <wp:extent cx="7132320" cy="8572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-4122420</wp:posOffset>
            </wp:positionV>
            <wp:extent cx="7132320" cy="8572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-3950970</wp:posOffset>
            </wp:positionV>
            <wp:extent cx="7132320" cy="8572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-3779520</wp:posOffset>
            </wp:positionV>
            <wp:extent cx="7132320" cy="8572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-3608070</wp:posOffset>
            </wp:positionV>
            <wp:extent cx="7132320" cy="8572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-3436620</wp:posOffset>
            </wp:positionV>
            <wp:extent cx="7132320" cy="8572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-3265170</wp:posOffset>
            </wp:positionV>
            <wp:extent cx="7132320" cy="8572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-2836545</wp:posOffset>
            </wp:positionV>
            <wp:extent cx="7132320" cy="8572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-2665095</wp:posOffset>
            </wp:positionV>
            <wp:extent cx="7132320" cy="8572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-2493645</wp:posOffset>
            </wp:positionV>
            <wp:extent cx="7132320" cy="8572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-2322195</wp:posOffset>
            </wp:positionV>
            <wp:extent cx="7132320" cy="8572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-2150745</wp:posOffset>
            </wp:positionV>
            <wp:extent cx="7132320" cy="8572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-1807845</wp:posOffset>
            </wp:positionV>
            <wp:extent cx="7132320" cy="8572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-1464945</wp:posOffset>
            </wp:positionV>
            <wp:extent cx="7132320" cy="8572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-1293495</wp:posOffset>
            </wp:positionV>
            <wp:extent cx="7132320" cy="8572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-950595</wp:posOffset>
            </wp:positionV>
            <wp:extent cx="7132320" cy="8572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-779145</wp:posOffset>
            </wp:positionV>
            <wp:extent cx="7132320" cy="8572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-607695</wp:posOffset>
            </wp:positionV>
            <wp:extent cx="7132320" cy="8572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0" w:name="page21"/>
    <w:bookmarkEnd w:id="20"/>
    <w:p>
      <w:pPr>
        <w:jc w:val="center"/>
        <w:spacing w:after="0"/>
        <w:rPr>
          <w:sz w:val="20"/>
          <w:szCs w:val="20"/>
          <w:color w:val="auto"/>
        </w:rPr>
      </w:pPr>
      <w:r>
        <w:rPr>
          <w:rFonts w:ascii="Times New Roman" w:cs="Times New Roman" w:eastAsia="Times New Roman" w:hAnsi="Times New Roman"/>
          <w:sz w:val="14"/>
          <w:szCs w:val="14"/>
          <w:b w:val="1"/>
          <w:bCs w:val="1"/>
          <w:color w:val="auto"/>
        </w:rPr>
        <w:t>PENNANTPARK FLOATING RATE CAPITAL LTD. AND SUBSIDIARIES</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CONSOLIDATED SCHEDULE OF INVESTMENTS—(Continued)</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SEPTEMBER 30, 2021</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(in thousands, except share data)</w:t>
      </w:r>
    </w:p>
    <w:tbl>
      <w:tblPr>
        <w:tblLayout w:type="fixed"/>
        <w:tblInd w:w="0" w:type="dxa"/>
        <w:tblCellMar>
          <w:top w:w="0" w:type="dxa"/>
          <w:left w:w="0" w:type="dxa"/>
          <w:bottom w:w="0" w:type="dxa"/>
          <w:right w:w="0" w:type="dxa"/>
        </w:tblCellMar>
      </w:tblPr>
      <w:tr>
        <w:trPr>
          <w:trHeight w:val="102"/>
        </w:trPr>
        <w:tc>
          <w:tcPr>
            <w:tcW w:w="2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980" w:type="dxa"/>
            <w:vAlign w:val="bottom"/>
          </w:tcPr>
          <w:p>
            <w:pPr>
              <w:spacing w:after="0"/>
              <w:rPr>
                <w:sz w:val="8"/>
                <w:szCs w:val="8"/>
                <w:color w:val="auto"/>
              </w:rPr>
            </w:pPr>
          </w:p>
        </w:tc>
        <w:tc>
          <w:tcPr>
            <w:tcW w:w="240" w:type="dxa"/>
            <w:vAlign w:val="bottom"/>
          </w:tcPr>
          <w:p>
            <w:pPr>
              <w:spacing w:after="0"/>
              <w:rPr>
                <w:sz w:val="8"/>
                <w:szCs w:val="8"/>
                <w:color w:val="auto"/>
              </w:rPr>
            </w:pPr>
          </w:p>
        </w:tc>
        <w:tc>
          <w:tcPr>
            <w:tcW w:w="780" w:type="dxa"/>
            <w:vAlign w:val="bottom"/>
          </w:tcPr>
          <w:p>
            <w:pPr>
              <w:jc w:val="center"/>
              <w:spacing w:after="0" w:line="102" w:lineRule="exact"/>
              <w:rPr>
                <w:sz w:val="20"/>
                <w:szCs w:val="20"/>
                <w:color w:val="auto"/>
              </w:rPr>
            </w:pPr>
            <w:r>
              <w:rPr>
                <w:rFonts w:ascii="Times New Roman" w:cs="Times New Roman" w:eastAsia="Times New Roman" w:hAnsi="Times New Roman"/>
                <w:sz w:val="11"/>
                <w:szCs w:val="11"/>
                <w:b w:val="1"/>
                <w:bCs w:val="1"/>
                <w:color w:val="auto"/>
                <w:w w:val="99"/>
              </w:rPr>
              <w:t>Basis Point</w:t>
            </w: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9"/>
        </w:trPr>
        <w:tc>
          <w:tcPr>
            <w:tcW w:w="23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80" w:type="dxa"/>
            <w:vAlign w:val="bottom"/>
          </w:tcPr>
          <w:p>
            <w:pPr>
              <w:jc w:val="center"/>
              <w:spacing w:after="0" w:line="120" w:lineRule="exact"/>
              <w:rPr>
                <w:sz w:val="20"/>
                <w:szCs w:val="20"/>
                <w:color w:val="auto"/>
              </w:rPr>
            </w:pPr>
            <w:r>
              <w:rPr>
                <w:rFonts w:ascii="Times New Roman" w:cs="Times New Roman" w:eastAsia="Times New Roman" w:hAnsi="Times New Roman"/>
                <w:sz w:val="11"/>
                <w:szCs w:val="11"/>
                <w:b w:val="1"/>
                <w:bCs w:val="1"/>
                <w:color w:val="auto"/>
                <w:w w:val="95"/>
              </w:rPr>
              <w:t>Spread</w:t>
            </w:r>
          </w:p>
        </w:tc>
        <w:tc>
          <w:tcPr>
            <w:tcW w:w="2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0"/>
        </w:trPr>
        <w:tc>
          <w:tcPr>
            <w:tcW w:w="23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20" w:type="dxa"/>
            <w:vAlign w:val="bottom"/>
          </w:tcPr>
          <w:p>
            <w:pPr>
              <w:spacing w:after="0"/>
              <w:rPr>
                <w:sz w:val="9"/>
                <w:szCs w:val="9"/>
                <w:color w:val="auto"/>
              </w:rPr>
            </w:pPr>
          </w:p>
        </w:tc>
        <w:tc>
          <w:tcPr>
            <w:tcW w:w="280" w:type="dxa"/>
            <w:vAlign w:val="bottom"/>
          </w:tcPr>
          <w:p>
            <w:pPr>
              <w:spacing w:after="0"/>
              <w:rPr>
                <w:sz w:val="9"/>
                <w:szCs w:val="9"/>
                <w:color w:val="auto"/>
              </w:rPr>
            </w:pPr>
          </w:p>
        </w:tc>
        <w:tc>
          <w:tcPr>
            <w:tcW w:w="2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20" w:type="dxa"/>
            <w:vAlign w:val="bottom"/>
            <w:gridSpan w:val="2"/>
          </w:tcPr>
          <w:p>
            <w:pPr>
              <w:jc w:val="right"/>
              <w:ind w:right="486"/>
              <w:spacing w:after="0" w:line="111" w:lineRule="exact"/>
              <w:rPr>
                <w:sz w:val="20"/>
                <w:szCs w:val="20"/>
                <w:color w:val="auto"/>
              </w:rPr>
            </w:pPr>
            <w:r>
              <w:rPr>
                <w:rFonts w:ascii="Times New Roman" w:cs="Times New Roman" w:eastAsia="Times New Roman" w:hAnsi="Times New Roman"/>
                <w:sz w:val="11"/>
                <w:szCs w:val="11"/>
                <w:b w:val="1"/>
                <w:bCs w:val="1"/>
                <w:color w:val="auto"/>
              </w:rPr>
              <w:t>Current</w:t>
            </w:r>
          </w:p>
        </w:tc>
        <w:tc>
          <w:tcPr>
            <w:tcW w:w="780" w:type="dxa"/>
            <w:vAlign w:val="bottom"/>
          </w:tcPr>
          <w:p>
            <w:pPr>
              <w:jc w:val="center"/>
              <w:spacing w:after="0" w:line="111" w:lineRule="exact"/>
              <w:rPr>
                <w:sz w:val="20"/>
                <w:szCs w:val="20"/>
                <w:color w:val="auto"/>
              </w:rPr>
            </w:pPr>
            <w:r>
              <w:rPr>
                <w:rFonts w:ascii="Times New Roman" w:cs="Times New Roman" w:eastAsia="Times New Roman" w:hAnsi="Times New Roman"/>
                <w:sz w:val="11"/>
                <w:szCs w:val="11"/>
                <w:b w:val="1"/>
                <w:bCs w:val="1"/>
                <w:color w:val="auto"/>
              </w:rPr>
              <w:t>Above</w:t>
            </w:r>
          </w:p>
        </w:tc>
        <w:tc>
          <w:tcPr>
            <w:tcW w:w="220" w:type="dxa"/>
            <w:vAlign w:val="bottom"/>
          </w:tcPr>
          <w:p>
            <w:pPr>
              <w:spacing w:after="0"/>
              <w:rPr>
                <w:sz w:val="9"/>
                <w:szCs w:val="9"/>
                <w:color w:val="auto"/>
              </w:rPr>
            </w:pPr>
          </w:p>
        </w:tc>
        <w:tc>
          <w:tcPr>
            <w:tcW w:w="820" w:type="dxa"/>
            <w:vAlign w:val="bottom"/>
          </w:tcPr>
          <w:p>
            <w:pPr>
              <w:jc w:val="right"/>
              <w:ind w:right="246"/>
              <w:spacing w:after="0" w:line="111" w:lineRule="exact"/>
              <w:rPr>
                <w:sz w:val="20"/>
                <w:szCs w:val="20"/>
                <w:color w:val="auto"/>
              </w:rPr>
            </w:pPr>
            <w:r>
              <w:rPr>
                <w:rFonts w:ascii="Times New Roman" w:cs="Times New Roman" w:eastAsia="Times New Roman" w:hAnsi="Times New Roman"/>
                <w:sz w:val="11"/>
                <w:szCs w:val="11"/>
                <w:b w:val="1"/>
                <w:bCs w:val="1"/>
                <w:color w:val="auto"/>
              </w:rPr>
              <w:t>Par /</w:t>
            </w: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1"/>
                <w:szCs w:val="11"/>
                <w:b w:val="1"/>
                <w:bCs w:val="1"/>
                <w:color w:val="auto"/>
                <w:w w:val="90"/>
              </w:rPr>
              <w:t xml:space="preserve">Fair Value </w:t>
            </w:r>
            <w:r>
              <w:rPr>
                <w:rFonts w:ascii="Times New Roman" w:cs="Times New Roman" w:eastAsia="Times New Roman" w:hAnsi="Times New Roman"/>
                <w:sz w:val="14"/>
                <w:szCs w:val="14"/>
                <w:b w:val="1"/>
                <w:bCs w:val="1"/>
                <w:color w:val="auto"/>
                <w:w w:val="90"/>
                <w:vertAlign w:val="superscript"/>
              </w:rPr>
              <w:t>(2)</w:t>
            </w:r>
          </w:p>
        </w:tc>
        <w:tc>
          <w:tcPr>
            <w:tcW w:w="0" w:type="dxa"/>
            <w:vAlign w:val="bottom"/>
          </w:tcPr>
          <w:p>
            <w:pPr>
              <w:spacing w:after="0"/>
              <w:rPr>
                <w:sz w:val="1"/>
                <w:szCs w:val="1"/>
                <w:color w:val="auto"/>
              </w:rPr>
            </w:pPr>
          </w:p>
        </w:tc>
      </w:tr>
      <w:tr>
        <w:trPr>
          <w:trHeight w:val="162"/>
        </w:trPr>
        <w:tc>
          <w:tcPr>
            <w:tcW w:w="232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Issuer Name</w:t>
            </w:r>
          </w:p>
        </w:tc>
        <w:tc>
          <w:tcPr>
            <w:tcW w:w="14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Maturity</w:t>
            </w:r>
          </w:p>
        </w:tc>
        <w:tc>
          <w:tcPr>
            <w:tcW w:w="280" w:type="dxa"/>
            <w:vAlign w:val="bottom"/>
          </w:tcPr>
          <w:p>
            <w:pPr>
              <w:spacing w:after="0"/>
              <w:rPr>
                <w:sz w:val="14"/>
                <w:szCs w:val="14"/>
                <w:color w:val="auto"/>
              </w:rPr>
            </w:pPr>
          </w:p>
        </w:tc>
        <w:tc>
          <w:tcPr>
            <w:tcW w:w="25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Industry</w:t>
            </w:r>
          </w:p>
        </w:tc>
        <w:tc>
          <w:tcPr>
            <w:tcW w:w="120" w:type="dxa"/>
            <w:vAlign w:val="bottom"/>
          </w:tcPr>
          <w:p>
            <w:pPr>
              <w:spacing w:after="0"/>
              <w:rPr>
                <w:sz w:val="14"/>
                <w:szCs w:val="14"/>
                <w:color w:val="auto"/>
              </w:rPr>
            </w:pPr>
          </w:p>
        </w:tc>
        <w:tc>
          <w:tcPr>
            <w:tcW w:w="1220" w:type="dxa"/>
            <w:vAlign w:val="bottom"/>
            <w:gridSpan w:val="2"/>
          </w:tcPr>
          <w:p>
            <w:pPr>
              <w:jc w:val="right"/>
              <w:ind w:right="486"/>
              <w:spacing w:after="0"/>
              <w:rPr>
                <w:sz w:val="20"/>
                <w:szCs w:val="20"/>
                <w:color w:val="auto"/>
              </w:rPr>
            </w:pPr>
            <w:r>
              <w:rPr>
                <w:rFonts w:ascii="Times New Roman" w:cs="Times New Roman" w:eastAsia="Times New Roman" w:hAnsi="Times New Roman"/>
                <w:sz w:val="11"/>
                <w:szCs w:val="11"/>
                <w:b w:val="1"/>
                <w:bCs w:val="1"/>
                <w:color w:val="auto"/>
              </w:rPr>
              <w:t>Coupon</w:t>
            </w:r>
          </w:p>
        </w:tc>
        <w:tc>
          <w:tcPr>
            <w:tcW w:w="7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3"/>
              </w:rPr>
              <w:t xml:space="preserve">Index </w:t>
            </w:r>
            <w:r>
              <w:rPr>
                <w:rFonts w:ascii="Times New Roman" w:cs="Times New Roman" w:eastAsia="Times New Roman" w:hAnsi="Times New Roman"/>
                <w:sz w:val="14"/>
                <w:szCs w:val="14"/>
                <w:b w:val="1"/>
                <w:bCs w:val="1"/>
                <w:color w:val="auto"/>
                <w:w w:val="93"/>
                <w:vertAlign w:val="superscript"/>
              </w:rPr>
              <w:t>(1)</w:t>
            </w:r>
          </w:p>
        </w:tc>
        <w:tc>
          <w:tcPr>
            <w:tcW w:w="220" w:type="dxa"/>
            <w:vAlign w:val="bottom"/>
          </w:tcPr>
          <w:p>
            <w:pPr>
              <w:spacing w:after="0"/>
              <w:rPr>
                <w:sz w:val="14"/>
                <w:szCs w:val="14"/>
                <w:color w:val="auto"/>
              </w:rPr>
            </w:pPr>
          </w:p>
        </w:tc>
        <w:tc>
          <w:tcPr>
            <w:tcW w:w="820" w:type="dxa"/>
            <w:vAlign w:val="bottom"/>
          </w:tcPr>
          <w:p>
            <w:pPr>
              <w:jc w:val="right"/>
              <w:ind w:right="186"/>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jc w:val="right"/>
              <w:ind w:right="206"/>
              <w:spacing w:after="0"/>
              <w:rPr>
                <w:sz w:val="20"/>
                <w:szCs w:val="20"/>
                <w:color w:val="auto"/>
              </w:rPr>
            </w:pPr>
            <w:r>
              <w:rPr>
                <w:rFonts w:ascii="Times New Roman" w:cs="Times New Roman" w:eastAsia="Times New Roman" w:hAnsi="Times New Roman"/>
                <w:sz w:val="11"/>
                <w:szCs w:val="11"/>
                <w:b w:val="1"/>
                <w:bCs w:val="1"/>
                <w:color w:val="auto"/>
              </w:rPr>
              <w:t>Cost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97"/>
        </w:trPr>
        <w:tc>
          <w:tcPr>
            <w:tcW w:w="2320" w:type="dxa"/>
            <w:vAlign w:val="bottom"/>
            <w:tcBorders>
              <w:top w:val="single" w:sz="8" w:color="auto"/>
            </w:tcBorders>
          </w:tcPr>
          <w:p>
            <w:pPr>
              <w:ind w:left="20"/>
              <w:spacing w:after="0" w:line="97" w:lineRule="exact"/>
              <w:rPr>
                <w:sz w:val="20"/>
                <w:szCs w:val="20"/>
                <w:color w:val="auto"/>
              </w:rPr>
            </w:pPr>
            <w:r>
              <w:rPr>
                <w:rFonts w:ascii="Times New Roman" w:cs="Times New Roman" w:eastAsia="Times New Roman" w:hAnsi="Times New Roman"/>
                <w:sz w:val="11"/>
                <w:szCs w:val="11"/>
                <w:color w:val="auto"/>
              </w:rPr>
              <w:t>Smile Brands Inc.</w:t>
            </w:r>
          </w:p>
        </w:tc>
        <w:tc>
          <w:tcPr>
            <w:tcW w:w="140" w:type="dxa"/>
            <w:vAlign w:val="bottom"/>
          </w:tcPr>
          <w:p>
            <w:pPr>
              <w:spacing w:after="0"/>
              <w:rPr>
                <w:sz w:val="8"/>
                <w:szCs w:val="8"/>
                <w:color w:val="auto"/>
              </w:rPr>
            </w:pPr>
          </w:p>
        </w:tc>
        <w:tc>
          <w:tcPr>
            <w:tcW w:w="720" w:type="dxa"/>
            <w:vAlign w:val="bottom"/>
            <w:tcBorders>
              <w:top w:val="single" w:sz="8" w:color="auto"/>
            </w:tcBorders>
          </w:tcPr>
          <w:p>
            <w:pPr>
              <w:jc w:val="center"/>
              <w:spacing w:after="0" w:line="97" w:lineRule="exact"/>
              <w:rPr>
                <w:sz w:val="20"/>
                <w:szCs w:val="20"/>
                <w:color w:val="auto"/>
              </w:rPr>
            </w:pPr>
            <w:r>
              <w:rPr>
                <w:rFonts w:ascii="Times New Roman" w:cs="Times New Roman" w:eastAsia="Times New Roman" w:hAnsi="Times New Roman"/>
                <w:sz w:val="11"/>
                <w:szCs w:val="11"/>
                <w:color w:val="auto"/>
                <w:w w:val="95"/>
              </w:rPr>
              <w:t>10/14/2024</w:t>
            </w:r>
          </w:p>
        </w:tc>
        <w:tc>
          <w:tcPr>
            <w:tcW w:w="280" w:type="dxa"/>
            <w:vAlign w:val="bottom"/>
          </w:tcPr>
          <w:p>
            <w:pPr>
              <w:spacing w:after="0"/>
              <w:rPr>
                <w:sz w:val="8"/>
                <w:szCs w:val="8"/>
                <w:color w:val="auto"/>
              </w:rPr>
            </w:pPr>
          </w:p>
        </w:tc>
        <w:tc>
          <w:tcPr>
            <w:tcW w:w="2560" w:type="dxa"/>
            <w:vAlign w:val="bottom"/>
            <w:tcBorders>
              <w:top w:val="single" w:sz="8" w:color="auto"/>
            </w:tcBorders>
          </w:tcPr>
          <w:p>
            <w:pPr>
              <w:jc w:val="center"/>
              <w:spacing w:after="0" w:line="97" w:lineRule="exact"/>
              <w:rPr>
                <w:sz w:val="20"/>
                <w:szCs w:val="20"/>
                <w:color w:val="auto"/>
              </w:rPr>
            </w:pPr>
            <w:r>
              <w:rPr>
                <w:rFonts w:ascii="Times New Roman" w:cs="Times New Roman" w:eastAsia="Times New Roman" w:hAnsi="Times New Roman"/>
                <w:sz w:val="11"/>
                <w:szCs w:val="11"/>
                <w:color w:val="auto"/>
                <w:w w:val="97"/>
              </w:rPr>
              <w:t>Healthcare and Pharmaceuticals</w:t>
            </w:r>
          </w:p>
        </w:tc>
        <w:tc>
          <w:tcPr>
            <w:tcW w:w="120" w:type="dxa"/>
            <w:vAlign w:val="bottom"/>
          </w:tcPr>
          <w:p>
            <w:pPr>
              <w:spacing w:after="0"/>
              <w:rPr>
                <w:sz w:val="8"/>
                <w:szCs w:val="8"/>
                <w:color w:val="auto"/>
              </w:rPr>
            </w:pPr>
          </w:p>
        </w:tc>
        <w:tc>
          <w:tcPr>
            <w:tcW w:w="980" w:type="dxa"/>
            <w:vAlign w:val="bottom"/>
            <w:tcBorders>
              <w:top w:val="single" w:sz="8" w:color="auto"/>
            </w:tcBorders>
          </w:tcPr>
          <w:p>
            <w:pPr>
              <w:jc w:val="right"/>
              <w:spacing w:after="0" w:line="97" w:lineRule="exact"/>
              <w:rPr>
                <w:sz w:val="20"/>
                <w:szCs w:val="20"/>
                <w:color w:val="auto"/>
              </w:rPr>
            </w:pPr>
            <w:r>
              <w:rPr>
                <w:rFonts w:ascii="Times New Roman" w:cs="Times New Roman" w:eastAsia="Times New Roman" w:hAnsi="Times New Roman"/>
                <w:sz w:val="11"/>
                <w:szCs w:val="11"/>
                <w:color w:val="auto"/>
              </w:rPr>
              <w:t>5.27</w:t>
            </w:r>
          </w:p>
        </w:tc>
        <w:tc>
          <w:tcPr>
            <w:tcW w:w="240" w:type="dxa"/>
            <w:vAlign w:val="bottom"/>
          </w:tcPr>
          <w:p>
            <w:pPr>
              <w:jc w:val="right"/>
              <w:ind w:right="86"/>
              <w:spacing w:after="0" w:line="97" w:lineRule="exact"/>
              <w:rPr>
                <w:sz w:val="20"/>
                <w:szCs w:val="20"/>
                <w:color w:val="auto"/>
              </w:rPr>
            </w:pPr>
            <w:r>
              <w:rPr>
                <w:rFonts w:ascii="Times New Roman" w:cs="Times New Roman" w:eastAsia="Times New Roman" w:hAnsi="Times New Roman"/>
                <w:sz w:val="11"/>
                <w:szCs w:val="11"/>
                <w:color w:val="auto"/>
                <w:w w:val="86"/>
              </w:rPr>
              <w:t>%</w:t>
            </w:r>
          </w:p>
        </w:tc>
        <w:tc>
          <w:tcPr>
            <w:tcW w:w="780" w:type="dxa"/>
            <w:vAlign w:val="bottom"/>
            <w:tcBorders>
              <w:top w:val="single" w:sz="8" w:color="auto"/>
            </w:tcBorders>
          </w:tcPr>
          <w:p>
            <w:pPr>
              <w:jc w:val="right"/>
              <w:spacing w:after="0" w:line="97" w:lineRule="exact"/>
              <w:rPr>
                <w:sz w:val="20"/>
                <w:szCs w:val="20"/>
                <w:color w:val="auto"/>
              </w:rPr>
            </w:pPr>
            <w:r>
              <w:rPr>
                <w:rFonts w:ascii="Times New Roman" w:cs="Times New Roman" w:eastAsia="Times New Roman" w:hAnsi="Times New Roman"/>
                <w:sz w:val="11"/>
                <w:szCs w:val="11"/>
                <w:color w:val="auto"/>
              </w:rPr>
              <w:t>1M L+450</w:t>
            </w:r>
          </w:p>
        </w:tc>
        <w:tc>
          <w:tcPr>
            <w:tcW w:w="220" w:type="dxa"/>
            <w:vAlign w:val="bottom"/>
          </w:tcPr>
          <w:p>
            <w:pPr>
              <w:spacing w:after="0"/>
              <w:rPr>
                <w:sz w:val="8"/>
                <w:szCs w:val="8"/>
                <w:color w:val="auto"/>
              </w:rPr>
            </w:pPr>
          </w:p>
        </w:tc>
        <w:tc>
          <w:tcPr>
            <w:tcW w:w="820" w:type="dxa"/>
            <w:vAlign w:val="bottom"/>
            <w:tcBorders>
              <w:top w:val="single" w:sz="8" w:color="auto"/>
            </w:tcBorders>
          </w:tcPr>
          <w:p>
            <w:pPr>
              <w:jc w:val="right"/>
              <w:spacing w:after="0" w:line="97" w:lineRule="exact"/>
              <w:rPr>
                <w:sz w:val="20"/>
                <w:szCs w:val="20"/>
                <w:color w:val="auto"/>
              </w:rPr>
            </w:pPr>
            <w:r>
              <w:rPr>
                <w:rFonts w:ascii="Times New Roman" w:cs="Times New Roman" w:eastAsia="Times New Roman" w:hAnsi="Times New Roman"/>
                <w:sz w:val="11"/>
                <w:szCs w:val="11"/>
                <w:color w:val="auto"/>
              </w:rPr>
              <w:t>1,962</w:t>
            </w:r>
          </w:p>
        </w:tc>
        <w:tc>
          <w:tcPr>
            <w:tcW w:w="220" w:type="dxa"/>
            <w:vAlign w:val="bottom"/>
          </w:tcPr>
          <w:p>
            <w:pPr>
              <w:spacing w:after="0"/>
              <w:rPr>
                <w:sz w:val="8"/>
                <w:szCs w:val="8"/>
                <w:color w:val="auto"/>
              </w:rPr>
            </w:pPr>
          </w:p>
        </w:tc>
        <w:tc>
          <w:tcPr>
            <w:tcW w:w="160" w:type="dxa"/>
            <w:vAlign w:val="bottom"/>
            <w:tcBorders>
              <w:top w:val="single" w:sz="8" w:color="auto"/>
            </w:tcBorders>
          </w:tcPr>
          <w:p>
            <w:pPr>
              <w:jc w:val="right"/>
              <w:ind w:right="46"/>
              <w:spacing w:after="0" w:line="97" w:lineRule="exact"/>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top w:val="single" w:sz="8" w:color="auto"/>
            </w:tcBorders>
          </w:tcPr>
          <w:p>
            <w:pPr>
              <w:jc w:val="right"/>
              <w:spacing w:after="0" w:line="97" w:lineRule="exact"/>
              <w:rPr>
                <w:sz w:val="20"/>
                <w:szCs w:val="20"/>
                <w:color w:val="auto"/>
              </w:rPr>
            </w:pPr>
            <w:r>
              <w:rPr>
                <w:rFonts w:ascii="Times New Roman" w:cs="Times New Roman" w:eastAsia="Times New Roman" w:hAnsi="Times New Roman"/>
                <w:sz w:val="11"/>
                <w:szCs w:val="11"/>
                <w:color w:val="auto"/>
              </w:rPr>
              <w:t>1,962</w:t>
            </w:r>
          </w:p>
        </w:tc>
        <w:tc>
          <w:tcPr>
            <w:tcW w:w="220" w:type="dxa"/>
            <w:vAlign w:val="bottom"/>
          </w:tcPr>
          <w:p>
            <w:pPr>
              <w:spacing w:after="0"/>
              <w:rPr>
                <w:sz w:val="8"/>
                <w:szCs w:val="8"/>
                <w:color w:val="auto"/>
              </w:rPr>
            </w:pPr>
          </w:p>
        </w:tc>
        <w:tc>
          <w:tcPr>
            <w:tcW w:w="80" w:type="dxa"/>
            <w:vAlign w:val="bottom"/>
            <w:tcBorders>
              <w:top w:val="single" w:sz="8" w:color="auto"/>
            </w:tcBorders>
          </w:tcPr>
          <w:p>
            <w:pPr>
              <w:jc w:val="right"/>
              <w:spacing w:after="0" w:line="97" w:lineRule="exact"/>
              <w:rPr>
                <w:sz w:val="20"/>
                <w:szCs w:val="20"/>
                <w:color w:val="auto"/>
              </w:rPr>
            </w:pPr>
            <w:r>
              <w:rPr>
                <w:rFonts w:ascii="Times New Roman" w:cs="Times New Roman" w:eastAsia="Times New Roman" w:hAnsi="Times New Roman"/>
                <w:sz w:val="11"/>
                <w:szCs w:val="11"/>
                <w:color w:val="auto"/>
              </w:rPr>
              <w:t>$</w:t>
            </w:r>
          </w:p>
        </w:tc>
        <w:tc>
          <w:tcPr>
            <w:tcW w:w="700" w:type="dxa"/>
            <w:vAlign w:val="bottom"/>
            <w:tcBorders>
              <w:top w:val="single" w:sz="8" w:color="auto"/>
            </w:tcBorders>
          </w:tcPr>
          <w:p>
            <w:pPr>
              <w:jc w:val="right"/>
              <w:spacing w:after="0" w:line="97" w:lineRule="exact"/>
              <w:rPr>
                <w:sz w:val="20"/>
                <w:szCs w:val="20"/>
                <w:color w:val="auto"/>
              </w:rPr>
            </w:pPr>
            <w:r>
              <w:rPr>
                <w:rFonts w:ascii="Times New Roman" w:cs="Times New Roman" w:eastAsia="Times New Roman" w:hAnsi="Times New Roman"/>
                <w:sz w:val="11"/>
                <w:szCs w:val="11"/>
                <w:color w:val="auto"/>
              </w:rPr>
              <w:t>1,942</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232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Smile Brands Inc. (Revolver) </w:t>
            </w:r>
            <w:r>
              <w:rPr>
                <w:rFonts w:ascii="Times New Roman" w:cs="Times New Roman" w:eastAsia="Times New Roman" w:hAnsi="Times New Roman"/>
                <w:sz w:val="14"/>
                <w:szCs w:val="14"/>
                <w:color w:val="auto"/>
                <w:vertAlign w:val="superscript"/>
              </w:rPr>
              <w:t>(7), (9)</w:t>
            </w:r>
          </w:p>
        </w:tc>
        <w:tc>
          <w:tcPr>
            <w:tcW w:w="86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5"/>
              </w:rPr>
              <w:t>10/14/2024</w:t>
            </w:r>
          </w:p>
        </w:tc>
        <w:tc>
          <w:tcPr>
            <w:tcW w:w="280" w:type="dxa"/>
            <w:vAlign w:val="bottom"/>
          </w:tcPr>
          <w:p>
            <w:pPr>
              <w:spacing w:after="0"/>
              <w:rPr>
                <w:sz w:val="11"/>
                <w:szCs w:val="11"/>
                <w:color w:val="auto"/>
              </w:rPr>
            </w:pPr>
          </w:p>
        </w:tc>
        <w:tc>
          <w:tcPr>
            <w:tcW w:w="25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Healthcare and Pharmaceuticals</w:t>
            </w:r>
          </w:p>
        </w:tc>
        <w:tc>
          <w:tcPr>
            <w:tcW w:w="120" w:type="dxa"/>
            <w:vAlign w:val="bottom"/>
          </w:tcPr>
          <w:p>
            <w:pPr>
              <w:spacing w:after="0"/>
              <w:rPr>
                <w:sz w:val="11"/>
                <w:szCs w:val="11"/>
                <w:color w:val="auto"/>
              </w:rPr>
            </w:pPr>
          </w:p>
        </w:tc>
        <w:tc>
          <w:tcPr>
            <w:tcW w:w="1220" w:type="dxa"/>
            <w:vAlign w:val="bottom"/>
            <w:gridSpan w:val="2"/>
          </w:tcPr>
          <w:p>
            <w:pPr>
              <w:jc w:val="right"/>
              <w:ind w:right="206"/>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1,616</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(16 )</w:t>
            </w:r>
          </w:p>
        </w:tc>
        <w:tc>
          <w:tcPr>
            <w:tcW w:w="0" w:type="dxa"/>
            <w:vAlign w:val="bottom"/>
          </w:tcPr>
          <w:p>
            <w:pPr>
              <w:spacing w:after="0"/>
              <w:rPr>
                <w:sz w:val="1"/>
                <w:szCs w:val="1"/>
                <w:color w:val="auto"/>
              </w:rPr>
            </w:pPr>
          </w:p>
        </w:tc>
      </w:tr>
      <w:tr>
        <w:trPr>
          <w:trHeight w:val="135"/>
        </w:trPr>
        <w:tc>
          <w:tcPr>
            <w:tcW w:w="232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Snak Club, LLC (Revolver) </w:t>
            </w:r>
            <w:r>
              <w:rPr>
                <w:rFonts w:ascii="Times New Roman" w:cs="Times New Roman" w:eastAsia="Times New Roman" w:hAnsi="Times New Roman"/>
                <w:sz w:val="14"/>
                <w:szCs w:val="14"/>
                <w:color w:val="auto"/>
                <w:vertAlign w:val="superscript"/>
              </w:rPr>
              <w:t>(7)</w:t>
            </w:r>
          </w:p>
        </w:tc>
        <w:tc>
          <w:tcPr>
            <w:tcW w:w="86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5"/>
              </w:rPr>
              <w:t>07/19/2021</w:t>
            </w:r>
          </w:p>
        </w:tc>
        <w:tc>
          <w:tcPr>
            <w:tcW w:w="280" w:type="dxa"/>
            <w:vAlign w:val="bottom"/>
          </w:tcPr>
          <w:p>
            <w:pPr>
              <w:spacing w:after="0"/>
              <w:rPr>
                <w:sz w:val="11"/>
                <w:szCs w:val="11"/>
                <w:color w:val="auto"/>
              </w:rPr>
            </w:pPr>
          </w:p>
        </w:tc>
        <w:tc>
          <w:tcPr>
            <w:tcW w:w="25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Beverage, Food and Tobacco</w:t>
            </w:r>
          </w:p>
        </w:tc>
        <w:tc>
          <w:tcPr>
            <w:tcW w:w="1340" w:type="dxa"/>
            <w:vAlign w:val="bottom"/>
            <w:gridSpan w:val="3"/>
          </w:tcPr>
          <w:p>
            <w:pPr>
              <w:jc w:val="right"/>
              <w:ind w:right="86"/>
              <w:spacing w:after="0"/>
              <w:rPr>
                <w:sz w:val="20"/>
                <w:szCs w:val="20"/>
                <w:color w:val="auto"/>
              </w:rPr>
            </w:pPr>
            <w:r>
              <w:rPr>
                <w:rFonts w:ascii="Times New Roman" w:cs="Times New Roman" w:eastAsia="Times New Roman" w:hAnsi="Times New Roman"/>
                <w:sz w:val="11"/>
                <w:szCs w:val="11"/>
                <w:color w:val="auto"/>
              </w:rPr>
              <w:t>7.00 %</w:t>
            </w: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L+600</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67</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67</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67</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320" w:type="dxa"/>
            <w:vAlign w:val="bottom"/>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Snak Club, LLC (Revolver) </w:t>
            </w:r>
            <w:r>
              <w:rPr>
                <w:rFonts w:ascii="Times New Roman" w:cs="Times New Roman" w:eastAsia="Times New Roman" w:hAnsi="Times New Roman"/>
                <w:sz w:val="14"/>
                <w:szCs w:val="14"/>
                <w:color w:val="auto"/>
                <w:vertAlign w:val="superscript"/>
              </w:rPr>
              <w:t>(7), (9)</w:t>
            </w:r>
          </w:p>
        </w:tc>
        <w:tc>
          <w:tcPr>
            <w:tcW w:w="86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5"/>
              </w:rPr>
              <w:t>07/19/2021</w:t>
            </w:r>
          </w:p>
        </w:tc>
        <w:tc>
          <w:tcPr>
            <w:tcW w:w="280" w:type="dxa"/>
            <w:vAlign w:val="bottom"/>
          </w:tcPr>
          <w:p>
            <w:pPr>
              <w:spacing w:after="0"/>
              <w:rPr>
                <w:sz w:val="13"/>
                <w:szCs w:val="13"/>
                <w:color w:val="auto"/>
              </w:rPr>
            </w:pPr>
          </w:p>
        </w:tc>
        <w:tc>
          <w:tcPr>
            <w:tcW w:w="25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Beverage, Food and Tobacco</w:t>
            </w:r>
          </w:p>
        </w:tc>
        <w:tc>
          <w:tcPr>
            <w:tcW w:w="120" w:type="dxa"/>
            <w:vAlign w:val="bottom"/>
          </w:tcPr>
          <w:p>
            <w:pPr>
              <w:spacing w:after="0"/>
              <w:rPr>
                <w:sz w:val="13"/>
                <w:szCs w:val="13"/>
                <w:color w:val="auto"/>
              </w:rPr>
            </w:pPr>
          </w:p>
        </w:tc>
        <w:tc>
          <w:tcPr>
            <w:tcW w:w="1220" w:type="dxa"/>
            <w:vAlign w:val="bottom"/>
            <w:gridSpan w:val="2"/>
          </w:tcPr>
          <w:p>
            <w:pPr>
              <w:jc w:val="right"/>
              <w:ind w:right="206"/>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428</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17"/>
        </w:trPr>
        <w:tc>
          <w:tcPr>
            <w:tcW w:w="2320" w:type="dxa"/>
            <w:vAlign w:val="bottom"/>
          </w:tcPr>
          <w:p>
            <w:pPr>
              <w:ind w:left="20"/>
              <w:spacing w:after="0" w:line="117" w:lineRule="exact"/>
              <w:rPr>
                <w:sz w:val="20"/>
                <w:szCs w:val="20"/>
                <w:color w:val="auto"/>
              </w:rPr>
            </w:pPr>
            <w:r>
              <w:rPr>
                <w:rFonts w:ascii="Times New Roman" w:cs="Times New Roman" w:eastAsia="Times New Roman" w:hAnsi="Times New Roman"/>
                <w:sz w:val="11"/>
                <w:szCs w:val="11"/>
                <w:color w:val="auto"/>
              </w:rPr>
              <w:t>Solutionreach, Inc.</w:t>
            </w:r>
          </w:p>
        </w:tc>
        <w:tc>
          <w:tcPr>
            <w:tcW w:w="860" w:type="dxa"/>
            <w:vAlign w:val="bottom"/>
            <w:gridSpan w:val="2"/>
          </w:tcPr>
          <w:p>
            <w:pPr>
              <w:jc w:val="center"/>
              <w:ind w:left="86"/>
              <w:spacing w:after="0" w:line="117" w:lineRule="exact"/>
              <w:rPr>
                <w:sz w:val="20"/>
                <w:szCs w:val="20"/>
                <w:color w:val="auto"/>
              </w:rPr>
            </w:pPr>
            <w:r>
              <w:rPr>
                <w:rFonts w:ascii="Times New Roman" w:cs="Times New Roman" w:eastAsia="Times New Roman" w:hAnsi="Times New Roman"/>
                <w:sz w:val="11"/>
                <w:szCs w:val="11"/>
                <w:color w:val="auto"/>
                <w:w w:val="95"/>
              </w:rPr>
              <w:t>01/17/2024</w:t>
            </w:r>
          </w:p>
        </w:tc>
        <w:tc>
          <w:tcPr>
            <w:tcW w:w="280" w:type="dxa"/>
            <w:vAlign w:val="bottom"/>
          </w:tcPr>
          <w:p>
            <w:pPr>
              <w:spacing w:after="0"/>
              <w:rPr>
                <w:sz w:val="10"/>
                <w:szCs w:val="10"/>
                <w:color w:val="auto"/>
              </w:rPr>
            </w:pPr>
          </w:p>
        </w:tc>
        <w:tc>
          <w:tcPr>
            <w:tcW w:w="256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color w:val="auto"/>
                <w:w w:val="97"/>
              </w:rPr>
              <w:t>Healthcare Technology</w:t>
            </w:r>
          </w:p>
        </w:tc>
        <w:tc>
          <w:tcPr>
            <w:tcW w:w="1340" w:type="dxa"/>
            <w:vAlign w:val="bottom"/>
            <w:gridSpan w:val="3"/>
          </w:tcPr>
          <w:p>
            <w:pPr>
              <w:jc w:val="right"/>
              <w:ind w:right="86"/>
              <w:spacing w:after="0" w:line="117" w:lineRule="exact"/>
              <w:rPr>
                <w:sz w:val="20"/>
                <w:szCs w:val="20"/>
                <w:color w:val="auto"/>
              </w:rPr>
            </w:pPr>
            <w:r>
              <w:rPr>
                <w:rFonts w:ascii="Times New Roman" w:cs="Times New Roman" w:eastAsia="Times New Roman" w:hAnsi="Times New Roman"/>
                <w:sz w:val="11"/>
                <w:szCs w:val="11"/>
                <w:color w:val="auto"/>
              </w:rPr>
              <w:t>6.75 %</w:t>
            </w:r>
          </w:p>
        </w:tc>
        <w:tc>
          <w:tcPr>
            <w:tcW w:w="78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3M L+575</w:t>
            </w:r>
          </w:p>
        </w:tc>
        <w:tc>
          <w:tcPr>
            <w:tcW w:w="104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1"/>
                <w:szCs w:val="11"/>
                <w:color w:val="auto"/>
              </w:rPr>
              <w:t>5,989</w:t>
            </w: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5,928</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5,989</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320" w:type="dxa"/>
            <w:vAlign w:val="bottom"/>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Solutionreach, Inc. (Revolver) </w:t>
            </w:r>
            <w:r>
              <w:rPr>
                <w:rFonts w:ascii="Times New Roman" w:cs="Times New Roman" w:eastAsia="Times New Roman" w:hAnsi="Times New Roman"/>
                <w:sz w:val="14"/>
                <w:szCs w:val="14"/>
                <w:color w:val="auto"/>
                <w:vertAlign w:val="superscript"/>
              </w:rPr>
              <w:t>(7), (9)</w:t>
            </w:r>
          </w:p>
        </w:tc>
        <w:tc>
          <w:tcPr>
            <w:tcW w:w="86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5"/>
              </w:rPr>
              <w:t>01/17/2024</w:t>
            </w:r>
          </w:p>
        </w:tc>
        <w:tc>
          <w:tcPr>
            <w:tcW w:w="280" w:type="dxa"/>
            <w:vAlign w:val="bottom"/>
          </w:tcPr>
          <w:p>
            <w:pPr>
              <w:spacing w:after="0"/>
              <w:rPr>
                <w:sz w:val="13"/>
                <w:szCs w:val="13"/>
                <w:color w:val="auto"/>
              </w:rPr>
            </w:pPr>
          </w:p>
        </w:tc>
        <w:tc>
          <w:tcPr>
            <w:tcW w:w="25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Healthcare Technology</w:t>
            </w:r>
          </w:p>
        </w:tc>
        <w:tc>
          <w:tcPr>
            <w:tcW w:w="120" w:type="dxa"/>
            <w:vAlign w:val="bottom"/>
          </w:tcPr>
          <w:p>
            <w:pPr>
              <w:spacing w:after="0"/>
              <w:rPr>
                <w:sz w:val="13"/>
                <w:szCs w:val="13"/>
                <w:color w:val="auto"/>
              </w:rPr>
            </w:pPr>
          </w:p>
        </w:tc>
        <w:tc>
          <w:tcPr>
            <w:tcW w:w="1220" w:type="dxa"/>
            <w:vAlign w:val="bottom"/>
            <w:gridSpan w:val="2"/>
          </w:tcPr>
          <w:p>
            <w:pPr>
              <w:jc w:val="right"/>
              <w:ind w:right="206"/>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1,665</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17"/>
        </w:trPr>
        <w:tc>
          <w:tcPr>
            <w:tcW w:w="2320" w:type="dxa"/>
            <w:vAlign w:val="bottom"/>
          </w:tcPr>
          <w:p>
            <w:pPr>
              <w:ind w:left="20"/>
              <w:spacing w:after="0" w:line="117" w:lineRule="exact"/>
              <w:rPr>
                <w:sz w:val="20"/>
                <w:szCs w:val="20"/>
                <w:color w:val="auto"/>
              </w:rPr>
            </w:pPr>
            <w:r>
              <w:rPr>
                <w:rFonts w:ascii="Times New Roman" w:cs="Times New Roman" w:eastAsia="Times New Roman" w:hAnsi="Times New Roman"/>
                <w:sz w:val="11"/>
                <w:szCs w:val="11"/>
                <w:color w:val="auto"/>
              </w:rPr>
              <w:t>Spear Education, LLC</w:t>
            </w:r>
          </w:p>
        </w:tc>
        <w:tc>
          <w:tcPr>
            <w:tcW w:w="860" w:type="dxa"/>
            <w:vAlign w:val="bottom"/>
            <w:gridSpan w:val="2"/>
          </w:tcPr>
          <w:p>
            <w:pPr>
              <w:jc w:val="center"/>
              <w:ind w:left="86"/>
              <w:spacing w:after="0" w:line="117" w:lineRule="exact"/>
              <w:rPr>
                <w:sz w:val="20"/>
                <w:szCs w:val="20"/>
                <w:color w:val="auto"/>
              </w:rPr>
            </w:pPr>
            <w:r>
              <w:rPr>
                <w:rFonts w:ascii="Times New Roman" w:cs="Times New Roman" w:eastAsia="Times New Roman" w:hAnsi="Times New Roman"/>
                <w:sz w:val="11"/>
                <w:szCs w:val="11"/>
                <w:color w:val="auto"/>
                <w:w w:val="95"/>
              </w:rPr>
              <w:t>02/26/2025</w:t>
            </w:r>
          </w:p>
        </w:tc>
        <w:tc>
          <w:tcPr>
            <w:tcW w:w="280" w:type="dxa"/>
            <w:vAlign w:val="bottom"/>
          </w:tcPr>
          <w:p>
            <w:pPr>
              <w:spacing w:after="0"/>
              <w:rPr>
                <w:sz w:val="10"/>
                <w:szCs w:val="10"/>
                <w:color w:val="auto"/>
              </w:rPr>
            </w:pPr>
          </w:p>
        </w:tc>
        <w:tc>
          <w:tcPr>
            <w:tcW w:w="256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color w:val="auto"/>
                <w:w w:val="99"/>
              </w:rPr>
              <w:t>Professional Services</w:t>
            </w:r>
          </w:p>
        </w:tc>
        <w:tc>
          <w:tcPr>
            <w:tcW w:w="1340" w:type="dxa"/>
            <w:vAlign w:val="bottom"/>
            <w:gridSpan w:val="3"/>
          </w:tcPr>
          <w:p>
            <w:pPr>
              <w:jc w:val="right"/>
              <w:ind w:right="86"/>
              <w:spacing w:after="0" w:line="117" w:lineRule="exact"/>
              <w:rPr>
                <w:sz w:val="20"/>
                <w:szCs w:val="20"/>
                <w:color w:val="auto"/>
              </w:rPr>
            </w:pPr>
            <w:r>
              <w:rPr>
                <w:rFonts w:ascii="Times New Roman" w:cs="Times New Roman" w:eastAsia="Times New Roman" w:hAnsi="Times New Roman"/>
                <w:sz w:val="11"/>
                <w:szCs w:val="11"/>
                <w:color w:val="auto"/>
              </w:rPr>
              <w:t>6.00 %</w:t>
            </w:r>
          </w:p>
        </w:tc>
        <w:tc>
          <w:tcPr>
            <w:tcW w:w="78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3M L+500</w:t>
            </w:r>
          </w:p>
        </w:tc>
        <w:tc>
          <w:tcPr>
            <w:tcW w:w="104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1"/>
                <w:szCs w:val="11"/>
                <w:color w:val="auto"/>
              </w:rPr>
              <w:t>14,898</w:t>
            </w: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14,752</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14,898</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3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 xml:space="preserve">Spear Education, LLC </w:t>
            </w:r>
            <w:r>
              <w:rPr>
                <w:rFonts w:ascii="Times New Roman" w:cs="Times New Roman" w:eastAsia="Times New Roman" w:hAnsi="Times New Roman"/>
                <w:sz w:val="14"/>
                <w:szCs w:val="14"/>
                <w:color w:val="auto"/>
                <w:vertAlign w:val="superscript"/>
              </w:rPr>
              <w:t>(7), (9)</w:t>
            </w:r>
          </w:p>
        </w:tc>
        <w:tc>
          <w:tcPr>
            <w:tcW w:w="86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5"/>
              </w:rPr>
              <w:t>02/26/2022</w:t>
            </w:r>
          </w:p>
        </w:tc>
        <w:tc>
          <w:tcPr>
            <w:tcW w:w="280" w:type="dxa"/>
            <w:vAlign w:val="bottom"/>
          </w:tcPr>
          <w:p>
            <w:pPr>
              <w:spacing w:after="0"/>
              <w:rPr>
                <w:sz w:val="14"/>
                <w:szCs w:val="14"/>
                <w:color w:val="auto"/>
              </w:rPr>
            </w:pPr>
          </w:p>
        </w:tc>
        <w:tc>
          <w:tcPr>
            <w:tcW w:w="25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Professional Services</w:t>
            </w:r>
          </w:p>
        </w:tc>
        <w:tc>
          <w:tcPr>
            <w:tcW w:w="120" w:type="dxa"/>
            <w:vAlign w:val="bottom"/>
          </w:tcPr>
          <w:p>
            <w:pPr>
              <w:spacing w:after="0"/>
              <w:rPr>
                <w:sz w:val="14"/>
                <w:szCs w:val="14"/>
                <w:color w:val="auto"/>
              </w:rPr>
            </w:pPr>
          </w:p>
        </w:tc>
        <w:tc>
          <w:tcPr>
            <w:tcW w:w="1220" w:type="dxa"/>
            <w:vAlign w:val="bottom"/>
            <w:gridSpan w:val="2"/>
          </w:tcPr>
          <w:p>
            <w:pPr>
              <w:jc w:val="right"/>
              <w:ind w:right="206"/>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6,875</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35"/>
        </w:trPr>
        <w:tc>
          <w:tcPr>
            <w:tcW w:w="23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Spectacle Gary Holdings, LLC</w:t>
            </w:r>
          </w:p>
        </w:tc>
        <w:tc>
          <w:tcPr>
            <w:tcW w:w="860" w:type="dxa"/>
            <w:vAlign w:val="bottom"/>
            <w:gridSpan w:val="2"/>
            <w:shd w:val="clear" w:color="auto" w:fill="CCECFF"/>
          </w:tcPr>
          <w:p>
            <w:pPr>
              <w:jc w:val="center"/>
              <w:ind w:left="86"/>
              <w:spacing w:after="0"/>
              <w:rPr>
                <w:sz w:val="20"/>
                <w:szCs w:val="20"/>
                <w:color w:val="auto"/>
              </w:rPr>
            </w:pPr>
            <w:r>
              <w:rPr>
                <w:rFonts w:ascii="Times New Roman" w:cs="Times New Roman" w:eastAsia="Times New Roman" w:hAnsi="Times New Roman"/>
                <w:sz w:val="11"/>
                <w:szCs w:val="11"/>
                <w:color w:val="auto"/>
                <w:w w:val="95"/>
              </w:rPr>
              <w:t>12/23/2025</w:t>
            </w:r>
          </w:p>
        </w:tc>
        <w:tc>
          <w:tcPr>
            <w:tcW w:w="280" w:type="dxa"/>
            <w:vAlign w:val="bottom"/>
            <w:shd w:val="clear" w:color="auto" w:fill="CCECFF"/>
          </w:tcPr>
          <w:p>
            <w:pPr>
              <w:spacing w:after="0"/>
              <w:rPr>
                <w:sz w:val="11"/>
                <w:szCs w:val="11"/>
                <w:color w:val="auto"/>
              </w:rPr>
            </w:pPr>
          </w:p>
        </w:tc>
        <w:tc>
          <w:tcPr>
            <w:tcW w:w="25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Hotels, Restaurants and Leisure</w:t>
            </w:r>
          </w:p>
        </w:tc>
        <w:tc>
          <w:tcPr>
            <w:tcW w:w="1340" w:type="dxa"/>
            <w:vAlign w:val="bottom"/>
            <w:gridSpan w:val="3"/>
            <w:shd w:val="clear" w:color="auto" w:fill="CCECFF"/>
          </w:tcPr>
          <w:p>
            <w:pPr>
              <w:jc w:val="right"/>
              <w:ind w:right="86"/>
              <w:spacing w:after="0"/>
              <w:rPr>
                <w:sz w:val="20"/>
                <w:szCs w:val="20"/>
                <w:color w:val="auto"/>
              </w:rPr>
            </w:pPr>
            <w:r>
              <w:rPr>
                <w:rFonts w:ascii="Times New Roman" w:cs="Times New Roman" w:eastAsia="Times New Roman" w:hAnsi="Times New Roman"/>
                <w:sz w:val="11"/>
                <w:szCs w:val="11"/>
                <w:color w:val="auto"/>
              </w:rPr>
              <w:t>11.00 %</w:t>
            </w:r>
          </w:p>
        </w:tc>
        <w:tc>
          <w:tcPr>
            <w:tcW w:w="7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1M L+900</w:t>
            </w:r>
          </w:p>
        </w:tc>
        <w:tc>
          <w:tcPr>
            <w:tcW w:w="10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4,988</w:t>
            </w:r>
          </w:p>
        </w:tc>
        <w:tc>
          <w:tcPr>
            <w:tcW w:w="2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4,871</w:t>
            </w:r>
          </w:p>
        </w:tc>
        <w:tc>
          <w:tcPr>
            <w:tcW w:w="22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5,415</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320" w:type="dxa"/>
            <w:vAlign w:val="bottom"/>
          </w:tcPr>
          <w:p>
            <w:pPr>
              <w:ind w:left="20"/>
              <w:spacing w:after="0" w:line="122" w:lineRule="exact"/>
              <w:rPr>
                <w:sz w:val="20"/>
                <w:szCs w:val="20"/>
                <w:color w:val="auto"/>
              </w:rPr>
            </w:pPr>
            <w:r>
              <w:rPr>
                <w:rFonts w:ascii="Times New Roman" w:cs="Times New Roman" w:eastAsia="Times New Roman" w:hAnsi="Times New Roman"/>
                <w:sz w:val="11"/>
                <w:szCs w:val="11"/>
                <w:color w:val="auto"/>
              </w:rPr>
              <w:t>STV Group Incorporated</w:t>
            </w:r>
          </w:p>
        </w:tc>
        <w:tc>
          <w:tcPr>
            <w:tcW w:w="860" w:type="dxa"/>
            <w:vAlign w:val="bottom"/>
            <w:gridSpan w:val="2"/>
          </w:tcPr>
          <w:p>
            <w:pPr>
              <w:jc w:val="center"/>
              <w:ind w:left="86"/>
              <w:spacing w:after="0" w:line="122" w:lineRule="exact"/>
              <w:rPr>
                <w:sz w:val="20"/>
                <w:szCs w:val="20"/>
                <w:color w:val="auto"/>
              </w:rPr>
            </w:pPr>
            <w:r>
              <w:rPr>
                <w:rFonts w:ascii="Times New Roman" w:cs="Times New Roman" w:eastAsia="Times New Roman" w:hAnsi="Times New Roman"/>
                <w:sz w:val="11"/>
                <w:szCs w:val="11"/>
                <w:color w:val="auto"/>
                <w:w w:val="95"/>
              </w:rPr>
              <w:t>12/11/2026</w:t>
            </w:r>
          </w:p>
        </w:tc>
        <w:tc>
          <w:tcPr>
            <w:tcW w:w="280" w:type="dxa"/>
            <w:vAlign w:val="bottom"/>
          </w:tcPr>
          <w:p>
            <w:pPr>
              <w:spacing w:after="0"/>
              <w:rPr>
                <w:sz w:val="10"/>
                <w:szCs w:val="10"/>
                <w:color w:val="auto"/>
              </w:rPr>
            </w:pPr>
          </w:p>
        </w:tc>
        <w:tc>
          <w:tcPr>
            <w:tcW w:w="256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7"/>
              </w:rPr>
              <w:t>Construction &amp; Engineering</w:t>
            </w:r>
          </w:p>
        </w:tc>
        <w:tc>
          <w:tcPr>
            <w:tcW w:w="1340" w:type="dxa"/>
            <w:vAlign w:val="bottom"/>
            <w:gridSpan w:val="3"/>
          </w:tcPr>
          <w:p>
            <w:pPr>
              <w:jc w:val="right"/>
              <w:ind w:right="86"/>
              <w:spacing w:after="0" w:line="122" w:lineRule="exact"/>
              <w:rPr>
                <w:sz w:val="20"/>
                <w:szCs w:val="20"/>
                <w:color w:val="auto"/>
              </w:rPr>
            </w:pPr>
            <w:r>
              <w:rPr>
                <w:rFonts w:ascii="Times New Roman" w:cs="Times New Roman" w:eastAsia="Times New Roman" w:hAnsi="Times New Roman"/>
                <w:sz w:val="11"/>
                <w:szCs w:val="11"/>
                <w:color w:val="auto"/>
              </w:rPr>
              <w:t>5.33 %</w:t>
            </w:r>
          </w:p>
        </w:tc>
        <w:tc>
          <w:tcPr>
            <w:tcW w:w="7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1M L+525</w:t>
            </w:r>
          </w:p>
        </w:tc>
        <w:tc>
          <w:tcPr>
            <w:tcW w:w="104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4,752</w:t>
            </w: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4,712</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4,728</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320" w:type="dxa"/>
            <w:vAlign w:val="bottom"/>
          </w:tcPr>
          <w:p>
            <w:pPr>
              <w:ind w:left="20"/>
              <w:spacing w:after="0" w:line="117" w:lineRule="exact"/>
              <w:rPr>
                <w:sz w:val="20"/>
                <w:szCs w:val="20"/>
                <w:color w:val="auto"/>
              </w:rPr>
            </w:pPr>
            <w:r>
              <w:rPr>
                <w:rFonts w:ascii="Times New Roman" w:cs="Times New Roman" w:eastAsia="Times New Roman" w:hAnsi="Times New Roman"/>
                <w:sz w:val="11"/>
                <w:szCs w:val="11"/>
                <w:color w:val="auto"/>
              </w:rPr>
              <w:t>TAC LifePort Purchaser, LLC</w:t>
            </w:r>
          </w:p>
        </w:tc>
        <w:tc>
          <w:tcPr>
            <w:tcW w:w="860" w:type="dxa"/>
            <w:vAlign w:val="bottom"/>
            <w:gridSpan w:val="2"/>
          </w:tcPr>
          <w:p>
            <w:pPr>
              <w:jc w:val="center"/>
              <w:ind w:left="86"/>
              <w:spacing w:after="0" w:line="117" w:lineRule="exact"/>
              <w:rPr>
                <w:sz w:val="20"/>
                <w:szCs w:val="20"/>
                <w:color w:val="auto"/>
              </w:rPr>
            </w:pPr>
            <w:r>
              <w:rPr>
                <w:rFonts w:ascii="Times New Roman" w:cs="Times New Roman" w:eastAsia="Times New Roman" w:hAnsi="Times New Roman"/>
                <w:sz w:val="11"/>
                <w:szCs w:val="11"/>
                <w:color w:val="auto"/>
                <w:w w:val="95"/>
              </w:rPr>
              <w:t>03/01/2026</w:t>
            </w:r>
          </w:p>
        </w:tc>
        <w:tc>
          <w:tcPr>
            <w:tcW w:w="280" w:type="dxa"/>
            <w:vAlign w:val="bottom"/>
          </w:tcPr>
          <w:p>
            <w:pPr>
              <w:spacing w:after="0"/>
              <w:rPr>
                <w:sz w:val="10"/>
                <w:szCs w:val="10"/>
                <w:color w:val="auto"/>
              </w:rPr>
            </w:pPr>
          </w:p>
        </w:tc>
        <w:tc>
          <w:tcPr>
            <w:tcW w:w="256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color w:val="auto"/>
                <w:w w:val="98"/>
              </w:rPr>
              <w:t>Aerospace and Defense</w:t>
            </w:r>
          </w:p>
        </w:tc>
        <w:tc>
          <w:tcPr>
            <w:tcW w:w="1340" w:type="dxa"/>
            <w:vAlign w:val="bottom"/>
            <w:gridSpan w:val="3"/>
          </w:tcPr>
          <w:p>
            <w:pPr>
              <w:jc w:val="right"/>
              <w:ind w:right="86"/>
              <w:spacing w:after="0" w:line="117" w:lineRule="exact"/>
              <w:rPr>
                <w:sz w:val="20"/>
                <w:szCs w:val="20"/>
                <w:color w:val="auto"/>
              </w:rPr>
            </w:pPr>
            <w:r>
              <w:rPr>
                <w:rFonts w:ascii="Times New Roman" w:cs="Times New Roman" w:eastAsia="Times New Roman" w:hAnsi="Times New Roman"/>
                <w:sz w:val="11"/>
                <w:szCs w:val="11"/>
                <w:color w:val="auto"/>
              </w:rPr>
              <w:t>7.00 %</w:t>
            </w:r>
          </w:p>
        </w:tc>
        <w:tc>
          <w:tcPr>
            <w:tcW w:w="78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3M L+600</w:t>
            </w:r>
          </w:p>
        </w:tc>
        <w:tc>
          <w:tcPr>
            <w:tcW w:w="104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1"/>
                <w:szCs w:val="11"/>
                <w:color w:val="auto"/>
              </w:rPr>
              <w:t>531</w:t>
            </w: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521</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531</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3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 xml:space="preserve">TAC LifePort Purchaser, LLC (Revolver) </w:t>
            </w:r>
            <w:r>
              <w:rPr>
                <w:rFonts w:ascii="Times New Roman" w:cs="Times New Roman" w:eastAsia="Times New Roman" w:hAnsi="Times New Roman"/>
                <w:sz w:val="14"/>
                <w:szCs w:val="14"/>
                <w:color w:val="auto"/>
                <w:vertAlign w:val="superscript"/>
              </w:rPr>
              <w:t>(7), (9)</w:t>
            </w:r>
          </w:p>
        </w:tc>
        <w:tc>
          <w:tcPr>
            <w:tcW w:w="86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5"/>
              </w:rPr>
              <w:t>03/01/2026</w:t>
            </w:r>
          </w:p>
        </w:tc>
        <w:tc>
          <w:tcPr>
            <w:tcW w:w="280" w:type="dxa"/>
            <w:vAlign w:val="bottom"/>
          </w:tcPr>
          <w:p>
            <w:pPr>
              <w:spacing w:after="0"/>
              <w:rPr>
                <w:sz w:val="14"/>
                <w:szCs w:val="14"/>
                <w:color w:val="auto"/>
              </w:rPr>
            </w:pPr>
          </w:p>
        </w:tc>
        <w:tc>
          <w:tcPr>
            <w:tcW w:w="25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120" w:type="dxa"/>
            <w:vAlign w:val="bottom"/>
          </w:tcPr>
          <w:p>
            <w:pPr>
              <w:spacing w:after="0"/>
              <w:rPr>
                <w:sz w:val="14"/>
                <w:szCs w:val="14"/>
                <w:color w:val="auto"/>
              </w:rPr>
            </w:pPr>
          </w:p>
        </w:tc>
        <w:tc>
          <w:tcPr>
            <w:tcW w:w="1220" w:type="dxa"/>
            <w:vAlign w:val="bottom"/>
            <w:gridSpan w:val="2"/>
          </w:tcPr>
          <w:p>
            <w:pPr>
              <w:jc w:val="right"/>
              <w:ind w:right="206"/>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1,302</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(0 )</w:t>
            </w:r>
          </w:p>
        </w:tc>
        <w:tc>
          <w:tcPr>
            <w:tcW w:w="0" w:type="dxa"/>
            <w:vAlign w:val="bottom"/>
          </w:tcPr>
          <w:p>
            <w:pPr>
              <w:spacing w:after="0"/>
              <w:rPr>
                <w:sz w:val="1"/>
                <w:szCs w:val="1"/>
                <w:color w:val="auto"/>
              </w:rPr>
            </w:pPr>
          </w:p>
        </w:tc>
      </w:tr>
      <w:tr>
        <w:trPr>
          <w:trHeight w:val="135"/>
        </w:trPr>
        <w:tc>
          <w:tcPr>
            <w:tcW w:w="23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TeleGuam Holdings, LLC</w:t>
            </w:r>
          </w:p>
        </w:tc>
        <w:tc>
          <w:tcPr>
            <w:tcW w:w="860" w:type="dxa"/>
            <w:vAlign w:val="bottom"/>
            <w:gridSpan w:val="2"/>
            <w:shd w:val="clear" w:color="auto" w:fill="CCECFF"/>
          </w:tcPr>
          <w:p>
            <w:pPr>
              <w:jc w:val="center"/>
              <w:ind w:left="86"/>
              <w:spacing w:after="0"/>
              <w:rPr>
                <w:sz w:val="20"/>
                <w:szCs w:val="20"/>
                <w:color w:val="auto"/>
              </w:rPr>
            </w:pPr>
            <w:r>
              <w:rPr>
                <w:rFonts w:ascii="Times New Roman" w:cs="Times New Roman" w:eastAsia="Times New Roman" w:hAnsi="Times New Roman"/>
                <w:sz w:val="11"/>
                <w:szCs w:val="11"/>
                <w:color w:val="auto"/>
                <w:w w:val="95"/>
              </w:rPr>
              <w:t>11/20/2025</w:t>
            </w:r>
          </w:p>
        </w:tc>
        <w:tc>
          <w:tcPr>
            <w:tcW w:w="280" w:type="dxa"/>
            <w:vAlign w:val="bottom"/>
            <w:shd w:val="clear" w:color="auto" w:fill="CCECFF"/>
          </w:tcPr>
          <w:p>
            <w:pPr>
              <w:spacing w:after="0"/>
              <w:rPr>
                <w:sz w:val="11"/>
                <w:szCs w:val="11"/>
                <w:color w:val="auto"/>
              </w:rPr>
            </w:pPr>
          </w:p>
        </w:tc>
        <w:tc>
          <w:tcPr>
            <w:tcW w:w="25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Wireless Telecommunication Services</w:t>
            </w:r>
          </w:p>
        </w:tc>
        <w:tc>
          <w:tcPr>
            <w:tcW w:w="1340" w:type="dxa"/>
            <w:vAlign w:val="bottom"/>
            <w:gridSpan w:val="3"/>
            <w:shd w:val="clear" w:color="auto" w:fill="CCECFF"/>
          </w:tcPr>
          <w:p>
            <w:pPr>
              <w:jc w:val="right"/>
              <w:ind w:right="86"/>
              <w:spacing w:after="0"/>
              <w:rPr>
                <w:sz w:val="20"/>
                <w:szCs w:val="20"/>
                <w:color w:val="auto"/>
              </w:rPr>
            </w:pPr>
            <w:r>
              <w:rPr>
                <w:rFonts w:ascii="Times New Roman" w:cs="Times New Roman" w:eastAsia="Times New Roman" w:hAnsi="Times New Roman"/>
                <w:sz w:val="11"/>
                <w:szCs w:val="11"/>
                <w:color w:val="auto"/>
              </w:rPr>
              <w:t>5.50 %</w:t>
            </w:r>
          </w:p>
        </w:tc>
        <w:tc>
          <w:tcPr>
            <w:tcW w:w="7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1M L+450</w:t>
            </w:r>
          </w:p>
        </w:tc>
        <w:tc>
          <w:tcPr>
            <w:tcW w:w="10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3,127</w:t>
            </w:r>
          </w:p>
        </w:tc>
        <w:tc>
          <w:tcPr>
            <w:tcW w:w="2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3,103</w:t>
            </w:r>
          </w:p>
        </w:tc>
        <w:tc>
          <w:tcPr>
            <w:tcW w:w="22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3,096</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3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Teneo Holdings LLC</w:t>
            </w:r>
          </w:p>
        </w:tc>
        <w:tc>
          <w:tcPr>
            <w:tcW w:w="86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5"/>
              </w:rPr>
              <w:t>07/18/2025</w:t>
            </w:r>
          </w:p>
        </w:tc>
        <w:tc>
          <w:tcPr>
            <w:tcW w:w="280" w:type="dxa"/>
            <w:vAlign w:val="bottom"/>
          </w:tcPr>
          <w:p>
            <w:pPr>
              <w:spacing w:after="0"/>
              <w:rPr>
                <w:sz w:val="11"/>
                <w:szCs w:val="11"/>
                <w:color w:val="auto"/>
              </w:rPr>
            </w:pPr>
          </w:p>
        </w:tc>
        <w:tc>
          <w:tcPr>
            <w:tcW w:w="25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Diversified Financial Services</w:t>
            </w:r>
          </w:p>
        </w:tc>
        <w:tc>
          <w:tcPr>
            <w:tcW w:w="1340" w:type="dxa"/>
            <w:vAlign w:val="bottom"/>
            <w:gridSpan w:val="3"/>
          </w:tcPr>
          <w:p>
            <w:pPr>
              <w:jc w:val="right"/>
              <w:ind w:right="86"/>
              <w:spacing w:after="0"/>
              <w:rPr>
                <w:sz w:val="20"/>
                <w:szCs w:val="20"/>
                <w:color w:val="auto"/>
              </w:rPr>
            </w:pPr>
            <w:r>
              <w:rPr>
                <w:rFonts w:ascii="Times New Roman" w:cs="Times New Roman" w:eastAsia="Times New Roman" w:hAnsi="Times New Roman"/>
                <w:sz w:val="11"/>
                <w:szCs w:val="11"/>
                <w:color w:val="auto"/>
              </w:rPr>
              <w:t>6.25 %</w:t>
            </w: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1M L+525</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5,853</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5,754</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5,821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3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The Aegis Technologies Group, LLC</w:t>
            </w:r>
          </w:p>
        </w:tc>
        <w:tc>
          <w:tcPr>
            <w:tcW w:w="860" w:type="dxa"/>
            <w:vAlign w:val="bottom"/>
            <w:gridSpan w:val="2"/>
            <w:shd w:val="clear" w:color="auto" w:fill="CCECFF"/>
          </w:tcPr>
          <w:p>
            <w:pPr>
              <w:jc w:val="center"/>
              <w:ind w:left="86"/>
              <w:spacing w:after="0"/>
              <w:rPr>
                <w:sz w:val="20"/>
                <w:szCs w:val="20"/>
                <w:color w:val="auto"/>
              </w:rPr>
            </w:pPr>
            <w:r>
              <w:rPr>
                <w:rFonts w:ascii="Times New Roman" w:cs="Times New Roman" w:eastAsia="Times New Roman" w:hAnsi="Times New Roman"/>
                <w:sz w:val="11"/>
                <w:szCs w:val="11"/>
                <w:color w:val="auto"/>
                <w:w w:val="95"/>
              </w:rPr>
              <w:t>10/31/2025</w:t>
            </w:r>
          </w:p>
        </w:tc>
        <w:tc>
          <w:tcPr>
            <w:tcW w:w="280" w:type="dxa"/>
            <w:vAlign w:val="bottom"/>
            <w:shd w:val="clear" w:color="auto" w:fill="CCECFF"/>
          </w:tcPr>
          <w:p>
            <w:pPr>
              <w:spacing w:after="0"/>
              <w:rPr>
                <w:sz w:val="11"/>
                <w:szCs w:val="11"/>
                <w:color w:val="auto"/>
              </w:rPr>
            </w:pPr>
          </w:p>
        </w:tc>
        <w:tc>
          <w:tcPr>
            <w:tcW w:w="25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1340" w:type="dxa"/>
            <w:vAlign w:val="bottom"/>
            <w:gridSpan w:val="3"/>
            <w:shd w:val="clear" w:color="auto" w:fill="CCECFF"/>
          </w:tcPr>
          <w:p>
            <w:pPr>
              <w:jc w:val="right"/>
              <w:ind w:right="86"/>
              <w:spacing w:after="0"/>
              <w:rPr>
                <w:sz w:val="20"/>
                <w:szCs w:val="20"/>
                <w:color w:val="auto"/>
              </w:rPr>
            </w:pPr>
            <w:r>
              <w:rPr>
                <w:rFonts w:ascii="Times New Roman" w:cs="Times New Roman" w:eastAsia="Times New Roman" w:hAnsi="Times New Roman"/>
                <w:sz w:val="11"/>
                <w:szCs w:val="11"/>
                <w:color w:val="auto"/>
              </w:rPr>
              <w:t>7.00 %</w:t>
            </w:r>
          </w:p>
        </w:tc>
        <w:tc>
          <w:tcPr>
            <w:tcW w:w="7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L+600</w:t>
            </w:r>
          </w:p>
        </w:tc>
        <w:tc>
          <w:tcPr>
            <w:tcW w:w="10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4,968</w:t>
            </w:r>
          </w:p>
        </w:tc>
        <w:tc>
          <w:tcPr>
            <w:tcW w:w="2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4,900</w:t>
            </w:r>
          </w:p>
        </w:tc>
        <w:tc>
          <w:tcPr>
            <w:tcW w:w="22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4,919</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03"/>
        </w:trPr>
        <w:tc>
          <w:tcPr>
            <w:tcW w:w="2320" w:type="dxa"/>
            <w:vAlign w:val="bottom"/>
          </w:tcPr>
          <w:p>
            <w:pPr>
              <w:ind w:left="20"/>
              <w:spacing w:after="0" w:line="103" w:lineRule="exact"/>
              <w:rPr>
                <w:sz w:val="20"/>
                <w:szCs w:val="20"/>
                <w:color w:val="auto"/>
              </w:rPr>
            </w:pPr>
            <w:r>
              <w:rPr>
                <w:rFonts w:ascii="Times New Roman" w:cs="Times New Roman" w:eastAsia="Times New Roman" w:hAnsi="Times New Roman"/>
                <w:sz w:val="11"/>
                <w:szCs w:val="11"/>
                <w:color w:val="auto"/>
              </w:rPr>
              <w:t>The Bluebird Group LLC</w:t>
            </w:r>
          </w:p>
        </w:tc>
        <w:tc>
          <w:tcPr>
            <w:tcW w:w="860" w:type="dxa"/>
            <w:vAlign w:val="bottom"/>
            <w:gridSpan w:val="2"/>
          </w:tcPr>
          <w:p>
            <w:pPr>
              <w:jc w:val="center"/>
              <w:ind w:left="86"/>
              <w:spacing w:after="0" w:line="103" w:lineRule="exact"/>
              <w:rPr>
                <w:sz w:val="20"/>
                <w:szCs w:val="20"/>
                <w:color w:val="auto"/>
              </w:rPr>
            </w:pPr>
            <w:r>
              <w:rPr>
                <w:rFonts w:ascii="Times New Roman" w:cs="Times New Roman" w:eastAsia="Times New Roman" w:hAnsi="Times New Roman"/>
                <w:sz w:val="11"/>
                <w:szCs w:val="11"/>
                <w:color w:val="auto"/>
                <w:w w:val="95"/>
              </w:rPr>
              <w:t>07/27/2026</w:t>
            </w:r>
          </w:p>
        </w:tc>
        <w:tc>
          <w:tcPr>
            <w:tcW w:w="280" w:type="dxa"/>
            <w:vAlign w:val="bottom"/>
          </w:tcPr>
          <w:p>
            <w:pPr>
              <w:spacing w:after="0"/>
              <w:rPr>
                <w:sz w:val="8"/>
                <w:szCs w:val="8"/>
                <w:color w:val="auto"/>
              </w:rPr>
            </w:pPr>
          </w:p>
        </w:tc>
        <w:tc>
          <w:tcPr>
            <w:tcW w:w="2560" w:type="dxa"/>
            <w:vAlign w:val="bottom"/>
          </w:tcPr>
          <w:p>
            <w:pPr>
              <w:jc w:val="center"/>
              <w:spacing w:after="0" w:line="103" w:lineRule="exact"/>
              <w:rPr>
                <w:sz w:val="20"/>
                <w:szCs w:val="20"/>
                <w:color w:val="auto"/>
              </w:rPr>
            </w:pPr>
            <w:r>
              <w:rPr>
                <w:rFonts w:ascii="Times New Roman" w:cs="Times New Roman" w:eastAsia="Times New Roman" w:hAnsi="Times New Roman"/>
                <w:sz w:val="11"/>
                <w:szCs w:val="11"/>
                <w:color w:val="auto"/>
                <w:w w:val="99"/>
              </w:rPr>
              <w:t>Professional Services</w:t>
            </w:r>
          </w:p>
        </w:tc>
        <w:tc>
          <w:tcPr>
            <w:tcW w:w="1340" w:type="dxa"/>
            <w:vAlign w:val="bottom"/>
            <w:gridSpan w:val="3"/>
          </w:tcPr>
          <w:p>
            <w:pPr>
              <w:jc w:val="right"/>
              <w:ind w:right="86"/>
              <w:spacing w:after="0" w:line="103" w:lineRule="exact"/>
              <w:rPr>
                <w:sz w:val="20"/>
                <w:szCs w:val="20"/>
                <w:color w:val="auto"/>
              </w:rPr>
            </w:pPr>
            <w:r>
              <w:rPr>
                <w:rFonts w:ascii="Times New Roman" w:cs="Times New Roman" w:eastAsia="Times New Roman" w:hAnsi="Times New Roman"/>
                <w:sz w:val="11"/>
                <w:szCs w:val="11"/>
                <w:color w:val="auto"/>
              </w:rPr>
              <w:t>8.00 %</w:t>
            </w:r>
          </w:p>
        </w:tc>
        <w:tc>
          <w:tcPr>
            <w:tcW w:w="780" w:type="dxa"/>
            <w:vAlign w:val="bottom"/>
          </w:tcPr>
          <w:p>
            <w:pPr>
              <w:jc w:val="right"/>
              <w:spacing w:after="0" w:line="103" w:lineRule="exact"/>
              <w:rPr>
                <w:sz w:val="20"/>
                <w:szCs w:val="20"/>
                <w:color w:val="auto"/>
              </w:rPr>
            </w:pPr>
            <w:r>
              <w:rPr>
                <w:rFonts w:ascii="Times New Roman" w:cs="Times New Roman" w:eastAsia="Times New Roman" w:hAnsi="Times New Roman"/>
                <w:sz w:val="11"/>
                <w:szCs w:val="11"/>
                <w:color w:val="auto"/>
              </w:rPr>
              <w:t>3M L+700</w:t>
            </w:r>
          </w:p>
        </w:tc>
        <w:tc>
          <w:tcPr>
            <w:tcW w:w="1040" w:type="dxa"/>
            <w:vAlign w:val="bottom"/>
            <w:gridSpan w:val="2"/>
          </w:tcPr>
          <w:p>
            <w:pPr>
              <w:jc w:val="right"/>
              <w:spacing w:after="0" w:line="103" w:lineRule="exact"/>
              <w:rPr>
                <w:sz w:val="20"/>
                <w:szCs w:val="20"/>
                <w:color w:val="auto"/>
              </w:rPr>
            </w:pPr>
            <w:r>
              <w:rPr>
                <w:rFonts w:ascii="Times New Roman" w:cs="Times New Roman" w:eastAsia="Times New Roman" w:hAnsi="Times New Roman"/>
                <w:sz w:val="11"/>
                <w:szCs w:val="11"/>
                <w:color w:val="auto"/>
              </w:rPr>
              <w:t>4,844</w:t>
            </w: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jc w:val="right"/>
              <w:spacing w:after="0" w:line="103" w:lineRule="exact"/>
              <w:rPr>
                <w:sz w:val="20"/>
                <w:szCs w:val="20"/>
                <w:color w:val="auto"/>
              </w:rPr>
            </w:pPr>
            <w:r>
              <w:rPr>
                <w:rFonts w:ascii="Times New Roman" w:cs="Times New Roman" w:eastAsia="Times New Roman" w:hAnsi="Times New Roman"/>
                <w:sz w:val="11"/>
                <w:szCs w:val="11"/>
                <w:color w:val="auto"/>
              </w:rPr>
              <w:t>4,750</w:t>
            </w: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jc w:val="right"/>
              <w:spacing w:after="0" w:line="103" w:lineRule="exact"/>
              <w:rPr>
                <w:sz w:val="20"/>
                <w:szCs w:val="20"/>
                <w:color w:val="auto"/>
              </w:rPr>
            </w:pPr>
            <w:r>
              <w:rPr>
                <w:rFonts w:ascii="Times New Roman" w:cs="Times New Roman" w:eastAsia="Times New Roman" w:hAnsi="Times New Roman"/>
                <w:sz w:val="11"/>
                <w:szCs w:val="11"/>
                <w:color w:val="auto"/>
              </w:rPr>
              <w:t>4,814</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3"/>
        </w:trPr>
        <w:tc>
          <w:tcPr>
            <w:tcW w:w="2320" w:type="dxa"/>
            <w:vAlign w:val="bottom"/>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The Bluebird Group LLC (Revolver) </w:t>
            </w:r>
            <w:r>
              <w:rPr>
                <w:rFonts w:ascii="Times New Roman" w:cs="Times New Roman" w:eastAsia="Times New Roman" w:hAnsi="Times New Roman"/>
                <w:sz w:val="14"/>
                <w:szCs w:val="14"/>
                <w:color w:val="auto"/>
                <w:vertAlign w:val="superscript"/>
              </w:rPr>
              <w:t>(7), (9)</w:t>
            </w:r>
          </w:p>
        </w:tc>
        <w:tc>
          <w:tcPr>
            <w:tcW w:w="86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5"/>
              </w:rPr>
              <w:t>07/27/2026</w:t>
            </w:r>
          </w:p>
        </w:tc>
        <w:tc>
          <w:tcPr>
            <w:tcW w:w="280" w:type="dxa"/>
            <w:vAlign w:val="bottom"/>
          </w:tcPr>
          <w:p>
            <w:pPr>
              <w:spacing w:after="0"/>
              <w:rPr>
                <w:sz w:val="13"/>
                <w:szCs w:val="13"/>
                <w:color w:val="auto"/>
              </w:rPr>
            </w:pPr>
          </w:p>
        </w:tc>
        <w:tc>
          <w:tcPr>
            <w:tcW w:w="25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Professional Services</w:t>
            </w:r>
          </w:p>
        </w:tc>
        <w:tc>
          <w:tcPr>
            <w:tcW w:w="120" w:type="dxa"/>
            <w:vAlign w:val="bottom"/>
          </w:tcPr>
          <w:p>
            <w:pPr>
              <w:spacing w:after="0"/>
              <w:rPr>
                <w:sz w:val="13"/>
                <w:szCs w:val="13"/>
                <w:color w:val="auto"/>
              </w:rPr>
            </w:pPr>
          </w:p>
        </w:tc>
        <w:tc>
          <w:tcPr>
            <w:tcW w:w="1220" w:type="dxa"/>
            <w:vAlign w:val="bottom"/>
            <w:gridSpan w:val="2"/>
          </w:tcPr>
          <w:p>
            <w:pPr>
              <w:jc w:val="right"/>
              <w:ind w:right="206"/>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862</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(5 )</w:t>
            </w:r>
          </w:p>
        </w:tc>
        <w:tc>
          <w:tcPr>
            <w:tcW w:w="0" w:type="dxa"/>
            <w:vAlign w:val="bottom"/>
          </w:tcPr>
          <w:p>
            <w:pPr>
              <w:spacing w:after="0"/>
              <w:rPr>
                <w:sz w:val="1"/>
                <w:szCs w:val="1"/>
                <w:color w:val="auto"/>
              </w:rPr>
            </w:pPr>
          </w:p>
        </w:tc>
      </w:tr>
      <w:tr>
        <w:trPr>
          <w:trHeight w:val="117"/>
        </w:trPr>
        <w:tc>
          <w:tcPr>
            <w:tcW w:w="2320" w:type="dxa"/>
            <w:vAlign w:val="bottom"/>
          </w:tcPr>
          <w:p>
            <w:pPr>
              <w:ind w:left="20"/>
              <w:spacing w:after="0" w:line="117" w:lineRule="exact"/>
              <w:rPr>
                <w:sz w:val="20"/>
                <w:szCs w:val="20"/>
                <w:color w:val="auto"/>
              </w:rPr>
            </w:pPr>
            <w:r>
              <w:rPr>
                <w:rFonts w:ascii="Times New Roman" w:cs="Times New Roman" w:eastAsia="Times New Roman" w:hAnsi="Times New Roman"/>
                <w:sz w:val="11"/>
                <w:szCs w:val="11"/>
                <w:color w:val="auto"/>
              </w:rPr>
              <w:t>The Infosoft Group, LLC</w:t>
            </w:r>
          </w:p>
        </w:tc>
        <w:tc>
          <w:tcPr>
            <w:tcW w:w="860" w:type="dxa"/>
            <w:vAlign w:val="bottom"/>
            <w:gridSpan w:val="2"/>
          </w:tcPr>
          <w:p>
            <w:pPr>
              <w:jc w:val="center"/>
              <w:ind w:left="86"/>
              <w:spacing w:after="0" w:line="117" w:lineRule="exact"/>
              <w:rPr>
                <w:sz w:val="20"/>
                <w:szCs w:val="20"/>
                <w:color w:val="auto"/>
              </w:rPr>
            </w:pPr>
            <w:r>
              <w:rPr>
                <w:rFonts w:ascii="Times New Roman" w:cs="Times New Roman" w:eastAsia="Times New Roman" w:hAnsi="Times New Roman"/>
                <w:sz w:val="11"/>
                <w:szCs w:val="11"/>
                <w:color w:val="auto"/>
                <w:w w:val="95"/>
              </w:rPr>
              <w:t>09/16/2024</w:t>
            </w:r>
          </w:p>
        </w:tc>
        <w:tc>
          <w:tcPr>
            <w:tcW w:w="280" w:type="dxa"/>
            <w:vAlign w:val="bottom"/>
          </w:tcPr>
          <w:p>
            <w:pPr>
              <w:spacing w:after="0"/>
              <w:rPr>
                <w:sz w:val="10"/>
                <w:szCs w:val="10"/>
                <w:color w:val="auto"/>
              </w:rPr>
            </w:pPr>
          </w:p>
        </w:tc>
        <w:tc>
          <w:tcPr>
            <w:tcW w:w="256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color w:val="auto"/>
                <w:w w:val="98"/>
              </w:rPr>
              <w:t>Media: Broadcasting and Subscription</w:t>
            </w:r>
          </w:p>
        </w:tc>
        <w:tc>
          <w:tcPr>
            <w:tcW w:w="1340" w:type="dxa"/>
            <w:vAlign w:val="bottom"/>
            <w:gridSpan w:val="3"/>
          </w:tcPr>
          <w:p>
            <w:pPr>
              <w:jc w:val="right"/>
              <w:ind w:right="86"/>
              <w:spacing w:after="0" w:line="117" w:lineRule="exact"/>
              <w:rPr>
                <w:sz w:val="20"/>
                <w:szCs w:val="20"/>
                <w:color w:val="auto"/>
              </w:rPr>
            </w:pPr>
            <w:r>
              <w:rPr>
                <w:rFonts w:ascii="Times New Roman" w:cs="Times New Roman" w:eastAsia="Times New Roman" w:hAnsi="Times New Roman"/>
                <w:sz w:val="11"/>
                <w:szCs w:val="11"/>
                <w:color w:val="auto"/>
              </w:rPr>
              <w:t>6.75 %</w:t>
            </w:r>
          </w:p>
        </w:tc>
        <w:tc>
          <w:tcPr>
            <w:tcW w:w="78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3M L+575</w:t>
            </w:r>
          </w:p>
        </w:tc>
        <w:tc>
          <w:tcPr>
            <w:tcW w:w="104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1"/>
                <w:szCs w:val="11"/>
                <w:color w:val="auto"/>
              </w:rPr>
              <w:t>15,725</w:t>
            </w: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15,633</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15,725</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32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The Vertex Companies, LLC </w:t>
            </w:r>
            <w:r>
              <w:rPr>
                <w:rFonts w:ascii="Times New Roman" w:cs="Times New Roman" w:eastAsia="Times New Roman" w:hAnsi="Times New Roman"/>
                <w:sz w:val="14"/>
                <w:szCs w:val="14"/>
                <w:color w:val="auto"/>
                <w:vertAlign w:val="superscript"/>
              </w:rPr>
              <w:t>(7), (9)</w:t>
            </w:r>
          </w:p>
        </w:tc>
        <w:tc>
          <w:tcPr>
            <w:tcW w:w="86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5"/>
              </w:rPr>
              <w:t>08/30/2027</w:t>
            </w:r>
          </w:p>
        </w:tc>
        <w:tc>
          <w:tcPr>
            <w:tcW w:w="280" w:type="dxa"/>
            <w:vAlign w:val="bottom"/>
          </w:tcPr>
          <w:p>
            <w:pPr>
              <w:spacing w:after="0"/>
              <w:rPr>
                <w:sz w:val="11"/>
                <w:szCs w:val="11"/>
                <w:color w:val="auto"/>
              </w:rPr>
            </w:pPr>
          </w:p>
        </w:tc>
        <w:tc>
          <w:tcPr>
            <w:tcW w:w="25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Construction &amp; Engineering</w:t>
            </w:r>
          </w:p>
        </w:tc>
        <w:tc>
          <w:tcPr>
            <w:tcW w:w="120" w:type="dxa"/>
            <w:vAlign w:val="bottom"/>
          </w:tcPr>
          <w:p>
            <w:pPr>
              <w:spacing w:after="0"/>
              <w:rPr>
                <w:sz w:val="11"/>
                <w:szCs w:val="11"/>
                <w:color w:val="auto"/>
              </w:rPr>
            </w:pPr>
          </w:p>
        </w:tc>
        <w:tc>
          <w:tcPr>
            <w:tcW w:w="1220" w:type="dxa"/>
            <w:vAlign w:val="bottom"/>
            <w:gridSpan w:val="2"/>
          </w:tcPr>
          <w:p>
            <w:pPr>
              <w:jc w:val="right"/>
              <w:ind w:right="206"/>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2,734</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(24 )</w:t>
            </w:r>
          </w:p>
        </w:tc>
        <w:tc>
          <w:tcPr>
            <w:tcW w:w="0" w:type="dxa"/>
            <w:vAlign w:val="bottom"/>
          </w:tcPr>
          <w:p>
            <w:pPr>
              <w:spacing w:after="0"/>
              <w:rPr>
                <w:sz w:val="1"/>
                <w:szCs w:val="1"/>
                <w:color w:val="auto"/>
              </w:rPr>
            </w:pPr>
          </w:p>
        </w:tc>
      </w:tr>
      <w:tr>
        <w:trPr>
          <w:trHeight w:val="167"/>
        </w:trPr>
        <w:tc>
          <w:tcPr>
            <w:tcW w:w="23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 xml:space="preserve">The Vertex Companies, LLC (Revolver) </w:t>
            </w:r>
            <w:r>
              <w:rPr>
                <w:rFonts w:ascii="Times New Roman" w:cs="Times New Roman" w:eastAsia="Times New Roman" w:hAnsi="Times New Roman"/>
                <w:sz w:val="14"/>
                <w:szCs w:val="14"/>
                <w:color w:val="auto"/>
                <w:vertAlign w:val="superscript"/>
              </w:rPr>
              <w:t>(7), (9)</w:t>
            </w:r>
          </w:p>
        </w:tc>
        <w:tc>
          <w:tcPr>
            <w:tcW w:w="86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5"/>
              </w:rPr>
              <w:t>08/30/2027</w:t>
            </w:r>
          </w:p>
        </w:tc>
        <w:tc>
          <w:tcPr>
            <w:tcW w:w="280" w:type="dxa"/>
            <w:vAlign w:val="bottom"/>
          </w:tcPr>
          <w:p>
            <w:pPr>
              <w:spacing w:after="0"/>
              <w:rPr>
                <w:sz w:val="14"/>
                <w:szCs w:val="14"/>
                <w:color w:val="auto"/>
              </w:rPr>
            </w:pPr>
          </w:p>
        </w:tc>
        <w:tc>
          <w:tcPr>
            <w:tcW w:w="25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Construction &amp; Engineering</w:t>
            </w:r>
          </w:p>
        </w:tc>
        <w:tc>
          <w:tcPr>
            <w:tcW w:w="120" w:type="dxa"/>
            <w:vAlign w:val="bottom"/>
          </w:tcPr>
          <w:p>
            <w:pPr>
              <w:spacing w:after="0"/>
              <w:rPr>
                <w:sz w:val="14"/>
                <w:szCs w:val="14"/>
                <w:color w:val="auto"/>
              </w:rPr>
            </w:pPr>
          </w:p>
        </w:tc>
        <w:tc>
          <w:tcPr>
            <w:tcW w:w="1220" w:type="dxa"/>
            <w:vAlign w:val="bottom"/>
            <w:gridSpan w:val="2"/>
          </w:tcPr>
          <w:p>
            <w:pPr>
              <w:jc w:val="right"/>
              <w:ind w:right="206"/>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911</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(17 )</w:t>
            </w:r>
          </w:p>
        </w:tc>
        <w:tc>
          <w:tcPr>
            <w:tcW w:w="0" w:type="dxa"/>
            <w:vAlign w:val="bottom"/>
          </w:tcPr>
          <w:p>
            <w:pPr>
              <w:spacing w:after="0"/>
              <w:rPr>
                <w:sz w:val="1"/>
                <w:szCs w:val="1"/>
                <w:color w:val="auto"/>
              </w:rPr>
            </w:pPr>
          </w:p>
        </w:tc>
      </w:tr>
      <w:tr>
        <w:trPr>
          <w:trHeight w:val="94"/>
        </w:trPr>
        <w:tc>
          <w:tcPr>
            <w:tcW w:w="2320" w:type="dxa"/>
            <w:vAlign w:val="bottom"/>
            <w:shd w:val="clear" w:color="auto" w:fill="CCECFF"/>
          </w:tcPr>
          <w:p>
            <w:pPr>
              <w:ind w:left="20"/>
              <w:spacing w:after="0" w:line="95" w:lineRule="exact"/>
              <w:rPr>
                <w:sz w:val="20"/>
                <w:szCs w:val="20"/>
                <w:color w:val="auto"/>
              </w:rPr>
            </w:pPr>
            <w:r>
              <w:rPr>
                <w:rFonts w:ascii="Times New Roman" w:cs="Times New Roman" w:eastAsia="Times New Roman" w:hAnsi="Times New Roman"/>
                <w:sz w:val="10"/>
                <w:szCs w:val="10"/>
                <w:color w:val="auto"/>
              </w:rPr>
              <w:t>TPC Canada Parent, Inc. and TPC US Parent,</w:t>
            </w:r>
          </w:p>
        </w:tc>
        <w:tc>
          <w:tcPr>
            <w:tcW w:w="860" w:type="dxa"/>
            <w:vAlign w:val="bottom"/>
            <w:gridSpan w:val="2"/>
            <w:shd w:val="clear" w:color="auto" w:fill="CCECFF"/>
          </w:tcPr>
          <w:p>
            <w:pPr>
              <w:jc w:val="center"/>
              <w:ind w:left="86"/>
              <w:spacing w:after="0" w:line="95" w:lineRule="exact"/>
              <w:rPr>
                <w:sz w:val="20"/>
                <w:szCs w:val="20"/>
                <w:color w:val="auto"/>
              </w:rPr>
            </w:pPr>
            <w:r>
              <w:rPr>
                <w:rFonts w:ascii="Times New Roman" w:cs="Times New Roman" w:eastAsia="Times New Roman" w:hAnsi="Times New Roman"/>
                <w:sz w:val="10"/>
                <w:szCs w:val="10"/>
                <w:color w:val="auto"/>
              </w:rPr>
              <w:t>11/24/2025</w:t>
            </w:r>
          </w:p>
        </w:tc>
        <w:tc>
          <w:tcPr>
            <w:tcW w:w="280" w:type="dxa"/>
            <w:vAlign w:val="bottom"/>
            <w:shd w:val="clear" w:color="auto" w:fill="CCECFF"/>
          </w:tcPr>
          <w:p>
            <w:pPr>
              <w:spacing w:after="0"/>
              <w:rPr>
                <w:sz w:val="8"/>
                <w:szCs w:val="8"/>
                <w:color w:val="auto"/>
              </w:rPr>
            </w:pPr>
          </w:p>
        </w:tc>
        <w:tc>
          <w:tcPr>
            <w:tcW w:w="2560" w:type="dxa"/>
            <w:vAlign w:val="bottom"/>
            <w:shd w:val="clear" w:color="auto" w:fill="CCECFF"/>
          </w:tcPr>
          <w:p>
            <w:pPr>
              <w:jc w:val="center"/>
              <w:spacing w:after="0" w:line="95" w:lineRule="exact"/>
              <w:rPr>
                <w:sz w:val="20"/>
                <w:szCs w:val="20"/>
                <w:color w:val="auto"/>
              </w:rPr>
            </w:pPr>
            <w:r>
              <w:rPr>
                <w:rFonts w:ascii="Times New Roman" w:cs="Times New Roman" w:eastAsia="Times New Roman" w:hAnsi="Times New Roman"/>
                <w:sz w:val="10"/>
                <w:szCs w:val="10"/>
                <w:color w:val="auto"/>
              </w:rPr>
              <w:t>Food Products</w:t>
            </w:r>
          </w:p>
        </w:tc>
        <w:tc>
          <w:tcPr>
            <w:tcW w:w="120" w:type="dxa"/>
            <w:vAlign w:val="bottom"/>
            <w:shd w:val="clear" w:color="auto" w:fill="CCECFF"/>
          </w:tcPr>
          <w:p>
            <w:pPr>
              <w:spacing w:after="0"/>
              <w:rPr>
                <w:sz w:val="8"/>
                <w:szCs w:val="8"/>
                <w:color w:val="auto"/>
              </w:rPr>
            </w:pPr>
          </w:p>
        </w:tc>
        <w:tc>
          <w:tcPr>
            <w:tcW w:w="980" w:type="dxa"/>
            <w:vAlign w:val="bottom"/>
            <w:shd w:val="clear" w:color="auto" w:fill="CCECFF"/>
          </w:tcPr>
          <w:p>
            <w:pPr>
              <w:spacing w:after="0"/>
              <w:rPr>
                <w:sz w:val="8"/>
                <w:szCs w:val="8"/>
                <w:color w:val="auto"/>
              </w:rPr>
            </w:pPr>
          </w:p>
        </w:tc>
        <w:tc>
          <w:tcPr>
            <w:tcW w:w="240" w:type="dxa"/>
            <w:vAlign w:val="bottom"/>
            <w:shd w:val="clear" w:color="auto" w:fill="CCECFF"/>
          </w:tcPr>
          <w:p>
            <w:pPr>
              <w:spacing w:after="0"/>
              <w:rPr>
                <w:sz w:val="8"/>
                <w:szCs w:val="8"/>
                <w:color w:val="auto"/>
              </w:rPr>
            </w:pPr>
          </w:p>
        </w:tc>
        <w:tc>
          <w:tcPr>
            <w:tcW w:w="780" w:type="dxa"/>
            <w:vAlign w:val="bottom"/>
            <w:shd w:val="clear" w:color="auto" w:fill="CCECFF"/>
          </w:tcPr>
          <w:p>
            <w:pPr>
              <w:jc w:val="right"/>
              <w:spacing w:after="0" w:line="95" w:lineRule="exact"/>
              <w:rPr>
                <w:sz w:val="20"/>
                <w:szCs w:val="20"/>
                <w:color w:val="auto"/>
              </w:rPr>
            </w:pPr>
            <w:r>
              <w:rPr>
                <w:rFonts w:ascii="Times New Roman" w:cs="Times New Roman" w:eastAsia="Times New Roman" w:hAnsi="Times New Roman"/>
                <w:sz w:val="10"/>
                <w:szCs w:val="10"/>
                <w:color w:val="auto"/>
              </w:rPr>
              <w:t>3M L+525</w:t>
            </w:r>
          </w:p>
        </w:tc>
        <w:tc>
          <w:tcPr>
            <w:tcW w:w="220" w:type="dxa"/>
            <w:vAlign w:val="bottom"/>
            <w:shd w:val="clear" w:color="auto" w:fill="CCECFF"/>
          </w:tcPr>
          <w:p>
            <w:pPr>
              <w:spacing w:after="0"/>
              <w:rPr>
                <w:sz w:val="8"/>
                <w:szCs w:val="8"/>
                <w:color w:val="auto"/>
              </w:rPr>
            </w:pPr>
          </w:p>
        </w:tc>
        <w:tc>
          <w:tcPr>
            <w:tcW w:w="820" w:type="dxa"/>
            <w:vAlign w:val="bottom"/>
            <w:shd w:val="clear" w:color="auto" w:fill="CCECFF"/>
          </w:tcPr>
          <w:p>
            <w:pPr>
              <w:spacing w:after="0"/>
              <w:rPr>
                <w:sz w:val="8"/>
                <w:szCs w:val="8"/>
                <w:color w:val="auto"/>
              </w:rPr>
            </w:pPr>
          </w:p>
        </w:tc>
        <w:tc>
          <w:tcPr>
            <w:tcW w:w="220" w:type="dxa"/>
            <w:vAlign w:val="bottom"/>
            <w:shd w:val="clear" w:color="auto" w:fill="CCECFF"/>
          </w:tcPr>
          <w:p>
            <w:pPr>
              <w:spacing w:after="0"/>
              <w:rPr>
                <w:sz w:val="8"/>
                <w:szCs w:val="8"/>
                <w:color w:val="auto"/>
              </w:rPr>
            </w:pPr>
          </w:p>
        </w:tc>
        <w:tc>
          <w:tcPr>
            <w:tcW w:w="160" w:type="dxa"/>
            <w:vAlign w:val="bottom"/>
            <w:shd w:val="clear" w:color="auto" w:fill="CCECFF"/>
          </w:tcPr>
          <w:p>
            <w:pPr>
              <w:spacing w:after="0"/>
              <w:rPr>
                <w:sz w:val="8"/>
                <w:szCs w:val="8"/>
                <w:color w:val="auto"/>
              </w:rPr>
            </w:pPr>
          </w:p>
        </w:tc>
        <w:tc>
          <w:tcPr>
            <w:tcW w:w="580" w:type="dxa"/>
            <w:vAlign w:val="bottom"/>
            <w:shd w:val="clear" w:color="auto" w:fill="CCECFF"/>
          </w:tcPr>
          <w:p>
            <w:pPr>
              <w:jc w:val="right"/>
              <w:spacing w:after="0" w:line="95" w:lineRule="exact"/>
              <w:rPr>
                <w:sz w:val="20"/>
                <w:szCs w:val="20"/>
                <w:color w:val="auto"/>
              </w:rPr>
            </w:pPr>
            <w:r>
              <w:rPr>
                <w:rFonts w:ascii="Times New Roman" w:cs="Times New Roman" w:eastAsia="Times New Roman" w:hAnsi="Times New Roman"/>
                <w:sz w:val="10"/>
                <w:szCs w:val="10"/>
                <w:color w:val="auto"/>
              </w:rPr>
              <w:t>4,876</w:t>
            </w:r>
          </w:p>
        </w:tc>
        <w:tc>
          <w:tcPr>
            <w:tcW w:w="220" w:type="dxa"/>
            <w:vAlign w:val="bottom"/>
            <w:shd w:val="clear" w:color="auto" w:fill="CCECFF"/>
          </w:tcPr>
          <w:p>
            <w:pPr>
              <w:spacing w:after="0"/>
              <w:rPr>
                <w:sz w:val="8"/>
                <w:szCs w:val="8"/>
                <w:color w:val="auto"/>
              </w:rPr>
            </w:pPr>
          </w:p>
        </w:tc>
        <w:tc>
          <w:tcPr>
            <w:tcW w:w="80" w:type="dxa"/>
            <w:vAlign w:val="bottom"/>
            <w:shd w:val="clear" w:color="auto" w:fill="CCECFF"/>
          </w:tcPr>
          <w:p>
            <w:pPr>
              <w:spacing w:after="0"/>
              <w:rPr>
                <w:sz w:val="8"/>
                <w:szCs w:val="8"/>
                <w:color w:val="auto"/>
              </w:rPr>
            </w:pPr>
          </w:p>
        </w:tc>
        <w:tc>
          <w:tcPr>
            <w:tcW w:w="700" w:type="dxa"/>
            <w:vAlign w:val="bottom"/>
            <w:shd w:val="clear" w:color="auto" w:fill="CCECFF"/>
          </w:tcPr>
          <w:p>
            <w:pPr>
              <w:jc w:val="right"/>
              <w:spacing w:after="0" w:line="95" w:lineRule="exact"/>
              <w:rPr>
                <w:sz w:val="20"/>
                <w:szCs w:val="20"/>
                <w:color w:val="auto"/>
              </w:rPr>
            </w:pPr>
            <w:r>
              <w:rPr>
                <w:rFonts w:ascii="Times New Roman" w:cs="Times New Roman" w:eastAsia="Times New Roman" w:hAnsi="Times New Roman"/>
                <w:sz w:val="10"/>
                <w:szCs w:val="10"/>
                <w:color w:val="auto"/>
              </w:rPr>
              <w:t>4,765</w:t>
            </w:r>
          </w:p>
        </w:tc>
        <w:tc>
          <w:tcPr>
            <w:tcW w:w="100" w:type="dxa"/>
            <w:vAlign w:val="bottom"/>
            <w:shd w:val="clear" w:color="auto" w:fill="CCECFF"/>
          </w:tcPr>
          <w:p>
            <w:pPr>
              <w:spacing w:after="0"/>
              <w:rPr>
                <w:sz w:val="8"/>
                <w:szCs w:val="8"/>
                <w:color w:val="auto"/>
              </w:rPr>
            </w:pPr>
          </w:p>
        </w:tc>
        <w:tc>
          <w:tcPr>
            <w:tcW w:w="0" w:type="dxa"/>
            <w:vAlign w:val="bottom"/>
          </w:tcPr>
          <w:p>
            <w:pPr>
              <w:spacing w:after="0"/>
              <w:rPr>
                <w:sz w:val="1"/>
                <w:szCs w:val="1"/>
                <w:color w:val="auto"/>
              </w:rPr>
            </w:pPr>
          </w:p>
        </w:tc>
      </w:tr>
      <w:tr>
        <w:trPr>
          <w:trHeight w:val="162"/>
        </w:trPr>
        <w:tc>
          <w:tcPr>
            <w:tcW w:w="2320" w:type="dxa"/>
            <w:vAlign w:val="bottom"/>
            <w:shd w:val="clear" w:color="auto" w:fill="CCECFF"/>
          </w:tcPr>
          <w:p>
            <w:pPr>
              <w:ind w:left="20"/>
              <w:spacing w:after="0" w:line="162" w:lineRule="exact"/>
              <w:rPr>
                <w:sz w:val="20"/>
                <w:szCs w:val="20"/>
                <w:color w:val="auto"/>
              </w:rPr>
            </w:pPr>
            <w:r>
              <w:rPr>
                <w:rFonts w:ascii="Times New Roman" w:cs="Times New Roman" w:eastAsia="Times New Roman" w:hAnsi="Times New Roman"/>
                <w:sz w:val="18"/>
                <w:szCs w:val="18"/>
                <w:color w:val="auto"/>
                <w:vertAlign w:val="subscript"/>
              </w:rPr>
              <w:t>LLC</w:t>
            </w:r>
            <w:r>
              <w:rPr>
                <w:rFonts w:ascii="Times New Roman" w:cs="Times New Roman" w:eastAsia="Times New Roman" w:hAnsi="Times New Roman"/>
                <w:sz w:val="7"/>
                <w:szCs w:val="7"/>
                <w:color w:val="auto"/>
              </w:rPr>
              <w:t xml:space="preserve"> (5), (10)</w:t>
            </w:r>
          </w:p>
        </w:tc>
        <w:tc>
          <w:tcPr>
            <w:tcW w:w="140" w:type="dxa"/>
            <w:vAlign w:val="bottom"/>
            <w:shd w:val="clear" w:color="auto" w:fill="CCECFF"/>
          </w:tcPr>
          <w:p>
            <w:pPr>
              <w:spacing w:after="0"/>
              <w:rPr>
                <w:sz w:val="14"/>
                <w:szCs w:val="14"/>
                <w:color w:val="auto"/>
              </w:rPr>
            </w:pPr>
          </w:p>
        </w:tc>
        <w:tc>
          <w:tcPr>
            <w:tcW w:w="72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2560" w:type="dxa"/>
            <w:vAlign w:val="bottom"/>
            <w:shd w:val="clear" w:color="auto" w:fill="CCECFF"/>
          </w:tcPr>
          <w:p>
            <w:pPr>
              <w:spacing w:after="0"/>
              <w:rPr>
                <w:sz w:val="14"/>
                <w:szCs w:val="14"/>
                <w:color w:val="auto"/>
              </w:rPr>
            </w:pPr>
          </w:p>
        </w:tc>
        <w:tc>
          <w:tcPr>
            <w:tcW w:w="1340" w:type="dxa"/>
            <w:vAlign w:val="bottom"/>
            <w:gridSpan w:val="3"/>
            <w:shd w:val="clear" w:color="auto" w:fill="CCECFF"/>
          </w:tcPr>
          <w:p>
            <w:pPr>
              <w:jc w:val="right"/>
              <w:ind w:right="86"/>
              <w:spacing w:after="0"/>
              <w:rPr>
                <w:sz w:val="20"/>
                <w:szCs w:val="20"/>
                <w:color w:val="auto"/>
              </w:rPr>
            </w:pPr>
            <w:r>
              <w:rPr>
                <w:rFonts w:ascii="Times New Roman" w:cs="Times New Roman" w:eastAsia="Times New Roman" w:hAnsi="Times New Roman"/>
                <w:sz w:val="11"/>
                <w:szCs w:val="11"/>
                <w:color w:val="auto"/>
              </w:rPr>
              <w:t>6.25 %</w:t>
            </w:r>
          </w:p>
        </w:tc>
        <w:tc>
          <w:tcPr>
            <w:tcW w:w="780" w:type="dxa"/>
            <w:vAlign w:val="bottom"/>
            <w:shd w:val="clear" w:color="auto" w:fill="CCECFF"/>
          </w:tcPr>
          <w:p>
            <w:pPr>
              <w:spacing w:after="0"/>
              <w:rPr>
                <w:sz w:val="14"/>
                <w:szCs w:val="14"/>
                <w:color w:val="auto"/>
              </w:rPr>
            </w:pPr>
          </w:p>
        </w:tc>
        <w:tc>
          <w:tcPr>
            <w:tcW w:w="10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4,913</w:t>
            </w:r>
          </w:p>
        </w:tc>
        <w:tc>
          <w:tcPr>
            <w:tcW w:w="220" w:type="dxa"/>
            <w:vAlign w:val="bottom"/>
            <w:shd w:val="clear" w:color="auto" w:fill="CCECFF"/>
          </w:tcPr>
          <w:p>
            <w:pPr>
              <w:spacing w:after="0"/>
              <w:rPr>
                <w:sz w:val="14"/>
                <w:szCs w:val="14"/>
                <w:color w:val="auto"/>
              </w:rPr>
            </w:pPr>
          </w:p>
        </w:tc>
        <w:tc>
          <w:tcPr>
            <w:tcW w:w="160" w:type="dxa"/>
            <w:vAlign w:val="bottom"/>
            <w:shd w:val="clear" w:color="auto" w:fill="CCECFF"/>
          </w:tcPr>
          <w:p>
            <w:pPr>
              <w:spacing w:after="0"/>
              <w:rPr>
                <w:sz w:val="14"/>
                <w:szCs w:val="14"/>
                <w:color w:val="auto"/>
              </w:rPr>
            </w:pPr>
          </w:p>
        </w:tc>
        <w:tc>
          <w:tcPr>
            <w:tcW w:w="58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80" w:type="dxa"/>
            <w:vAlign w:val="bottom"/>
            <w:shd w:val="clear" w:color="auto" w:fill="CCECFF"/>
          </w:tcPr>
          <w:p>
            <w:pPr>
              <w:spacing w:after="0"/>
              <w:rPr>
                <w:sz w:val="14"/>
                <w:szCs w:val="14"/>
                <w:color w:val="auto"/>
              </w:rPr>
            </w:pPr>
          </w:p>
        </w:tc>
        <w:tc>
          <w:tcPr>
            <w:tcW w:w="70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03"/>
        </w:trPr>
        <w:tc>
          <w:tcPr>
            <w:tcW w:w="2320" w:type="dxa"/>
            <w:vAlign w:val="bottom"/>
          </w:tcPr>
          <w:p>
            <w:pPr>
              <w:ind w:left="20"/>
              <w:spacing w:after="0" w:line="103" w:lineRule="exact"/>
              <w:rPr>
                <w:sz w:val="20"/>
                <w:szCs w:val="20"/>
                <w:color w:val="auto"/>
              </w:rPr>
            </w:pPr>
            <w:r>
              <w:rPr>
                <w:rFonts w:ascii="Times New Roman" w:cs="Times New Roman" w:eastAsia="Times New Roman" w:hAnsi="Times New Roman"/>
                <w:sz w:val="11"/>
                <w:szCs w:val="11"/>
                <w:color w:val="auto"/>
              </w:rPr>
              <w:t>TVC Enterprises, LLC</w:t>
            </w:r>
          </w:p>
        </w:tc>
        <w:tc>
          <w:tcPr>
            <w:tcW w:w="860" w:type="dxa"/>
            <w:vAlign w:val="bottom"/>
            <w:gridSpan w:val="2"/>
          </w:tcPr>
          <w:p>
            <w:pPr>
              <w:jc w:val="center"/>
              <w:ind w:left="86"/>
              <w:spacing w:after="0" w:line="103" w:lineRule="exact"/>
              <w:rPr>
                <w:sz w:val="20"/>
                <w:szCs w:val="20"/>
                <w:color w:val="auto"/>
              </w:rPr>
            </w:pPr>
            <w:r>
              <w:rPr>
                <w:rFonts w:ascii="Times New Roman" w:cs="Times New Roman" w:eastAsia="Times New Roman" w:hAnsi="Times New Roman"/>
                <w:sz w:val="11"/>
                <w:szCs w:val="11"/>
                <w:color w:val="auto"/>
                <w:w w:val="95"/>
              </w:rPr>
              <w:t>03/26/2026</w:t>
            </w:r>
          </w:p>
        </w:tc>
        <w:tc>
          <w:tcPr>
            <w:tcW w:w="280" w:type="dxa"/>
            <w:vAlign w:val="bottom"/>
          </w:tcPr>
          <w:p>
            <w:pPr>
              <w:spacing w:after="0"/>
              <w:rPr>
                <w:sz w:val="8"/>
                <w:szCs w:val="8"/>
                <w:color w:val="auto"/>
              </w:rPr>
            </w:pPr>
          </w:p>
        </w:tc>
        <w:tc>
          <w:tcPr>
            <w:tcW w:w="2560" w:type="dxa"/>
            <w:vAlign w:val="bottom"/>
          </w:tcPr>
          <w:p>
            <w:pPr>
              <w:jc w:val="center"/>
              <w:spacing w:after="0" w:line="103" w:lineRule="exact"/>
              <w:rPr>
                <w:sz w:val="20"/>
                <w:szCs w:val="20"/>
                <w:color w:val="auto"/>
              </w:rPr>
            </w:pPr>
            <w:r>
              <w:rPr>
                <w:rFonts w:ascii="Times New Roman" w:cs="Times New Roman" w:eastAsia="Times New Roman" w:hAnsi="Times New Roman"/>
                <w:sz w:val="11"/>
                <w:szCs w:val="11"/>
                <w:color w:val="auto"/>
                <w:w w:val="98"/>
              </w:rPr>
              <w:t>Commercial Services &amp; Supplies</w:t>
            </w:r>
          </w:p>
        </w:tc>
        <w:tc>
          <w:tcPr>
            <w:tcW w:w="1340" w:type="dxa"/>
            <w:vAlign w:val="bottom"/>
            <w:gridSpan w:val="3"/>
          </w:tcPr>
          <w:p>
            <w:pPr>
              <w:jc w:val="right"/>
              <w:ind w:right="86"/>
              <w:spacing w:after="0" w:line="103" w:lineRule="exact"/>
              <w:rPr>
                <w:sz w:val="20"/>
                <w:szCs w:val="20"/>
                <w:color w:val="auto"/>
              </w:rPr>
            </w:pPr>
            <w:r>
              <w:rPr>
                <w:rFonts w:ascii="Times New Roman" w:cs="Times New Roman" w:eastAsia="Times New Roman" w:hAnsi="Times New Roman"/>
                <w:sz w:val="11"/>
                <w:szCs w:val="11"/>
                <w:color w:val="auto"/>
              </w:rPr>
              <w:t>6.75 %</w:t>
            </w:r>
          </w:p>
        </w:tc>
        <w:tc>
          <w:tcPr>
            <w:tcW w:w="780" w:type="dxa"/>
            <w:vAlign w:val="bottom"/>
          </w:tcPr>
          <w:p>
            <w:pPr>
              <w:jc w:val="right"/>
              <w:spacing w:after="0" w:line="103" w:lineRule="exact"/>
              <w:rPr>
                <w:sz w:val="20"/>
                <w:szCs w:val="20"/>
                <w:color w:val="auto"/>
              </w:rPr>
            </w:pPr>
            <w:r>
              <w:rPr>
                <w:rFonts w:ascii="Times New Roman" w:cs="Times New Roman" w:eastAsia="Times New Roman" w:hAnsi="Times New Roman"/>
                <w:sz w:val="11"/>
                <w:szCs w:val="11"/>
                <w:color w:val="auto"/>
              </w:rPr>
              <w:t>1M L+575</w:t>
            </w:r>
          </w:p>
        </w:tc>
        <w:tc>
          <w:tcPr>
            <w:tcW w:w="1040" w:type="dxa"/>
            <w:vAlign w:val="bottom"/>
            <w:gridSpan w:val="2"/>
          </w:tcPr>
          <w:p>
            <w:pPr>
              <w:jc w:val="right"/>
              <w:spacing w:after="0" w:line="103" w:lineRule="exact"/>
              <w:rPr>
                <w:sz w:val="20"/>
                <w:szCs w:val="20"/>
                <w:color w:val="auto"/>
              </w:rPr>
            </w:pPr>
            <w:r>
              <w:rPr>
                <w:rFonts w:ascii="Times New Roman" w:cs="Times New Roman" w:eastAsia="Times New Roman" w:hAnsi="Times New Roman"/>
                <w:sz w:val="11"/>
                <w:szCs w:val="11"/>
                <w:color w:val="auto"/>
              </w:rPr>
              <w:t>24,987</w:t>
            </w: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jc w:val="right"/>
              <w:spacing w:after="0" w:line="103" w:lineRule="exact"/>
              <w:rPr>
                <w:sz w:val="20"/>
                <w:szCs w:val="20"/>
                <w:color w:val="auto"/>
              </w:rPr>
            </w:pPr>
            <w:r>
              <w:rPr>
                <w:rFonts w:ascii="Times New Roman" w:cs="Times New Roman" w:eastAsia="Times New Roman" w:hAnsi="Times New Roman"/>
                <w:sz w:val="11"/>
                <w:szCs w:val="11"/>
                <w:color w:val="auto"/>
              </w:rPr>
              <w:t>24,663</w:t>
            </w: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jc w:val="right"/>
              <w:spacing w:after="0" w:line="103" w:lineRule="exact"/>
              <w:rPr>
                <w:sz w:val="20"/>
                <w:szCs w:val="20"/>
                <w:color w:val="auto"/>
              </w:rPr>
            </w:pPr>
            <w:r>
              <w:rPr>
                <w:rFonts w:ascii="Times New Roman" w:cs="Times New Roman" w:eastAsia="Times New Roman" w:hAnsi="Times New Roman"/>
                <w:sz w:val="11"/>
                <w:szCs w:val="11"/>
                <w:color w:val="auto"/>
              </w:rPr>
              <w:t>24,987</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3"/>
        </w:trPr>
        <w:tc>
          <w:tcPr>
            <w:tcW w:w="2320" w:type="dxa"/>
            <w:vAlign w:val="bottom"/>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TVC Enterprises, LLC (Revolver) </w:t>
            </w:r>
            <w:r>
              <w:rPr>
                <w:rFonts w:ascii="Times New Roman" w:cs="Times New Roman" w:eastAsia="Times New Roman" w:hAnsi="Times New Roman"/>
                <w:sz w:val="14"/>
                <w:szCs w:val="14"/>
                <w:color w:val="auto"/>
                <w:vertAlign w:val="superscript"/>
              </w:rPr>
              <w:t>(7), (9)</w:t>
            </w:r>
          </w:p>
        </w:tc>
        <w:tc>
          <w:tcPr>
            <w:tcW w:w="86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5"/>
              </w:rPr>
              <w:t>03/26/2026</w:t>
            </w:r>
          </w:p>
        </w:tc>
        <w:tc>
          <w:tcPr>
            <w:tcW w:w="280" w:type="dxa"/>
            <w:vAlign w:val="bottom"/>
          </w:tcPr>
          <w:p>
            <w:pPr>
              <w:spacing w:after="0"/>
              <w:rPr>
                <w:sz w:val="13"/>
                <w:szCs w:val="13"/>
                <w:color w:val="auto"/>
              </w:rPr>
            </w:pPr>
          </w:p>
        </w:tc>
        <w:tc>
          <w:tcPr>
            <w:tcW w:w="25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Commercial Services &amp; Supplies</w:t>
            </w:r>
          </w:p>
        </w:tc>
        <w:tc>
          <w:tcPr>
            <w:tcW w:w="120" w:type="dxa"/>
            <w:vAlign w:val="bottom"/>
          </w:tcPr>
          <w:p>
            <w:pPr>
              <w:spacing w:after="0"/>
              <w:rPr>
                <w:sz w:val="13"/>
                <w:szCs w:val="13"/>
                <w:color w:val="auto"/>
              </w:rPr>
            </w:pPr>
          </w:p>
        </w:tc>
        <w:tc>
          <w:tcPr>
            <w:tcW w:w="1220" w:type="dxa"/>
            <w:vAlign w:val="bottom"/>
            <w:gridSpan w:val="2"/>
          </w:tcPr>
          <w:p>
            <w:pPr>
              <w:jc w:val="right"/>
              <w:ind w:right="206"/>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1,304</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17"/>
        </w:trPr>
        <w:tc>
          <w:tcPr>
            <w:tcW w:w="2320" w:type="dxa"/>
            <w:vAlign w:val="bottom"/>
          </w:tcPr>
          <w:p>
            <w:pPr>
              <w:ind w:left="20"/>
              <w:spacing w:after="0" w:line="117" w:lineRule="exact"/>
              <w:rPr>
                <w:sz w:val="20"/>
                <w:szCs w:val="20"/>
                <w:color w:val="auto"/>
              </w:rPr>
            </w:pPr>
            <w:r>
              <w:rPr>
                <w:rFonts w:ascii="Times New Roman" w:cs="Times New Roman" w:eastAsia="Times New Roman" w:hAnsi="Times New Roman"/>
                <w:sz w:val="11"/>
                <w:szCs w:val="11"/>
                <w:color w:val="auto"/>
              </w:rPr>
              <w:t>TWS Acquisition Corporation</w:t>
            </w:r>
          </w:p>
        </w:tc>
        <w:tc>
          <w:tcPr>
            <w:tcW w:w="860" w:type="dxa"/>
            <w:vAlign w:val="bottom"/>
            <w:gridSpan w:val="2"/>
          </w:tcPr>
          <w:p>
            <w:pPr>
              <w:jc w:val="center"/>
              <w:ind w:left="86"/>
              <w:spacing w:after="0" w:line="117" w:lineRule="exact"/>
              <w:rPr>
                <w:sz w:val="20"/>
                <w:szCs w:val="20"/>
                <w:color w:val="auto"/>
              </w:rPr>
            </w:pPr>
            <w:r>
              <w:rPr>
                <w:rFonts w:ascii="Times New Roman" w:cs="Times New Roman" w:eastAsia="Times New Roman" w:hAnsi="Times New Roman"/>
                <w:sz w:val="11"/>
                <w:szCs w:val="11"/>
                <w:color w:val="auto"/>
                <w:w w:val="95"/>
              </w:rPr>
              <w:t>06/16/2025</w:t>
            </w:r>
          </w:p>
        </w:tc>
        <w:tc>
          <w:tcPr>
            <w:tcW w:w="280" w:type="dxa"/>
            <w:vAlign w:val="bottom"/>
          </w:tcPr>
          <w:p>
            <w:pPr>
              <w:spacing w:after="0"/>
              <w:rPr>
                <w:sz w:val="10"/>
                <w:szCs w:val="10"/>
                <w:color w:val="auto"/>
              </w:rPr>
            </w:pPr>
          </w:p>
        </w:tc>
        <w:tc>
          <w:tcPr>
            <w:tcW w:w="256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color w:val="auto"/>
                <w:w w:val="97"/>
              </w:rPr>
              <w:t>Diversified Consumer Services</w:t>
            </w:r>
          </w:p>
        </w:tc>
        <w:tc>
          <w:tcPr>
            <w:tcW w:w="1340" w:type="dxa"/>
            <w:vAlign w:val="bottom"/>
            <w:gridSpan w:val="3"/>
          </w:tcPr>
          <w:p>
            <w:pPr>
              <w:jc w:val="right"/>
              <w:ind w:right="86"/>
              <w:spacing w:after="0" w:line="117" w:lineRule="exact"/>
              <w:rPr>
                <w:sz w:val="20"/>
                <w:szCs w:val="20"/>
                <w:color w:val="auto"/>
              </w:rPr>
            </w:pPr>
            <w:r>
              <w:rPr>
                <w:rFonts w:ascii="Times New Roman" w:cs="Times New Roman" w:eastAsia="Times New Roman" w:hAnsi="Times New Roman"/>
                <w:sz w:val="11"/>
                <w:szCs w:val="11"/>
                <w:color w:val="auto"/>
              </w:rPr>
              <w:t>7.25 %</w:t>
            </w:r>
          </w:p>
        </w:tc>
        <w:tc>
          <w:tcPr>
            <w:tcW w:w="78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1M L+625</w:t>
            </w:r>
          </w:p>
        </w:tc>
        <w:tc>
          <w:tcPr>
            <w:tcW w:w="104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1"/>
                <w:szCs w:val="11"/>
                <w:color w:val="auto"/>
              </w:rPr>
              <w:t>6,636</w:t>
            </w: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6,524</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6,636</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320" w:type="dxa"/>
            <w:vAlign w:val="bottom"/>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TWS Acquisition Corporation (Revolver) </w:t>
            </w:r>
            <w:r>
              <w:rPr>
                <w:rFonts w:ascii="Times New Roman" w:cs="Times New Roman" w:eastAsia="Times New Roman" w:hAnsi="Times New Roman"/>
                <w:sz w:val="14"/>
                <w:szCs w:val="14"/>
                <w:color w:val="auto"/>
                <w:vertAlign w:val="superscript"/>
              </w:rPr>
              <w:t>(7), (9)</w:t>
            </w:r>
          </w:p>
        </w:tc>
        <w:tc>
          <w:tcPr>
            <w:tcW w:w="86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5"/>
              </w:rPr>
              <w:t>06/16/2025</w:t>
            </w:r>
          </w:p>
        </w:tc>
        <w:tc>
          <w:tcPr>
            <w:tcW w:w="280" w:type="dxa"/>
            <w:vAlign w:val="bottom"/>
          </w:tcPr>
          <w:p>
            <w:pPr>
              <w:spacing w:after="0"/>
              <w:rPr>
                <w:sz w:val="13"/>
                <w:szCs w:val="13"/>
                <w:color w:val="auto"/>
              </w:rPr>
            </w:pPr>
          </w:p>
        </w:tc>
        <w:tc>
          <w:tcPr>
            <w:tcW w:w="25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Diversified Consumer Services</w:t>
            </w:r>
          </w:p>
        </w:tc>
        <w:tc>
          <w:tcPr>
            <w:tcW w:w="120" w:type="dxa"/>
            <w:vAlign w:val="bottom"/>
          </w:tcPr>
          <w:p>
            <w:pPr>
              <w:spacing w:after="0"/>
              <w:rPr>
                <w:sz w:val="13"/>
                <w:szCs w:val="13"/>
                <w:color w:val="auto"/>
              </w:rPr>
            </w:pPr>
          </w:p>
        </w:tc>
        <w:tc>
          <w:tcPr>
            <w:tcW w:w="1220" w:type="dxa"/>
            <w:vAlign w:val="bottom"/>
            <w:gridSpan w:val="2"/>
          </w:tcPr>
          <w:p>
            <w:pPr>
              <w:jc w:val="right"/>
              <w:ind w:right="206"/>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2,628</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17"/>
        </w:trPr>
        <w:tc>
          <w:tcPr>
            <w:tcW w:w="2320" w:type="dxa"/>
            <w:vAlign w:val="bottom"/>
          </w:tcPr>
          <w:p>
            <w:pPr>
              <w:ind w:left="20"/>
              <w:spacing w:after="0" w:line="117" w:lineRule="exact"/>
              <w:rPr>
                <w:sz w:val="20"/>
                <w:szCs w:val="20"/>
                <w:color w:val="auto"/>
              </w:rPr>
            </w:pPr>
            <w:r>
              <w:rPr>
                <w:rFonts w:ascii="Times New Roman" w:cs="Times New Roman" w:eastAsia="Times New Roman" w:hAnsi="Times New Roman"/>
                <w:sz w:val="11"/>
                <w:szCs w:val="11"/>
                <w:color w:val="auto"/>
              </w:rPr>
              <w:t>Tyto Athene, LLC</w:t>
            </w:r>
          </w:p>
        </w:tc>
        <w:tc>
          <w:tcPr>
            <w:tcW w:w="860" w:type="dxa"/>
            <w:vAlign w:val="bottom"/>
            <w:gridSpan w:val="2"/>
          </w:tcPr>
          <w:p>
            <w:pPr>
              <w:jc w:val="center"/>
              <w:ind w:left="86"/>
              <w:spacing w:after="0" w:line="117" w:lineRule="exact"/>
              <w:rPr>
                <w:sz w:val="20"/>
                <w:szCs w:val="20"/>
                <w:color w:val="auto"/>
              </w:rPr>
            </w:pPr>
            <w:r>
              <w:rPr>
                <w:rFonts w:ascii="Times New Roman" w:cs="Times New Roman" w:eastAsia="Times New Roman" w:hAnsi="Times New Roman"/>
                <w:sz w:val="11"/>
                <w:szCs w:val="11"/>
                <w:color w:val="auto"/>
                <w:w w:val="95"/>
              </w:rPr>
              <w:t>04/01/2028</w:t>
            </w:r>
          </w:p>
        </w:tc>
        <w:tc>
          <w:tcPr>
            <w:tcW w:w="280" w:type="dxa"/>
            <w:vAlign w:val="bottom"/>
          </w:tcPr>
          <w:p>
            <w:pPr>
              <w:spacing w:after="0"/>
              <w:rPr>
                <w:sz w:val="10"/>
                <w:szCs w:val="10"/>
                <w:color w:val="auto"/>
              </w:rPr>
            </w:pPr>
          </w:p>
        </w:tc>
        <w:tc>
          <w:tcPr>
            <w:tcW w:w="256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color w:val="auto"/>
                <w:w w:val="99"/>
              </w:rPr>
              <w:t>IT Services</w:t>
            </w:r>
          </w:p>
        </w:tc>
        <w:tc>
          <w:tcPr>
            <w:tcW w:w="1340" w:type="dxa"/>
            <w:vAlign w:val="bottom"/>
            <w:gridSpan w:val="3"/>
          </w:tcPr>
          <w:p>
            <w:pPr>
              <w:jc w:val="right"/>
              <w:ind w:right="86"/>
              <w:spacing w:after="0" w:line="117" w:lineRule="exact"/>
              <w:rPr>
                <w:sz w:val="20"/>
                <w:szCs w:val="20"/>
                <w:color w:val="auto"/>
              </w:rPr>
            </w:pPr>
            <w:r>
              <w:rPr>
                <w:rFonts w:ascii="Times New Roman" w:cs="Times New Roman" w:eastAsia="Times New Roman" w:hAnsi="Times New Roman"/>
                <w:sz w:val="11"/>
                <w:szCs w:val="11"/>
                <w:color w:val="auto"/>
              </w:rPr>
              <w:t>6.25 %</w:t>
            </w:r>
          </w:p>
        </w:tc>
        <w:tc>
          <w:tcPr>
            <w:tcW w:w="78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1M L+550</w:t>
            </w:r>
          </w:p>
        </w:tc>
        <w:tc>
          <w:tcPr>
            <w:tcW w:w="104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1"/>
                <w:szCs w:val="11"/>
                <w:color w:val="auto"/>
              </w:rPr>
              <w:t>12,036</w:t>
            </w: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11,861</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12,036</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320" w:type="dxa"/>
            <w:vAlign w:val="bottom"/>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Tyto Athene, LLC (Revolver) </w:t>
            </w:r>
            <w:r>
              <w:rPr>
                <w:rFonts w:ascii="Times New Roman" w:cs="Times New Roman" w:eastAsia="Times New Roman" w:hAnsi="Times New Roman"/>
                <w:sz w:val="14"/>
                <w:szCs w:val="14"/>
                <w:color w:val="auto"/>
                <w:vertAlign w:val="superscript"/>
              </w:rPr>
              <w:t>(7), (9)</w:t>
            </w:r>
          </w:p>
        </w:tc>
        <w:tc>
          <w:tcPr>
            <w:tcW w:w="86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5"/>
              </w:rPr>
              <w:t>04/01/2026</w:t>
            </w:r>
          </w:p>
        </w:tc>
        <w:tc>
          <w:tcPr>
            <w:tcW w:w="280" w:type="dxa"/>
            <w:vAlign w:val="bottom"/>
          </w:tcPr>
          <w:p>
            <w:pPr>
              <w:spacing w:after="0"/>
              <w:rPr>
                <w:sz w:val="13"/>
                <w:szCs w:val="13"/>
                <w:color w:val="auto"/>
              </w:rPr>
            </w:pPr>
          </w:p>
        </w:tc>
        <w:tc>
          <w:tcPr>
            <w:tcW w:w="25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IT Services</w:t>
            </w:r>
          </w:p>
        </w:tc>
        <w:tc>
          <w:tcPr>
            <w:tcW w:w="120" w:type="dxa"/>
            <w:vAlign w:val="bottom"/>
          </w:tcPr>
          <w:p>
            <w:pPr>
              <w:spacing w:after="0"/>
              <w:rPr>
                <w:sz w:val="13"/>
                <w:szCs w:val="13"/>
                <w:color w:val="auto"/>
              </w:rPr>
            </w:pPr>
          </w:p>
        </w:tc>
        <w:tc>
          <w:tcPr>
            <w:tcW w:w="1220" w:type="dxa"/>
            <w:vAlign w:val="bottom"/>
            <w:gridSpan w:val="2"/>
          </w:tcPr>
          <w:p>
            <w:pPr>
              <w:jc w:val="right"/>
              <w:ind w:right="206"/>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1,040</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35"/>
        </w:trPr>
        <w:tc>
          <w:tcPr>
            <w:tcW w:w="23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UBEO, LLC</w:t>
            </w:r>
          </w:p>
        </w:tc>
        <w:tc>
          <w:tcPr>
            <w:tcW w:w="86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5"/>
              </w:rPr>
              <w:t>04/03/2024</w:t>
            </w:r>
          </w:p>
        </w:tc>
        <w:tc>
          <w:tcPr>
            <w:tcW w:w="280" w:type="dxa"/>
            <w:vAlign w:val="bottom"/>
          </w:tcPr>
          <w:p>
            <w:pPr>
              <w:spacing w:after="0"/>
              <w:rPr>
                <w:sz w:val="11"/>
                <w:szCs w:val="11"/>
                <w:color w:val="auto"/>
              </w:rPr>
            </w:pPr>
          </w:p>
        </w:tc>
        <w:tc>
          <w:tcPr>
            <w:tcW w:w="25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Capital Equipment</w:t>
            </w:r>
          </w:p>
        </w:tc>
        <w:tc>
          <w:tcPr>
            <w:tcW w:w="1340" w:type="dxa"/>
            <w:vAlign w:val="bottom"/>
            <w:gridSpan w:val="3"/>
          </w:tcPr>
          <w:p>
            <w:pPr>
              <w:jc w:val="right"/>
              <w:ind w:right="86"/>
              <w:spacing w:after="0"/>
              <w:rPr>
                <w:sz w:val="20"/>
                <w:szCs w:val="20"/>
                <w:color w:val="auto"/>
              </w:rPr>
            </w:pPr>
            <w:r>
              <w:rPr>
                <w:rFonts w:ascii="Times New Roman" w:cs="Times New Roman" w:eastAsia="Times New Roman" w:hAnsi="Times New Roman"/>
                <w:sz w:val="11"/>
                <w:szCs w:val="11"/>
                <w:color w:val="auto"/>
              </w:rPr>
              <w:t>5.50 %</w:t>
            </w: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L+450</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18,112</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18,015</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18,022</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2320" w:type="dxa"/>
            <w:vAlign w:val="bottom"/>
          </w:tcPr>
          <w:p>
            <w:pPr>
              <w:ind w:left="20"/>
              <w:spacing w:after="0" w:line="117" w:lineRule="exact"/>
              <w:rPr>
                <w:sz w:val="20"/>
                <w:szCs w:val="20"/>
                <w:color w:val="auto"/>
              </w:rPr>
            </w:pPr>
            <w:r>
              <w:rPr>
                <w:rFonts w:ascii="Times New Roman" w:cs="Times New Roman" w:eastAsia="Times New Roman" w:hAnsi="Times New Roman"/>
                <w:sz w:val="11"/>
                <w:szCs w:val="11"/>
                <w:color w:val="auto"/>
              </w:rPr>
              <w:t>UBEO, LLC (Revolver)</w:t>
            </w:r>
          </w:p>
        </w:tc>
        <w:tc>
          <w:tcPr>
            <w:tcW w:w="860" w:type="dxa"/>
            <w:vAlign w:val="bottom"/>
            <w:gridSpan w:val="2"/>
          </w:tcPr>
          <w:p>
            <w:pPr>
              <w:jc w:val="center"/>
              <w:ind w:left="86"/>
              <w:spacing w:after="0" w:line="117" w:lineRule="exact"/>
              <w:rPr>
                <w:sz w:val="20"/>
                <w:szCs w:val="20"/>
                <w:color w:val="auto"/>
              </w:rPr>
            </w:pPr>
            <w:r>
              <w:rPr>
                <w:rFonts w:ascii="Times New Roman" w:cs="Times New Roman" w:eastAsia="Times New Roman" w:hAnsi="Times New Roman"/>
                <w:sz w:val="11"/>
                <w:szCs w:val="11"/>
                <w:color w:val="auto"/>
                <w:w w:val="95"/>
              </w:rPr>
              <w:t>04/03/2024</w:t>
            </w:r>
          </w:p>
        </w:tc>
        <w:tc>
          <w:tcPr>
            <w:tcW w:w="280" w:type="dxa"/>
            <w:vAlign w:val="bottom"/>
          </w:tcPr>
          <w:p>
            <w:pPr>
              <w:spacing w:after="0"/>
              <w:rPr>
                <w:sz w:val="10"/>
                <w:szCs w:val="10"/>
                <w:color w:val="auto"/>
              </w:rPr>
            </w:pPr>
          </w:p>
        </w:tc>
        <w:tc>
          <w:tcPr>
            <w:tcW w:w="256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color w:val="auto"/>
                <w:w w:val="98"/>
              </w:rPr>
              <w:t>Capital Equipment</w:t>
            </w:r>
          </w:p>
        </w:tc>
        <w:tc>
          <w:tcPr>
            <w:tcW w:w="1340" w:type="dxa"/>
            <w:vAlign w:val="bottom"/>
            <w:gridSpan w:val="3"/>
          </w:tcPr>
          <w:p>
            <w:pPr>
              <w:jc w:val="right"/>
              <w:ind w:right="86"/>
              <w:spacing w:after="0" w:line="117" w:lineRule="exact"/>
              <w:rPr>
                <w:sz w:val="20"/>
                <w:szCs w:val="20"/>
                <w:color w:val="auto"/>
              </w:rPr>
            </w:pPr>
            <w:r>
              <w:rPr>
                <w:rFonts w:ascii="Times New Roman" w:cs="Times New Roman" w:eastAsia="Times New Roman" w:hAnsi="Times New Roman"/>
                <w:sz w:val="11"/>
                <w:szCs w:val="11"/>
                <w:color w:val="auto"/>
              </w:rPr>
              <w:t>5.50 %</w:t>
            </w:r>
          </w:p>
        </w:tc>
        <w:tc>
          <w:tcPr>
            <w:tcW w:w="78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3M L+450</w:t>
            </w:r>
          </w:p>
        </w:tc>
        <w:tc>
          <w:tcPr>
            <w:tcW w:w="104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1"/>
                <w:szCs w:val="11"/>
                <w:color w:val="auto"/>
              </w:rPr>
              <w:t>1,467</w:t>
            </w: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1,467</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1,459</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3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 xml:space="preserve">UBEO, LLC (Revolver) </w:t>
            </w:r>
            <w:r>
              <w:rPr>
                <w:rFonts w:ascii="Times New Roman" w:cs="Times New Roman" w:eastAsia="Times New Roman" w:hAnsi="Times New Roman"/>
                <w:sz w:val="14"/>
                <w:szCs w:val="14"/>
                <w:color w:val="auto"/>
                <w:vertAlign w:val="superscript"/>
              </w:rPr>
              <w:t>(9)</w:t>
            </w:r>
          </w:p>
        </w:tc>
        <w:tc>
          <w:tcPr>
            <w:tcW w:w="86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5"/>
              </w:rPr>
              <w:t>04/03/2024</w:t>
            </w:r>
          </w:p>
        </w:tc>
        <w:tc>
          <w:tcPr>
            <w:tcW w:w="280" w:type="dxa"/>
            <w:vAlign w:val="bottom"/>
          </w:tcPr>
          <w:p>
            <w:pPr>
              <w:spacing w:after="0"/>
              <w:rPr>
                <w:sz w:val="14"/>
                <w:szCs w:val="14"/>
                <w:color w:val="auto"/>
              </w:rPr>
            </w:pPr>
          </w:p>
        </w:tc>
        <w:tc>
          <w:tcPr>
            <w:tcW w:w="25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Capital Equipment</w:t>
            </w:r>
          </w:p>
        </w:tc>
        <w:tc>
          <w:tcPr>
            <w:tcW w:w="120" w:type="dxa"/>
            <w:vAlign w:val="bottom"/>
          </w:tcPr>
          <w:p>
            <w:pPr>
              <w:spacing w:after="0"/>
              <w:rPr>
                <w:sz w:val="14"/>
                <w:szCs w:val="14"/>
                <w:color w:val="auto"/>
              </w:rPr>
            </w:pPr>
          </w:p>
        </w:tc>
        <w:tc>
          <w:tcPr>
            <w:tcW w:w="1220" w:type="dxa"/>
            <w:vAlign w:val="bottom"/>
            <w:gridSpan w:val="2"/>
          </w:tcPr>
          <w:p>
            <w:pPr>
              <w:jc w:val="right"/>
              <w:ind w:right="206"/>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1,467</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(7 )</w:t>
            </w:r>
          </w:p>
        </w:tc>
        <w:tc>
          <w:tcPr>
            <w:tcW w:w="0" w:type="dxa"/>
            <w:vAlign w:val="bottom"/>
          </w:tcPr>
          <w:p>
            <w:pPr>
              <w:spacing w:after="0"/>
              <w:rPr>
                <w:sz w:val="1"/>
                <w:szCs w:val="1"/>
                <w:color w:val="auto"/>
              </w:rPr>
            </w:pPr>
          </w:p>
        </w:tc>
      </w:tr>
      <w:tr>
        <w:trPr>
          <w:trHeight w:val="135"/>
        </w:trPr>
        <w:tc>
          <w:tcPr>
            <w:tcW w:w="23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Urology Management Associates, LLC</w:t>
            </w:r>
          </w:p>
        </w:tc>
        <w:tc>
          <w:tcPr>
            <w:tcW w:w="860" w:type="dxa"/>
            <w:vAlign w:val="bottom"/>
            <w:gridSpan w:val="2"/>
            <w:shd w:val="clear" w:color="auto" w:fill="CCECFF"/>
          </w:tcPr>
          <w:p>
            <w:pPr>
              <w:jc w:val="center"/>
              <w:ind w:left="86"/>
              <w:spacing w:after="0"/>
              <w:rPr>
                <w:sz w:val="20"/>
                <w:szCs w:val="20"/>
                <w:color w:val="auto"/>
              </w:rPr>
            </w:pPr>
            <w:r>
              <w:rPr>
                <w:rFonts w:ascii="Times New Roman" w:cs="Times New Roman" w:eastAsia="Times New Roman" w:hAnsi="Times New Roman"/>
                <w:sz w:val="11"/>
                <w:szCs w:val="11"/>
                <w:color w:val="auto"/>
                <w:w w:val="95"/>
              </w:rPr>
              <w:t>08/30/2024</w:t>
            </w:r>
          </w:p>
        </w:tc>
        <w:tc>
          <w:tcPr>
            <w:tcW w:w="280" w:type="dxa"/>
            <w:vAlign w:val="bottom"/>
            <w:shd w:val="clear" w:color="auto" w:fill="CCECFF"/>
          </w:tcPr>
          <w:p>
            <w:pPr>
              <w:spacing w:after="0"/>
              <w:rPr>
                <w:sz w:val="11"/>
                <w:szCs w:val="11"/>
                <w:color w:val="auto"/>
              </w:rPr>
            </w:pPr>
          </w:p>
        </w:tc>
        <w:tc>
          <w:tcPr>
            <w:tcW w:w="25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Healthcare Providers and Services</w:t>
            </w:r>
          </w:p>
        </w:tc>
        <w:tc>
          <w:tcPr>
            <w:tcW w:w="1340" w:type="dxa"/>
            <w:vAlign w:val="bottom"/>
            <w:gridSpan w:val="3"/>
            <w:shd w:val="clear" w:color="auto" w:fill="CCECFF"/>
          </w:tcPr>
          <w:p>
            <w:pPr>
              <w:jc w:val="right"/>
              <w:ind w:right="86"/>
              <w:spacing w:after="0"/>
              <w:rPr>
                <w:sz w:val="20"/>
                <w:szCs w:val="20"/>
                <w:color w:val="auto"/>
              </w:rPr>
            </w:pPr>
            <w:r>
              <w:rPr>
                <w:rFonts w:ascii="Times New Roman" w:cs="Times New Roman" w:eastAsia="Times New Roman" w:hAnsi="Times New Roman"/>
                <w:sz w:val="11"/>
                <w:szCs w:val="11"/>
                <w:color w:val="auto"/>
              </w:rPr>
              <w:t>5.50 %</w:t>
            </w:r>
          </w:p>
        </w:tc>
        <w:tc>
          <w:tcPr>
            <w:tcW w:w="7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L+450</w:t>
            </w:r>
          </w:p>
        </w:tc>
        <w:tc>
          <w:tcPr>
            <w:tcW w:w="10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4,776</w:t>
            </w:r>
          </w:p>
        </w:tc>
        <w:tc>
          <w:tcPr>
            <w:tcW w:w="2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4,721</w:t>
            </w:r>
          </w:p>
        </w:tc>
        <w:tc>
          <w:tcPr>
            <w:tcW w:w="22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4,752</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3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Vision Purchaser Corporation</w:t>
            </w:r>
          </w:p>
        </w:tc>
        <w:tc>
          <w:tcPr>
            <w:tcW w:w="86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5"/>
              </w:rPr>
              <w:t>06/10/2025</w:t>
            </w:r>
          </w:p>
        </w:tc>
        <w:tc>
          <w:tcPr>
            <w:tcW w:w="280" w:type="dxa"/>
            <w:vAlign w:val="bottom"/>
          </w:tcPr>
          <w:p>
            <w:pPr>
              <w:spacing w:after="0"/>
              <w:rPr>
                <w:sz w:val="11"/>
                <w:szCs w:val="11"/>
                <w:color w:val="auto"/>
              </w:rPr>
            </w:pPr>
          </w:p>
        </w:tc>
        <w:tc>
          <w:tcPr>
            <w:tcW w:w="25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Media</w:t>
            </w:r>
          </w:p>
        </w:tc>
        <w:tc>
          <w:tcPr>
            <w:tcW w:w="1340" w:type="dxa"/>
            <w:vAlign w:val="bottom"/>
            <w:gridSpan w:val="3"/>
          </w:tcPr>
          <w:p>
            <w:pPr>
              <w:jc w:val="right"/>
              <w:ind w:right="86"/>
              <w:spacing w:after="0"/>
              <w:rPr>
                <w:sz w:val="20"/>
                <w:szCs w:val="20"/>
                <w:color w:val="auto"/>
              </w:rPr>
            </w:pPr>
            <w:r>
              <w:rPr>
                <w:rFonts w:ascii="Times New Roman" w:cs="Times New Roman" w:eastAsia="Times New Roman" w:hAnsi="Times New Roman"/>
                <w:sz w:val="11"/>
                <w:szCs w:val="11"/>
                <w:color w:val="auto"/>
              </w:rPr>
              <w:t>7.75 %</w:t>
            </w: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1M L+675</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14,249</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14,045</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14,035</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3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Walker Edison Furniture Company LLC</w:t>
            </w:r>
          </w:p>
        </w:tc>
        <w:tc>
          <w:tcPr>
            <w:tcW w:w="860" w:type="dxa"/>
            <w:vAlign w:val="bottom"/>
            <w:gridSpan w:val="2"/>
            <w:shd w:val="clear" w:color="auto" w:fill="CCECFF"/>
          </w:tcPr>
          <w:p>
            <w:pPr>
              <w:jc w:val="center"/>
              <w:ind w:left="86"/>
              <w:spacing w:after="0"/>
              <w:rPr>
                <w:sz w:val="20"/>
                <w:szCs w:val="20"/>
                <w:color w:val="auto"/>
              </w:rPr>
            </w:pPr>
            <w:r>
              <w:rPr>
                <w:rFonts w:ascii="Times New Roman" w:cs="Times New Roman" w:eastAsia="Times New Roman" w:hAnsi="Times New Roman"/>
                <w:sz w:val="11"/>
                <w:szCs w:val="11"/>
                <w:color w:val="auto"/>
                <w:w w:val="95"/>
              </w:rPr>
              <w:t>03/31/2027</w:t>
            </w:r>
          </w:p>
        </w:tc>
        <w:tc>
          <w:tcPr>
            <w:tcW w:w="280" w:type="dxa"/>
            <w:vAlign w:val="bottom"/>
            <w:shd w:val="clear" w:color="auto" w:fill="CCECFF"/>
          </w:tcPr>
          <w:p>
            <w:pPr>
              <w:spacing w:after="0"/>
              <w:rPr>
                <w:sz w:val="11"/>
                <w:szCs w:val="11"/>
                <w:color w:val="auto"/>
              </w:rPr>
            </w:pPr>
          </w:p>
        </w:tc>
        <w:tc>
          <w:tcPr>
            <w:tcW w:w="25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Wholesale</w:t>
            </w:r>
          </w:p>
        </w:tc>
        <w:tc>
          <w:tcPr>
            <w:tcW w:w="1340" w:type="dxa"/>
            <w:vAlign w:val="bottom"/>
            <w:gridSpan w:val="3"/>
            <w:shd w:val="clear" w:color="auto" w:fill="CCECFF"/>
          </w:tcPr>
          <w:p>
            <w:pPr>
              <w:jc w:val="right"/>
              <w:ind w:right="86"/>
              <w:spacing w:after="0"/>
              <w:rPr>
                <w:sz w:val="20"/>
                <w:szCs w:val="20"/>
                <w:color w:val="auto"/>
              </w:rPr>
            </w:pPr>
            <w:r>
              <w:rPr>
                <w:rFonts w:ascii="Times New Roman" w:cs="Times New Roman" w:eastAsia="Times New Roman" w:hAnsi="Times New Roman"/>
                <w:sz w:val="11"/>
                <w:szCs w:val="11"/>
                <w:color w:val="auto"/>
              </w:rPr>
              <w:t>6.75 %</w:t>
            </w:r>
          </w:p>
        </w:tc>
        <w:tc>
          <w:tcPr>
            <w:tcW w:w="7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1M L+575</w:t>
            </w:r>
          </w:p>
        </w:tc>
        <w:tc>
          <w:tcPr>
            <w:tcW w:w="10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12,438</w:t>
            </w:r>
          </w:p>
        </w:tc>
        <w:tc>
          <w:tcPr>
            <w:tcW w:w="2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12,147</w:t>
            </w:r>
          </w:p>
        </w:tc>
        <w:tc>
          <w:tcPr>
            <w:tcW w:w="22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11,971</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03"/>
        </w:trPr>
        <w:tc>
          <w:tcPr>
            <w:tcW w:w="2320" w:type="dxa"/>
            <w:vAlign w:val="bottom"/>
          </w:tcPr>
          <w:p>
            <w:pPr>
              <w:ind w:left="20"/>
              <w:spacing w:after="0" w:line="103" w:lineRule="exact"/>
              <w:rPr>
                <w:sz w:val="20"/>
                <w:szCs w:val="20"/>
                <w:color w:val="auto"/>
              </w:rPr>
            </w:pPr>
            <w:r>
              <w:rPr>
                <w:rFonts w:ascii="Times New Roman" w:cs="Times New Roman" w:eastAsia="Times New Roman" w:hAnsi="Times New Roman"/>
                <w:sz w:val="11"/>
                <w:szCs w:val="11"/>
                <w:color w:val="auto"/>
              </w:rPr>
              <w:t>Wildcat Buyerco, Inc.</w:t>
            </w:r>
          </w:p>
        </w:tc>
        <w:tc>
          <w:tcPr>
            <w:tcW w:w="860" w:type="dxa"/>
            <w:vAlign w:val="bottom"/>
            <w:gridSpan w:val="2"/>
          </w:tcPr>
          <w:p>
            <w:pPr>
              <w:jc w:val="center"/>
              <w:ind w:left="86"/>
              <w:spacing w:after="0" w:line="103" w:lineRule="exact"/>
              <w:rPr>
                <w:sz w:val="20"/>
                <w:szCs w:val="20"/>
                <w:color w:val="auto"/>
              </w:rPr>
            </w:pPr>
            <w:r>
              <w:rPr>
                <w:rFonts w:ascii="Times New Roman" w:cs="Times New Roman" w:eastAsia="Times New Roman" w:hAnsi="Times New Roman"/>
                <w:sz w:val="11"/>
                <w:szCs w:val="11"/>
                <w:color w:val="auto"/>
                <w:w w:val="95"/>
              </w:rPr>
              <w:t>02/27/2026</w:t>
            </w:r>
          </w:p>
        </w:tc>
        <w:tc>
          <w:tcPr>
            <w:tcW w:w="280" w:type="dxa"/>
            <w:vAlign w:val="bottom"/>
          </w:tcPr>
          <w:p>
            <w:pPr>
              <w:spacing w:after="0"/>
              <w:rPr>
                <w:sz w:val="8"/>
                <w:szCs w:val="8"/>
                <w:color w:val="auto"/>
              </w:rPr>
            </w:pPr>
          </w:p>
        </w:tc>
        <w:tc>
          <w:tcPr>
            <w:tcW w:w="2560" w:type="dxa"/>
            <w:vAlign w:val="bottom"/>
          </w:tcPr>
          <w:p>
            <w:pPr>
              <w:jc w:val="center"/>
              <w:spacing w:after="0" w:line="103" w:lineRule="exact"/>
              <w:rPr>
                <w:sz w:val="20"/>
                <w:szCs w:val="20"/>
                <w:color w:val="auto"/>
              </w:rPr>
            </w:pPr>
            <w:r>
              <w:rPr>
                <w:rFonts w:ascii="Times New Roman" w:cs="Times New Roman" w:eastAsia="Times New Roman" w:hAnsi="Times New Roman"/>
                <w:sz w:val="11"/>
                <w:szCs w:val="11"/>
                <w:color w:val="auto"/>
                <w:w w:val="98"/>
              </w:rPr>
              <w:t>Electronic Equipment, Instruments, and Components</w:t>
            </w:r>
          </w:p>
        </w:tc>
        <w:tc>
          <w:tcPr>
            <w:tcW w:w="1340" w:type="dxa"/>
            <w:vAlign w:val="bottom"/>
            <w:gridSpan w:val="3"/>
          </w:tcPr>
          <w:p>
            <w:pPr>
              <w:jc w:val="right"/>
              <w:ind w:right="86"/>
              <w:spacing w:after="0" w:line="103" w:lineRule="exact"/>
              <w:rPr>
                <w:sz w:val="20"/>
                <w:szCs w:val="20"/>
                <w:color w:val="auto"/>
              </w:rPr>
            </w:pPr>
            <w:r>
              <w:rPr>
                <w:rFonts w:ascii="Times New Roman" w:cs="Times New Roman" w:eastAsia="Times New Roman" w:hAnsi="Times New Roman"/>
                <w:sz w:val="11"/>
                <w:szCs w:val="11"/>
                <w:color w:val="auto"/>
              </w:rPr>
              <w:t>6.00 %</w:t>
            </w:r>
          </w:p>
        </w:tc>
        <w:tc>
          <w:tcPr>
            <w:tcW w:w="780" w:type="dxa"/>
            <w:vAlign w:val="bottom"/>
          </w:tcPr>
          <w:p>
            <w:pPr>
              <w:jc w:val="right"/>
              <w:spacing w:after="0" w:line="103" w:lineRule="exact"/>
              <w:rPr>
                <w:sz w:val="20"/>
                <w:szCs w:val="20"/>
                <w:color w:val="auto"/>
              </w:rPr>
            </w:pPr>
            <w:r>
              <w:rPr>
                <w:rFonts w:ascii="Times New Roman" w:cs="Times New Roman" w:eastAsia="Times New Roman" w:hAnsi="Times New Roman"/>
                <w:sz w:val="11"/>
                <w:szCs w:val="11"/>
                <w:color w:val="auto"/>
              </w:rPr>
              <w:t>3M L+500</w:t>
            </w:r>
          </w:p>
        </w:tc>
        <w:tc>
          <w:tcPr>
            <w:tcW w:w="1040" w:type="dxa"/>
            <w:vAlign w:val="bottom"/>
            <w:gridSpan w:val="2"/>
          </w:tcPr>
          <w:p>
            <w:pPr>
              <w:jc w:val="right"/>
              <w:spacing w:after="0" w:line="103" w:lineRule="exact"/>
              <w:rPr>
                <w:sz w:val="20"/>
                <w:szCs w:val="20"/>
                <w:color w:val="auto"/>
              </w:rPr>
            </w:pPr>
            <w:r>
              <w:rPr>
                <w:rFonts w:ascii="Times New Roman" w:cs="Times New Roman" w:eastAsia="Times New Roman" w:hAnsi="Times New Roman"/>
                <w:sz w:val="11"/>
                <w:szCs w:val="11"/>
                <w:color w:val="auto"/>
              </w:rPr>
              <w:t>3,057</w:t>
            </w: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jc w:val="right"/>
              <w:spacing w:after="0" w:line="103" w:lineRule="exact"/>
              <w:rPr>
                <w:sz w:val="20"/>
                <w:szCs w:val="20"/>
                <w:color w:val="auto"/>
              </w:rPr>
            </w:pPr>
            <w:r>
              <w:rPr>
                <w:rFonts w:ascii="Times New Roman" w:cs="Times New Roman" w:eastAsia="Times New Roman" w:hAnsi="Times New Roman"/>
                <w:sz w:val="11"/>
                <w:szCs w:val="11"/>
                <w:color w:val="auto"/>
              </w:rPr>
              <w:t>3,039</w:t>
            </w: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jc w:val="right"/>
              <w:spacing w:after="0" w:line="103" w:lineRule="exact"/>
              <w:rPr>
                <w:sz w:val="20"/>
                <w:szCs w:val="20"/>
                <w:color w:val="auto"/>
              </w:rPr>
            </w:pPr>
            <w:r>
              <w:rPr>
                <w:rFonts w:ascii="Times New Roman" w:cs="Times New Roman" w:eastAsia="Times New Roman" w:hAnsi="Times New Roman"/>
                <w:sz w:val="11"/>
                <w:szCs w:val="11"/>
                <w:color w:val="auto"/>
              </w:rPr>
              <w:t>3,042</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232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Wildcat Buyerco, Inc. </w:t>
            </w:r>
            <w:r>
              <w:rPr>
                <w:rFonts w:ascii="Times New Roman" w:cs="Times New Roman" w:eastAsia="Times New Roman" w:hAnsi="Times New Roman"/>
                <w:sz w:val="14"/>
                <w:szCs w:val="14"/>
                <w:color w:val="auto"/>
                <w:vertAlign w:val="superscript"/>
              </w:rPr>
              <w:t>(7), (9)</w:t>
            </w:r>
          </w:p>
        </w:tc>
        <w:tc>
          <w:tcPr>
            <w:tcW w:w="86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5"/>
              </w:rPr>
              <w:t>02/27/2022</w:t>
            </w:r>
          </w:p>
        </w:tc>
        <w:tc>
          <w:tcPr>
            <w:tcW w:w="280" w:type="dxa"/>
            <w:vAlign w:val="bottom"/>
          </w:tcPr>
          <w:p>
            <w:pPr>
              <w:spacing w:after="0"/>
              <w:rPr>
                <w:sz w:val="11"/>
                <w:szCs w:val="11"/>
                <w:color w:val="auto"/>
              </w:rPr>
            </w:pPr>
          </w:p>
        </w:tc>
        <w:tc>
          <w:tcPr>
            <w:tcW w:w="25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Electronic Equipment, Instruments, and Components</w:t>
            </w:r>
          </w:p>
        </w:tc>
        <w:tc>
          <w:tcPr>
            <w:tcW w:w="120" w:type="dxa"/>
            <w:vAlign w:val="bottom"/>
          </w:tcPr>
          <w:p>
            <w:pPr>
              <w:spacing w:after="0"/>
              <w:rPr>
                <w:sz w:val="11"/>
                <w:szCs w:val="11"/>
                <w:color w:val="auto"/>
              </w:rPr>
            </w:pPr>
          </w:p>
        </w:tc>
        <w:tc>
          <w:tcPr>
            <w:tcW w:w="1220" w:type="dxa"/>
            <w:vAlign w:val="bottom"/>
            <w:gridSpan w:val="2"/>
          </w:tcPr>
          <w:p>
            <w:pPr>
              <w:jc w:val="right"/>
              <w:ind w:right="206"/>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2,491</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3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 xml:space="preserve">Wildcat Buyerco, Inc. (Revolver) </w:t>
            </w:r>
            <w:r>
              <w:rPr>
                <w:rFonts w:ascii="Times New Roman" w:cs="Times New Roman" w:eastAsia="Times New Roman" w:hAnsi="Times New Roman"/>
                <w:sz w:val="14"/>
                <w:szCs w:val="14"/>
                <w:color w:val="auto"/>
                <w:vertAlign w:val="superscript"/>
              </w:rPr>
              <w:t>(7), (9)</w:t>
            </w:r>
          </w:p>
        </w:tc>
        <w:tc>
          <w:tcPr>
            <w:tcW w:w="86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5"/>
              </w:rPr>
              <w:t>02/27/2026</w:t>
            </w:r>
          </w:p>
        </w:tc>
        <w:tc>
          <w:tcPr>
            <w:tcW w:w="280" w:type="dxa"/>
            <w:vAlign w:val="bottom"/>
          </w:tcPr>
          <w:p>
            <w:pPr>
              <w:spacing w:after="0"/>
              <w:rPr>
                <w:sz w:val="14"/>
                <w:szCs w:val="14"/>
                <w:color w:val="auto"/>
              </w:rPr>
            </w:pPr>
          </w:p>
        </w:tc>
        <w:tc>
          <w:tcPr>
            <w:tcW w:w="25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Electronic Equipment, Instruments, and Components</w:t>
            </w:r>
          </w:p>
        </w:tc>
        <w:tc>
          <w:tcPr>
            <w:tcW w:w="120" w:type="dxa"/>
            <w:vAlign w:val="bottom"/>
          </w:tcPr>
          <w:p>
            <w:pPr>
              <w:spacing w:after="0"/>
              <w:rPr>
                <w:sz w:val="14"/>
                <w:szCs w:val="14"/>
                <w:color w:val="auto"/>
              </w:rPr>
            </w:pPr>
          </w:p>
        </w:tc>
        <w:tc>
          <w:tcPr>
            <w:tcW w:w="1220" w:type="dxa"/>
            <w:vAlign w:val="bottom"/>
            <w:gridSpan w:val="2"/>
          </w:tcPr>
          <w:p>
            <w:pPr>
              <w:jc w:val="right"/>
              <w:ind w:right="206"/>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534</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(7 )</w:t>
            </w:r>
          </w:p>
        </w:tc>
        <w:tc>
          <w:tcPr>
            <w:tcW w:w="0" w:type="dxa"/>
            <w:vAlign w:val="bottom"/>
          </w:tcPr>
          <w:p>
            <w:pPr>
              <w:spacing w:after="0"/>
              <w:rPr>
                <w:sz w:val="1"/>
                <w:szCs w:val="1"/>
                <w:color w:val="auto"/>
              </w:rPr>
            </w:pPr>
          </w:p>
        </w:tc>
      </w:tr>
      <w:tr>
        <w:trPr>
          <w:trHeight w:val="128"/>
        </w:trPr>
        <w:tc>
          <w:tcPr>
            <w:tcW w:w="232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1"/>
                <w:szCs w:val="11"/>
                <w:b w:val="1"/>
                <w:bCs w:val="1"/>
                <w:color w:val="auto"/>
              </w:rPr>
              <w:t>Total First Lien Secured Debt</w:t>
            </w:r>
          </w:p>
        </w:tc>
        <w:tc>
          <w:tcPr>
            <w:tcW w:w="140" w:type="dxa"/>
            <w:vAlign w:val="bottom"/>
            <w:tcBorders>
              <w:bottom w:val="single" w:sz="8" w:color="CCECFF"/>
            </w:tcBorders>
            <w:shd w:val="clear" w:color="auto" w:fill="CCECFF"/>
          </w:tcPr>
          <w:p>
            <w:pPr>
              <w:spacing w:after="0"/>
              <w:rPr>
                <w:sz w:val="11"/>
                <w:szCs w:val="11"/>
                <w:color w:val="auto"/>
              </w:rPr>
            </w:pPr>
          </w:p>
        </w:tc>
        <w:tc>
          <w:tcPr>
            <w:tcW w:w="720" w:type="dxa"/>
            <w:vAlign w:val="bottom"/>
            <w:tcBorders>
              <w:bottom w:val="single" w:sz="8" w:color="CCECFF"/>
            </w:tcBorders>
            <w:shd w:val="clear" w:color="auto" w:fill="CCECFF"/>
          </w:tcPr>
          <w:p>
            <w:pPr>
              <w:spacing w:after="0"/>
              <w:rPr>
                <w:sz w:val="11"/>
                <w:szCs w:val="11"/>
                <w:color w:val="auto"/>
              </w:rPr>
            </w:pPr>
          </w:p>
        </w:tc>
        <w:tc>
          <w:tcPr>
            <w:tcW w:w="280" w:type="dxa"/>
            <w:vAlign w:val="bottom"/>
            <w:tcBorders>
              <w:bottom w:val="single" w:sz="8" w:color="CCECFF"/>
            </w:tcBorders>
            <w:shd w:val="clear" w:color="auto" w:fill="CCECFF"/>
          </w:tcPr>
          <w:p>
            <w:pPr>
              <w:spacing w:after="0"/>
              <w:rPr>
                <w:sz w:val="11"/>
                <w:szCs w:val="11"/>
                <w:color w:val="auto"/>
              </w:rPr>
            </w:pPr>
          </w:p>
        </w:tc>
        <w:tc>
          <w:tcPr>
            <w:tcW w:w="2560" w:type="dxa"/>
            <w:vAlign w:val="bottom"/>
            <w:tcBorders>
              <w:bottom w:val="single" w:sz="8" w:color="CCECFF"/>
            </w:tcBorders>
            <w:shd w:val="clear" w:color="auto" w:fill="CCECFF"/>
          </w:tcPr>
          <w:p>
            <w:pPr>
              <w:spacing w:after="0"/>
              <w:rPr>
                <w:sz w:val="11"/>
                <w:szCs w:val="11"/>
                <w:color w:val="auto"/>
              </w:rPr>
            </w:pPr>
          </w:p>
        </w:tc>
        <w:tc>
          <w:tcPr>
            <w:tcW w:w="120" w:type="dxa"/>
            <w:vAlign w:val="bottom"/>
            <w:tcBorders>
              <w:bottom w:val="single" w:sz="8" w:color="CCECFF"/>
            </w:tcBorders>
            <w:shd w:val="clear" w:color="auto" w:fill="CCECFF"/>
          </w:tcPr>
          <w:p>
            <w:pPr>
              <w:spacing w:after="0"/>
              <w:rPr>
                <w:sz w:val="11"/>
                <w:szCs w:val="11"/>
                <w:color w:val="auto"/>
              </w:rPr>
            </w:pPr>
          </w:p>
        </w:tc>
        <w:tc>
          <w:tcPr>
            <w:tcW w:w="980" w:type="dxa"/>
            <w:vAlign w:val="bottom"/>
            <w:tcBorders>
              <w:bottom w:val="single" w:sz="8" w:color="CCECFF"/>
            </w:tcBorders>
            <w:shd w:val="clear" w:color="auto" w:fill="CCECFF"/>
          </w:tcPr>
          <w:p>
            <w:pPr>
              <w:spacing w:after="0"/>
              <w:rPr>
                <w:sz w:val="11"/>
                <w:szCs w:val="11"/>
                <w:color w:val="auto"/>
              </w:rPr>
            </w:pPr>
          </w:p>
        </w:tc>
        <w:tc>
          <w:tcPr>
            <w:tcW w:w="240" w:type="dxa"/>
            <w:vAlign w:val="bottom"/>
            <w:tcBorders>
              <w:bottom w:val="single" w:sz="8" w:color="CCECFF"/>
            </w:tcBorders>
            <w:shd w:val="clear" w:color="auto" w:fill="CCECFF"/>
          </w:tcPr>
          <w:p>
            <w:pPr>
              <w:spacing w:after="0"/>
              <w:rPr>
                <w:sz w:val="11"/>
                <w:szCs w:val="11"/>
                <w:color w:val="auto"/>
              </w:rPr>
            </w:pPr>
          </w:p>
        </w:tc>
        <w:tc>
          <w:tcPr>
            <w:tcW w:w="780" w:type="dxa"/>
            <w:vAlign w:val="bottom"/>
            <w:tcBorders>
              <w:bottom w:val="single" w:sz="8" w:color="CCECFF"/>
            </w:tcBorders>
            <w:shd w:val="clear" w:color="auto" w:fill="CCECFF"/>
          </w:tcPr>
          <w:p>
            <w:pPr>
              <w:spacing w:after="0"/>
              <w:rPr>
                <w:sz w:val="11"/>
                <w:szCs w:val="11"/>
                <w:color w:val="auto"/>
              </w:rPr>
            </w:pPr>
          </w:p>
        </w:tc>
        <w:tc>
          <w:tcPr>
            <w:tcW w:w="220" w:type="dxa"/>
            <w:vAlign w:val="bottom"/>
            <w:tcBorders>
              <w:bottom w:val="single" w:sz="8" w:color="CCECFF"/>
            </w:tcBorders>
            <w:shd w:val="clear" w:color="auto" w:fill="CCECFF"/>
          </w:tcPr>
          <w:p>
            <w:pPr>
              <w:spacing w:after="0"/>
              <w:rPr>
                <w:sz w:val="11"/>
                <w:szCs w:val="11"/>
                <w:color w:val="auto"/>
              </w:rPr>
            </w:pPr>
          </w:p>
        </w:tc>
        <w:tc>
          <w:tcPr>
            <w:tcW w:w="820" w:type="dxa"/>
            <w:vAlign w:val="bottom"/>
            <w:tcBorders>
              <w:bottom w:val="single" w:sz="8" w:color="CCECFF"/>
            </w:tcBorders>
            <w:shd w:val="clear" w:color="auto" w:fill="CCECFF"/>
          </w:tcPr>
          <w:p>
            <w:pPr>
              <w:spacing w:after="0"/>
              <w:rPr>
                <w:sz w:val="11"/>
                <w:szCs w:val="11"/>
                <w:color w:val="auto"/>
              </w:rPr>
            </w:pPr>
          </w:p>
        </w:tc>
        <w:tc>
          <w:tcPr>
            <w:tcW w:w="220" w:type="dxa"/>
            <w:vAlign w:val="bottom"/>
            <w:tcBorders>
              <w:bottom w:val="single" w:sz="8" w:color="CCECFF"/>
            </w:tcBorders>
            <w:shd w:val="clear" w:color="auto" w:fill="CCECFF"/>
          </w:tcPr>
          <w:p>
            <w:pPr>
              <w:spacing w:after="0"/>
              <w:rPr>
                <w:sz w:val="11"/>
                <w:szCs w:val="11"/>
                <w:color w:val="auto"/>
              </w:rPr>
            </w:pPr>
          </w:p>
        </w:tc>
        <w:tc>
          <w:tcPr>
            <w:tcW w:w="160" w:type="dxa"/>
            <w:vAlign w:val="bottom"/>
            <w:tcBorders>
              <w:top w:val="single" w:sz="8" w:color="auto"/>
              <w:bottom w:val="single" w:sz="8" w:color="auto"/>
            </w:tcBorders>
            <w:shd w:val="clear" w:color="auto" w:fill="CCECFF"/>
          </w:tcPr>
          <w:p>
            <w:pPr>
              <w:spacing w:after="0"/>
              <w:rPr>
                <w:sz w:val="11"/>
                <w:szCs w:val="11"/>
                <w:color w:val="auto"/>
              </w:rPr>
            </w:pPr>
          </w:p>
        </w:tc>
        <w:tc>
          <w:tcPr>
            <w:tcW w:w="58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772,799</w:t>
            </w:r>
          </w:p>
        </w:tc>
        <w:tc>
          <w:tcPr>
            <w:tcW w:w="220" w:type="dxa"/>
            <w:vAlign w:val="bottom"/>
            <w:tcBorders>
              <w:bottom w:val="single" w:sz="8" w:color="CCECFF"/>
            </w:tcBorders>
            <w:shd w:val="clear" w:color="auto" w:fill="CCECFF"/>
          </w:tcPr>
          <w:p>
            <w:pPr>
              <w:spacing w:after="0"/>
              <w:rPr>
                <w:sz w:val="11"/>
                <w:szCs w:val="11"/>
                <w:color w:val="auto"/>
              </w:rPr>
            </w:pPr>
          </w:p>
        </w:tc>
        <w:tc>
          <w:tcPr>
            <w:tcW w:w="80" w:type="dxa"/>
            <w:vAlign w:val="bottom"/>
            <w:tcBorders>
              <w:top w:val="single" w:sz="8" w:color="auto"/>
              <w:bottom w:val="single" w:sz="8" w:color="auto"/>
            </w:tcBorders>
            <w:shd w:val="clear" w:color="auto" w:fill="CCECFF"/>
          </w:tcPr>
          <w:p>
            <w:pPr>
              <w:spacing w:after="0"/>
              <w:rPr>
                <w:sz w:val="11"/>
                <w:szCs w:val="11"/>
                <w:color w:val="auto"/>
              </w:rPr>
            </w:pPr>
          </w:p>
        </w:tc>
        <w:tc>
          <w:tcPr>
            <w:tcW w:w="70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764,584</w:t>
            </w:r>
          </w:p>
        </w:tc>
        <w:tc>
          <w:tcPr>
            <w:tcW w:w="100" w:type="dxa"/>
            <w:vAlign w:val="bottom"/>
            <w:tcBorders>
              <w:bottom w:val="single" w:sz="8" w:color="CCECFF"/>
            </w:tcBorders>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97"/>
        </w:trPr>
        <w:tc>
          <w:tcPr>
            <w:tcW w:w="2320" w:type="dxa"/>
            <w:vAlign w:val="bottom"/>
          </w:tcPr>
          <w:p>
            <w:pPr>
              <w:ind w:left="20"/>
              <w:spacing w:after="0" w:line="97" w:lineRule="exact"/>
              <w:rPr>
                <w:sz w:val="20"/>
                <w:szCs w:val="20"/>
                <w:color w:val="auto"/>
              </w:rPr>
            </w:pPr>
            <w:r>
              <w:rPr>
                <w:rFonts w:ascii="Times New Roman" w:cs="Times New Roman" w:eastAsia="Times New Roman" w:hAnsi="Times New Roman"/>
                <w:sz w:val="11"/>
                <w:szCs w:val="11"/>
                <w:b w:val="1"/>
                <w:bCs w:val="1"/>
                <w:color w:val="auto"/>
              </w:rPr>
              <w:t>Second Lien Secured Debt—0.7%</w:t>
            </w:r>
          </w:p>
        </w:tc>
        <w:tc>
          <w:tcPr>
            <w:tcW w:w="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980" w:type="dxa"/>
            <w:vAlign w:val="bottom"/>
          </w:tcPr>
          <w:p>
            <w:pPr>
              <w:spacing w:after="0"/>
              <w:rPr>
                <w:sz w:val="8"/>
                <w:szCs w:val="8"/>
                <w:color w:val="auto"/>
              </w:rPr>
            </w:pPr>
          </w:p>
        </w:tc>
        <w:tc>
          <w:tcPr>
            <w:tcW w:w="240" w:type="dxa"/>
            <w:vAlign w:val="bottom"/>
          </w:tcPr>
          <w:p>
            <w:pPr>
              <w:spacing w:after="0"/>
              <w:rPr>
                <w:sz w:val="8"/>
                <w:szCs w:val="8"/>
                <w:color w:val="auto"/>
              </w:rPr>
            </w:pPr>
          </w:p>
        </w:tc>
        <w:tc>
          <w:tcPr>
            <w:tcW w:w="78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3"/>
        </w:trPr>
        <w:tc>
          <w:tcPr>
            <w:tcW w:w="2320" w:type="dxa"/>
            <w:vAlign w:val="bottom"/>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Mailsouth Inc. </w:t>
            </w:r>
            <w:r>
              <w:rPr>
                <w:rFonts w:ascii="Times New Roman" w:cs="Times New Roman" w:eastAsia="Times New Roman" w:hAnsi="Times New Roman"/>
                <w:sz w:val="14"/>
                <w:szCs w:val="14"/>
                <w:color w:val="auto"/>
                <w:vertAlign w:val="superscript"/>
              </w:rPr>
              <w:t>(7)</w:t>
            </w:r>
          </w:p>
        </w:tc>
        <w:tc>
          <w:tcPr>
            <w:tcW w:w="86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5"/>
              </w:rPr>
              <w:t>04/23/2025</w:t>
            </w:r>
          </w:p>
        </w:tc>
        <w:tc>
          <w:tcPr>
            <w:tcW w:w="280" w:type="dxa"/>
            <w:vAlign w:val="bottom"/>
          </w:tcPr>
          <w:p>
            <w:pPr>
              <w:spacing w:after="0"/>
              <w:rPr>
                <w:sz w:val="13"/>
                <w:szCs w:val="13"/>
                <w:color w:val="auto"/>
              </w:rPr>
            </w:pPr>
          </w:p>
        </w:tc>
        <w:tc>
          <w:tcPr>
            <w:tcW w:w="25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Media: Advertising, Printing and Publishing</w:t>
            </w:r>
          </w:p>
        </w:tc>
        <w:tc>
          <w:tcPr>
            <w:tcW w:w="1340" w:type="dxa"/>
            <w:vAlign w:val="bottom"/>
            <w:gridSpan w:val="3"/>
          </w:tcPr>
          <w:p>
            <w:pPr>
              <w:jc w:val="right"/>
              <w:ind w:right="86"/>
              <w:spacing w:after="0"/>
              <w:rPr>
                <w:sz w:val="20"/>
                <w:szCs w:val="20"/>
                <w:color w:val="auto"/>
              </w:rPr>
            </w:pPr>
            <w:r>
              <w:rPr>
                <w:rFonts w:ascii="Times New Roman" w:cs="Times New Roman" w:eastAsia="Times New Roman" w:hAnsi="Times New Roman"/>
                <w:sz w:val="11"/>
                <w:szCs w:val="11"/>
                <w:color w:val="auto"/>
              </w:rPr>
              <w:t>15.00 %</w:t>
            </w: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864</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864</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864</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0"/>
        </w:trPr>
        <w:tc>
          <w:tcPr>
            <w:tcW w:w="2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vMerge w:val="restart"/>
          </w:tcPr>
          <w:p>
            <w:pPr>
              <w:jc w:val="right"/>
              <w:ind w:right="206"/>
              <w:spacing w:after="0"/>
              <w:rPr>
                <w:sz w:val="20"/>
                <w:szCs w:val="20"/>
                <w:color w:val="auto"/>
              </w:rPr>
            </w:pPr>
            <w:r>
              <w:rPr>
                <w:rFonts w:ascii="Times New Roman" w:cs="Times New Roman" w:eastAsia="Times New Roman" w:hAnsi="Times New Roman"/>
                <w:sz w:val="11"/>
                <w:szCs w:val="11"/>
                <w:color w:val="auto"/>
              </w:rPr>
              <w:t>(PIK 15.00%)</w:t>
            </w:r>
          </w:p>
        </w:tc>
        <w:tc>
          <w:tcPr>
            <w:tcW w:w="780" w:type="dxa"/>
            <w:vAlign w:val="bottom"/>
          </w:tcPr>
          <w:p>
            <w:pPr>
              <w:spacing w:after="0"/>
              <w:rPr>
                <w:sz w:val="12"/>
                <w:szCs w:val="12"/>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320" w:type="dxa"/>
            <w:vAlign w:val="bottom"/>
            <w:vMerge w:val="restart"/>
          </w:tcPr>
          <w:p>
            <w:pPr>
              <w:ind w:left="20"/>
              <w:spacing w:after="0"/>
              <w:rPr>
                <w:sz w:val="20"/>
                <w:szCs w:val="20"/>
                <w:color w:val="auto"/>
              </w:rPr>
            </w:pPr>
            <w:r>
              <w:rPr>
                <w:rFonts w:ascii="Times New Roman" w:cs="Times New Roman" w:eastAsia="Times New Roman" w:hAnsi="Times New Roman"/>
                <w:sz w:val="11"/>
                <w:szCs w:val="11"/>
                <w:color w:val="auto"/>
              </w:rPr>
              <w:t xml:space="preserve">PT Network Intermediate Holdings, LLC </w:t>
            </w:r>
            <w:r>
              <w:rPr>
                <w:rFonts w:ascii="Times New Roman" w:cs="Times New Roman" w:eastAsia="Times New Roman" w:hAnsi="Times New Roman"/>
                <w:sz w:val="14"/>
                <w:szCs w:val="14"/>
                <w:color w:val="auto"/>
                <w:vertAlign w:val="superscript"/>
              </w:rPr>
              <w:t>(7)</w:t>
            </w: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gridSpan w:val="2"/>
            <w:vMerge w:val="continue"/>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320" w:type="dxa"/>
            <w:vAlign w:val="bottom"/>
            <w:vMerge w:val="continue"/>
          </w:tcPr>
          <w:p>
            <w:pPr>
              <w:spacing w:after="0"/>
              <w:rPr>
                <w:sz w:val="11"/>
                <w:szCs w:val="11"/>
                <w:color w:val="auto"/>
              </w:rPr>
            </w:pPr>
          </w:p>
        </w:tc>
        <w:tc>
          <w:tcPr>
            <w:tcW w:w="86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5"/>
              </w:rPr>
              <w:t>11/30/2024</w:t>
            </w:r>
          </w:p>
        </w:tc>
        <w:tc>
          <w:tcPr>
            <w:tcW w:w="280" w:type="dxa"/>
            <w:vAlign w:val="bottom"/>
          </w:tcPr>
          <w:p>
            <w:pPr>
              <w:spacing w:after="0"/>
              <w:rPr>
                <w:sz w:val="11"/>
                <w:szCs w:val="11"/>
                <w:color w:val="auto"/>
              </w:rPr>
            </w:pPr>
          </w:p>
        </w:tc>
        <w:tc>
          <w:tcPr>
            <w:tcW w:w="25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Healthcare and Pharmaceuticals</w:t>
            </w:r>
          </w:p>
        </w:tc>
        <w:tc>
          <w:tcPr>
            <w:tcW w:w="1340" w:type="dxa"/>
            <w:vAlign w:val="bottom"/>
            <w:gridSpan w:val="3"/>
          </w:tcPr>
          <w:p>
            <w:pPr>
              <w:jc w:val="right"/>
              <w:ind w:right="86"/>
              <w:spacing w:after="0"/>
              <w:rPr>
                <w:sz w:val="20"/>
                <w:szCs w:val="20"/>
                <w:color w:val="auto"/>
              </w:rPr>
            </w:pPr>
            <w:r>
              <w:rPr>
                <w:rFonts w:ascii="Times New Roman" w:cs="Times New Roman" w:eastAsia="Times New Roman" w:hAnsi="Times New Roman"/>
                <w:sz w:val="11"/>
                <w:szCs w:val="11"/>
                <w:color w:val="auto"/>
              </w:rPr>
              <w:t>11.00 %</w:t>
            </w: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L+1,000</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2,343</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2,331</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2,343</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right"/>
              <w:ind w:right="206"/>
              <w:spacing w:after="0"/>
              <w:rPr>
                <w:sz w:val="20"/>
                <w:szCs w:val="20"/>
                <w:color w:val="auto"/>
              </w:rPr>
            </w:pPr>
            <w:r>
              <w:rPr>
                <w:rFonts w:ascii="Times New Roman" w:cs="Times New Roman" w:eastAsia="Times New Roman" w:hAnsi="Times New Roman"/>
                <w:sz w:val="11"/>
                <w:szCs w:val="11"/>
                <w:color w:val="auto"/>
              </w:rPr>
              <w:t>(PIK 11.00%)</w:t>
            </w: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32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QuantiTech LLC</w:t>
            </w:r>
          </w:p>
        </w:tc>
        <w:tc>
          <w:tcPr>
            <w:tcW w:w="860" w:type="dxa"/>
            <w:vAlign w:val="bottom"/>
            <w:tcBorders>
              <w:bottom w:val="single" w:sz="8" w:color="CCECFF"/>
            </w:tcBorders>
            <w:gridSpan w:val="2"/>
            <w:shd w:val="clear" w:color="auto" w:fill="CCECFF"/>
          </w:tcPr>
          <w:p>
            <w:pPr>
              <w:jc w:val="center"/>
              <w:ind w:left="86"/>
              <w:spacing w:after="0"/>
              <w:rPr>
                <w:sz w:val="20"/>
                <w:szCs w:val="20"/>
                <w:color w:val="auto"/>
              </w:rPr>
            </w:pPr>
            <w:r>
              <w:rPr>
                <w:rFonts w:ascii="Times New Roman" w:cs="Times New Roman" w:eastAsia="Times New Roman" w:hAnsi="Times New Roman"/>
                <w:sz w:val="11"/>
                <w:szCs w:val="11"/>
                <w:color w:val="auto"/>
                <w:w w:val="95"/>
              </w:rPr>
              <w:t>02/04/2027</w:t>
            </w:r>
          </w:p>
        </w:tc>
        <w:tc>
          <w:tcPr>
            <w:tcW w:w="280" w:type="dxa"/>
            <w:vAlign w:val="bottom"/>
            <w:tcBorders>
              <w:bottom w:val="single" w:sz="8" w:color="CCECFF"/>
            </w:tcBorders>
            <w:shd w:val="clear" w:color="auto" w:fill="CCECFF"/>
          </w:tcPr>
          <w:p>
            <w:pPr>
              <w:spacing w:after="0"/>
              <w:rPr>
                <w:sz w:val="12"/>
                <w:szCs w:val="12"/>
                <w:color w:val="auto"/>
              </w:rPr>
            </w:pPr>
          </w:p>
        </w:tc>
        <w:tc>
          <w:tcPr>
            <w:tcW w:w="2560" w:type="dxa"/>
            <w:vAlign w:val="bottom"/>
            <w:tcBorders>
              <w:bottom w:val="single" w:sz="8" w:color="CCECFF"/>
            </w:tcBorders>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1340" w:type="dxa"/>
            <w:vAlign w:val="bottom"/>
            <w:tcBorders>
              <w:bottom w:val="single" w:sz="8" w:color="CCECFF"/>
            </w:tcBorders>
            <w:gridSpan w:val="3"/>
            <w:shd w:val="clear" w:color="auto" w:fill="CCECFF"/>
          </w:tcPr>
          <w:p>
            <w:pPr>
              <w:jc w:val="right"/>
              <w:ind w:right="86"/>
              <w:spacing w:after="0"/>
              <w:rPr>
                <w:sz w:val="20"/>
                <w:szCs w:val="20"/>
                <w:color w:val="auto"/>
              </w:rPr>
            </w:pPr>
            <w:r>
              <w:rPr>
                <w:rFonts w:ascii="Times New Roman" w:cs="Times New Roman" w:eastAsia="Times New Roman" w:hAnsi="Times New Roman"/>
                <w:sz w:val="11"/>
                <w:szCs w:val="11"/>
                <w:color w:val="auto"/>
              </w:rPr>
              <w:t>11.00 %</w:t>
            </w:r>
          </w:p>
        </w:tc>
        <w:tc>
          <w:tcPr>
            <w:tcW w:w="78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L+1,000</w:t>
            </w:r>
          </w:p>
        </w:tc>
        <w:tc>
          <w:tcPr>
            <w:tcW w:w="1040" w:type="dxa"/>
            <w:vAlign w:val="bottom"/>
            <w:tcBorders>
              <w:bottom w:val="single" w:sz="8" w:color="CCECFF"/>
            </w:tcBorders>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150</w:t>
            </w:r>
          </w:p>
        </w:tc>
        <w:tc>
          <w:tcPr>
            <w:tcW w:w="220" w:type="dxa"/>
            <w:vAlign w:val="bottom"/>
            <w:tcBorders>
              <w:bottom w:val="single" w:sz="8" w:color="CCECFF"/>
            </w:tcBorders>
            <w:shd w:val="clear" w:color="auto" w:fill="CCECFF"/>
          </w:tcPr>
          <w:p>
            <w:pPr>
              <w:spacing w:after="0"/>
              <w:rPr>
                <w:sz w:val="12"/>
                <w:szCs w:val="12"/>
                <w:color w:val="auto"/>
              </w:rPr>
            </w:pPr>
          </w:p>
        </w:tc>
        <w:tc>
          <w:tcPr>
            <w:tcW w:w="160" w:type="dxa"/>
            <w:vAlign w:val="bottom"/>
            <w:tcBorders>
              <w:bottom w:val="single" w:sz="8" w:color="auto"/>
            </w:tcBorders>
            <w:shd w:val="clear" w:color="auto" w:fill="CCECFF"/>
          </w:tcPr>
          <w:p>
            <w:pPr>
              <w:spacing w:after="0"/>
              <w:rPr>
                <w:sz w:val="12"/>
                <w:szCs w:val="12"/>
                <w:color w:val="auto"/>
              </w:rPr>
            </w:pPr>
          </w:p>
        </w:tc>
        <w:tc>
          <w:tcPr>
            <w:tcW w:w="58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147</w:t>
            </w:r>
          </w:p>
        </w:tc>
        <w:tc>
          <w:tcPr>
            <w:tcW w:w="220" w:type="dxa"/>
            <w:vAlign w:val="bottom"/>
            <w:tcBorders>
              <w:bottom w:val="single" w:sz="8" w:color="CCECFF"/>
            </w:tcBorders>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spacing w:after="0"/>
              <w:rPr>
                <w:sz w:val="12"/>
                <w:szCs w:val="12"/>
                <w:color w:val="auto"/>
              </w:rPr>
            </w:pPr>
          </w:p>
        </w:tc>
        <w:tc>
          <w:tcPr>
            <w:tcW w:w="7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147</w:t>
            </w:r>
          </w:p>
        </w:tc>
        <w:tc>
          <w:tcPr>
            <w:tcW w:w="100" w:type="dxa"/>
            <w:vAlign w:val="bottom"/>
            <w:tcBorders>
              <w:bottom w:val="single" w:sz="8" w:color="CCECFF"/>
            </w:tcBorders>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2320" w:type="dxa"/>
            <w:vAlign w:val="bottom"/>
          </w:tcPr>
          <w:p>
            <w:pPr>
              <w:ind w:left="20"/>
              <w:spacing w:after="0" w:line="110" w:lineRule="exact"/>
              <w:rPr>
                <w:sz w:val="20"/>
                <w:szCs w:val="20"/>
                <w:color w:val="auto"/>
              </w:rPr>
            </w:pPr>
            <w:r>
              <w:rPr>
                <w:rFonts w:ascii="Times New Roman" w:cs="Times New Roman" w:eastAsia="Times New Roman" w:hAnsi="Times New Roman"/>
                <w:sz w:val="11"/>
                <w:szCs w:val="11"/>
                <w:b w:val="1"/>
                <w:bCs w:val="1"/>
                <w:color w:val="auto"/>
              </w:rPr>
              <w:t>Total Second Lien Secured Debt</w:t>
            </w: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jc w:val="right"/>
              <w:spacing w:after="0" w:line="110" w:lineRule="exact"/>
              <w:rPr>
                <w:sz w:val="20"/>
                <w:szCs w:val="20"/>
                <w:color w:val="auto"/>
              </w:rPr>
            </w:pPr>
            <w:r>
              <w:rPr>
                <w:rFonts w:ascii="Times New Roman" w:cs="Times New Roman" w:eastAsia="Times New Roman" w:hAnsi="Times New Roman"/>
                <w:sz w:val="11"/>
                <w:szCs w:val="11"/>
                <w:color w:val="auto"/>
              </w:rPr>
              <w:t>3,343</w:t>
            </w:r>
          </w:p>
        </w:tc>
        <w:tc>
          <w:tcPr>
            <w:tcW w:w="22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jc w:val="right"/>
              <w:spacing w:after="0" w:line="110" w:lineRule="exact"/>
              <w:rPr>
                <w:sz w:val="20"/>
                <w:szCs w:val="20"/>
                <w:color w:val="auto"/>
              </w:rPr>
            </w:pPr>
            <w:r>
              <w:rPr>
                <w:rFonts w:ascii="Times New Roman" w:cs="Times New Roman" w:eastAsia="Times New Roman" w:hAnsi="Times New Roman"/>
                <w:sz w:val="11"/>
                <w:szCs w:val="11"/>
                <w:color w:val="auto"/>
              </w:rPr>
              <w:t>3,355</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3"/>
        </w:trPr>
        <w:tc>
          <w:tcPr>
            <w:tcW w:w="2320" w:type="dxa"/>
            <w:vAlign w:val="bottom"/>
          </w:tcPr>
          <w:p>
            <w:pPr>
              <w:ind w:left="20"/>
              <w:spacing w:after="0" w:line="103" w:lineRule="exact"/>
              <w:rPr>
                <w:sz w:val="20"/>
                <w:szCs w:val="20"/>
                <w:color w:val="auto"/>
              </w:rPr>
            </w:pPr>
            <w:r>
              <w:rPr>
                <w:rFonts w:ascii="Times New Roman" w:cs="Times New Roman" w:eastAsia="Times New Roman" w:hAnsi="Times New Roman"/>
                <w:sz w:val="9"/>
                <w:szCs w:val="9"/>
                <w:b w:val="1"/>
                <w:bCs w:val="1"/>
                <w:color w:val="auto"/>
              </w:rPr>
              <w:t xml:space="preserve">Preferred Equity— 1.3% </w:t>
            </w:r>
            <w:r>
              <w:rPr>
                <w:rFonts w:ascii="Times New Roman" w:cs="Times New Roman" w:eastAsia="Times New Roman" w:hAnsi="Times New Roman"/>
                <w:sz w:val="11"/>
                <w:szCs w:val="11"/>
                <w:b w:val="1"/>
                <w:bCs w:val="1"/>
                <w:color w:val="auto"/>
                <w:vertAlign w:val="superscript"/>
              </w:rPr>
              <w:t>(6)</w:t>
            </w:r>
          </w:p>
        </w:tc>
        <w:tc>
          <w:tcPr>
            <w:tcW w:w="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980" w:type="dxa"/>
            <w:vAlign w:val="bottom"/>
          </w:tcPr>
          <w:p>
            <w:pPr>
              <w:spacing w:after="0"/>
              <w:rPr>
                <w:sz w:val="8"/>
                <w:szCs w:val="8"/>
                <w:color w:val="auto"/>
              </w:rPr>
            </w:pPr>
          </w:p>
        </w:tc>
        <w:tc>
          <w:tcPr>
            <w:tcW w:w="240" w:type="dxa"/>
            <w:vAlign w:val="bottom"/>
          </w:tcPr>
          <w:p>
            <w:pPr>
              <w:spacing w:after="0"/>
              <w:rPr>
                <w:sz w:val="8"/>
                <w:szCs w:val="8"/>
                <w:color w:val="auto"/>
              </w:rPr>
            </w:pPr>
          </w:p>
        </w:tc>
        <w:tc>
          <w:tcPr>
            <w:tcW w:w="78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3"/>
        </w:trPr>
        <w:tc>
          <w:tcPr>
            <w:tcW w:w="2320" w:type="dxa"/>
            <w:vAlign w:val="bottom"/>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Ad.net Holdings, Inc. </w:t>
            </w:r>
            <w:r>
              <w:rPr>
                <w:rFonts w:ascii="Times New Roman" w:cs="Times New Roman" w:eastAsia="Times New Roman" w:hAnsi="Times New Roman"/>
                <w:sz w:val="14"/>
                <w:szCs w:val="14"/>
                <w:color w:val="auto"/>
                <w:vertAlign w:val="superscript"/>
              </w:rPr>
              <w:t>(7),(8)</w:t>
            </w:r>
          </w:p>
        </w:tc>
        <w:tc>
          <w:tcPr>
            <w:tcW w:w="140" w:type="dxa"/>
            <w:vAlign w:val="bottom"/>
          </w:tcPr>
          <w:p>
            <w:pPr>
              <w:spacing w:after="0"/>
              <w:rPr>
                <w:sz w:val="13"/>
                <w:szCs w:val="13"/>
                <w:color w:val="auto"/>
              </w:rPr>
            </w:pPr>
          </w:p>
        </w:tc>
        <w:tc>
          <w:tcPr>
            <w:tcW w:w="720" w:type="dxa"/>
            <w:vAlign w:val="bottom"/>
          </w:tcPr>
          <w:p>
            <w:pPr>
              <w:ind w:left="600"/>
              <w:spacing w:after="0"/>
              <w:rPr>
                <w:sz w:val="20"/>
                <w:szCs w:val="20"/>
                <w:color w:val="auto"/>
              </w:rPr>
            </w:pPr>
            <w:r>
              <w:rPr>
                <w:rFonts w:ascii="Times New Roman" w:cs="Times New Roman" w:eastAsia="Times New Roman" w:hAnsi="Times New Roman"/>
                <w:sz w:val="11"/>
                <w:szCs w:val="11"/>
                <w:color w:val="auto"/>
                <w:w w:val="90"/>
              </w:rPr>
              <w:t>—</w:t>
            </w:r>
          </w:p>
        </w:tc>
        <w:tc>
          <w:tcPr>
            <w:tcW w:w="280" w:type="dxa"/>
            <w:vAlign w:val="bottom"/>
          </w:tcPr>
          <w:p>
            <w:pPr>
              <w:spacing w:after="0"/>
              <w:rPr>
                <w:sz w:val="13"/>
                <w:szCs w:val="13"/>
                <w:color w:val="auto"/>
              </w:rPr>
            </w:pPr>
          </w:p>
        </w:tc>
        <w:tc>
          <w:tcPr>
            <w:tcW w:w="25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Media</w:t>
            </w:r>
          </w:p>
        </w:tc>
        <w:tc>
          <w:tcPr>
            <w:tcW w:w="120" w:type="dxa"/>
            <w:vAlign w:val="bottom"/>
          </w:tcPr>
          <w:p>
            <w:pPr>
              <w:spacing w:after="0"/>
              <w:rPr>
                <w:sz w:val="13"/>
                <w:szCs w:val="13"/>
                <w:color w:val="auto"/>
              </w:rPr>
            </w:pPr>
          </w:p>
        </w:tc>
        <w:tc>
          <w:tcPr>
            <w:tcW w:w="1220" w:type="dxa"/>
            <w:vAlign w:val="bottom"/>
            <w:gridSpan w:val="2"/>
          </w:tcPr>
          <w:p>
            <w:pPr>
              <w:jc w:val="right"/>
              <w:ind w:right="206"/>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6,720</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672</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672</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2320" w:type="dxa"/>
            <w:vAlign w:val="bottom"/>
          </w:tcPr>
          <w:p>
            <w:pPr>
              <w:ind w:left="20"/>
              <w:spacing w:after="0" w:line="117" w:lineRule="exact"/>
              <w:rPr>
                <w:sz w:val="20"/>
                <w:szCs w:val="20"/>
                <w:color w:val="auto"/>
              </w:rPr>
            </w:pPr>
            <w:r>
              <w:rPr>
                <w:rFonts w:ascii="Times New Roman" w:cs="Times New Roman" w:eastAsia="Times New Roman" w:hAnsi="Times New Roman"/>
                <w:sz w:val="11"/>
                <w:szCs w:val="11"/>
                <w:color w:val="auto"/>
              </w:rPr>
              <w:t>CI (PTN) Investment Holdings II, LLC</w:t>
            </w:r>
          </w:p>
        </w:tc>
        <w:tc>
          <w:tcPr>
            <w:tcW w:w="140" w:type="dxa"/>
            <w:vAlign w:val="bottom"/>
          </w:tcPr>
          <w:p>
            <w:pPr>
              <w:spacing w:after="0"/>
              <w:rPr>
                <w:sz w:val="10"/>
                <w:szCs w:val="10"/>
                <w:color w:val="auto"/>
              </w:rPr>
            </w:pPr>
          </w:p>
        </w:tc>
        <w:tc>
          <w:tcPr>
            <w:tcW w:w="720" w:type="dxa"/>
            <w:vAlign w:val="bottom"/>
          </w:tcPr>
          <w:p>
            <w:pPr>
              <w:ind w:left="600"/>
              <w:spacing w:after="0" w:line="117" w:lineRule="exact"/>
              <w:rPr>
                <w:sz w:val="20"/>
                <w:szCs w:val="20"/>
                <w:color w:val="auto"/>
              </w:rPr>
            </w:pPr>
            <w:r>
              <w:rPr>
                <w:rFonts w:ascii="Times New Roman" w:cs="Times New Roman" w:eastAsia="Times New Roman" w:hAnsi="Times New Roman"/>
                <w:sz w:val="11"/>
                <w:szCs w:val="11"/>
                <w:color w:val="auto"/>
                <w:w w:val="90"/>
              </w:rPr>
              <w:t>—</w:t>
            </w:r>
          </w:p>
        </w:tc>
        <w:tc>
          <w:tcPr>
            <w:tcW w:w="280" w:type="dxa"/>
            <w:vAlign w:val="bottom"/>
          </w:tcPr>
          <w:p>
            <w:pPr>
              <w:spacing w:after="0"/>
              <w:rPr>
                <w:sz w:val="10"/>
                <w:szCs w:val="10"/>
                <w:color w:val="auto"/>
              </w:rPr>
            </w:pPr>
          </w:p>
        </w:tc>
        <w:tc>
          <w:tcPr>
            <w:tcW w:w="256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color w:val="auto"/>
                <w:w w:val="97"/>
              </w:rPr>
              <w:t>Healthcare and Pharmaceuticals</w:t>
            </w:r>
          </w:p>
        </w:tc>
        <w:tc>
          <w:tcPr>
            <w:tcW w:w="120" w:type="dxa"/>
            <w:vAlign w:val="bottom"/>
          </w:tcPr>
          <w:p>
            <w:pPr>
              <w:spacing w:after="0"/>
              <w:rPr>
                <w:sz w:val="10"/>
                <w:szCs w:val="10"/>
                <w:color w:val="auto"/>
              </w:rPr>
            </w:pPr>
          </w:p>
        </w:tc>
        <w:tc>
          <w:tcPr>
            <w:tcW w:w="1220" w:type="dxa"/>
            <w:vAlign w:val="bottom"/>
            <w:gridSpan w:val="2"/>
          </w:tcPr>
          <w:p>
            <w:pPr>
              <w:jc w:val="right"/>
              <w:ind w:right="206"/>
              <w:spacing w:after="0" w:line="117" w:lineRule="exact"/>
              <w:rPr>
                <w:sz w:val="20"/>
                <w:szCs w:val="20"/>
                <w:color w:val="auto"/>
              </w:rPr>
            </w:pPr>
            <w:r>
              <w:rPr>
                <w:rFonts w:ascii="Times New Roman" w:cs="Times New Roman" w:eastAsia="Times New Roman" w:hAnsi="Times New Roman"/>
                <w:sz w:val="11"/>
                <w:szCs w:val="11"/>
                <w:color w:val="auto"/>
              </w:rPr>
              <w:t>—</w:t>
            </w:r>
          </w:p>
        </w:tc>
        <w:tc>
          <w:tcPr>
            <w:tcW w:w="78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w:t>
            </w:r>
          </w:p>
        </w:tc>
        <w:tc>
          <w:tcPr>
            <w:tcW w:w="104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1"/>
                <w:szCs w:val="11"/>
                <w:color w:val="auto"/>
              </w:rPr>
              <w:t>1,458</w:t>
            </w: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22</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gridSpan w:val="2"/>
          </w:tcPr>
          <w:p>
            <w:pPr>
              <w:jc w:val="right"/>
              <w:ind w:right="120"/>
              <w:spacing w:after="0" w:line="117"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32"/>
        </w:trPr>
        <w:tc>
          <w:tcPr>
            <w:tcW w:w="2320" w:type="dxa"/>
            <w:vAlign w:val="bottom"/>
            <w:vMerge w:val="restart"/>
          </w:tcPr>
          <w:p>
            <w:pPr>
              <w:ind w:left="100"/>
              <w:spacing w:after="0" w:line="135" w:lineRule="exact"/>
              <w:rPr>
                <w:sz w:val="20"/>
                <w:szCs w:val="20"/>
                <w:color w:val="auto"/>
              </w:rPr>
            </w:pPr>
            <w:r>
              <w:rPr>
                <w:rFonts w:ascii="Times New Roman" w:cs="Times New Roman" w:eastAsia="Times New Roman" w:hAnsi="Times New Roman"/>
                <w:sz w:val="11"/>
                <w:szCs w:val="11"/>
                <w:color w:val="auto"/>
              </w:rPr>
              <w:t xml:space="preserve">(PT Network, LLC) </w:t>
            </w:r>
            <w:r>
              <w:rPr>
                <w:rFonts w:ascii="Times New Roman" w:cs="Times New Roman" w:eastAsia="Times New Roman" w:hAnsi="Times New Roman"/>
                <w:sz w:val="14"/>
                <w:szCs w:val="14"/>
                <w:color w:val="auto"/>
                <w:vertAlign w:val="superscript"/>
              </w:rPr>
              <w:t>(7), (8)</w:t>
            </w: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5"/>
        </w:trPr>
        <w:tc>
          <w:tcPr>
            <w:tcW w:w="2320" w:type="dxa"/>
            <w:vAlign w:val="bottom"/>
            <w:vMerge w:val="continue"/>
          </w:tcPr>
          <w:p>
            <w:pPr>
              <w:spacing w:after="0"/>
              <w:rPr>
                <w:sz w:val="10"/>
                <w:szCs w:val="10"/>
                <w:color w:val="auto"/>
              </w:rPr>
            </w:pPr>
          </w:p>
        </w:tc>
        <w:tc>
          <w:tcPr>
            <w:tcW w:w="140" w:type="dxa"/>
            <w:vAlign w:val="bottom"/>
            <w:tcBorders>
              <w:bottom w:val="single" w:sz="8" w:color="CCECFF"/>
            </w:tcBorders>
            <w:shd w:val="clear" w:color="auto" w:fill="CCECFF"/>
          </w:tcPr>
          <w:p>
            <w:pPr>
              <w:spacing w:after="0"/>
              <w:rPr>
                <w:sz w:val="10"/>
                <w:szCs w:val="10"/>
                <w:color w:val="auto"/>
              </w:rPr>
            </w:pPr>
          </w:p>
        </w:tc>
        <w:tc>
          <w:tcPr>
            <w:tcW w:w="720" w:type="dxa"/>
            <w:vAlign w:val="bottom"/>
            <w:tcBorders>
              <w:bottom w:val="single" w:sz="8" w:color="CCECFF"/>
            </w:tcBorders>
            <w:shd w:val="clear" w:color="auto" w:fill="CCECFF"/>
          </w:tcPr>
          <w:p>
            <w:pPr>
              <w:spacing w:after="0"/>
              <w:rPr>
                <w:sz w:val="10"/>
                <w:szCs w:val="10"/>
                <w:color w:val="auto"/>
              </w:rPr>
            </w:pPr>
          </w:p>
        </w:tc>
        <w:tc>
          <w:tcPr>
            <w:tcW w:w="280" w:type="dxa"/>
            <w:vAlign w:val="bottom"/>
            <w:tcBorders>
              <w:bottom w:val="single" w:sz="8" w:color="CCECFF"/>
            </w:tcBorders>
            <w:shd w:val="clear" w:color="auto" w:fill="CCECFF"/>
          </w:tcPr>
          <w:p>
            <w:pPr>
              <w:spacing w:after="0"/>
              <w:rPr>
                <w:sz w:val="10"/>
                <w:szCs w:val="10"/>
                <w:color w:val="auto"/>
              </w:rPr>
            </w:pPr>
          </w:p>
        </w:tc>
        <w:tc>
          <w:tcPr>
            <w:tcW w:w="2560" w:type="dxa"/>
            <w:vAlign w:val="bottom"/>
            <w:tcBorders>
              <w:bottom w:val="single" w:sz="8" w:color="CCECFF"/>
            </w:tcBorders>
            <w:shd w:val="clear" w:color="auto" w:fill="CCECFF"/>
          </w:tcPr>
          <w:p>
            <w:pPr>
              <w:spacing w:after="0"/>
              <w:rPr>
                <w:sz w:val="10"/>
                <w:szCs w:val="10"/>
                <w:color w:val="auto"/>
              </w:rPr>
            </w:pPr>
          </w:p>
        </w:tc>
        <w:tc>
          <w:tcPr>
            <w:tcW w:w="120" w:type="dxa"/>
            <w:vAlign w:val="bottom"/>
            <w:tcBorders>
              <w:bottom w:val="single" w:sz="8" w:color="CCECFF"/>
            </w:tcBorders>
            <w:shd w:val="clear" w:color="auto" w:fill="CCECFF"/>
          </w:tcPr>
          <w:p>
            <w:pPr>
              <w:spacing w:after="0"/>
              <w:rPr>
                <w:sz w:val="10"/>
                <w:szCs w:val="10"/>
                <w:color w:val="auto"/>
              </w:rPr>
            </w:pPr>
          </w:p>
        </w:tc>
        <w:tc>
          <w:tcPr>
            <w:tcW w:w="980" w:type="dxa"/>
            <w:vAlign w:val="bottom"/>
            <w:tcBorders>
              <w:bottom w:val="single" w:sz="8" w:color="CCECFF"/>
            </w:tcBorders>
            <w:shd w:val="clear" w:color="auto" w:fill="CCECFF"/>
          </w:tcPr>
          <w:p>
            <w:pPr>
              <w:spacing w:after="0"/>
              <w:rPr>
                <w:sz w:val="10"/>
                <w:szCs w:val="10"/>
                <w:color w:val="auto"/>
              </w:rPr>
            </w:pPr>
          </w:p>
        </w:tc>
        <w:tc>
          <w:tcPr>
            <w:tcW w:w="240" w:type="dxa"/>
            <w:vAlign w:val="bottom"/>
            <w:tcBorders>
              <w:bottom w:val="single" w:sz="8" w:color="CCECFF"/>
            </w:tcBorders>
            <w:shd w:val="clear" w:color="auto" w:fill="CCECFF"/>
          </w:tcPr>
          <w:p>
            <w:pPr>
              <w:spacing w:after="0"/>
              <w:rPr>
                <w:sz w:val="10"/>
                <w:szCs w:val="10"/>
                <w:color w:val="auto"/>
              </w:rPr>
            </w:pPr>
          </w:p>
        </w:tc>
        <w:tc>
          <w:tcPr>
            <w:tcW w:w="780" w:type="dxa"/>
            <w:vAlign w:val="bottom"/>
            <w:tcBorders>
              <w:bottom w:val="single" w:sz="8" w:color="CCECFF"/>
            </w:tcBorders>
            <w:shd w:val="clear" w:color="auto" w:fill="CCECFF"/>
          </w:tcPr>
          <w:p>
            <w:pPr>
              <w:spacing w:after="0"/>
              <w:rPr>
                <w:sz w:val="10"/>
                <w:szCs w:val="10"/>
                <w:color w:val="auto"/>
              </w:rPr>
            </w:pPr>
          </w:p>
        </w:tc>
        <w:tc>
          <w:tcPr>
            <w:tcW w:w="220" w:type="dxa"/>
            <w:vAlign w:val="bottom"/>
            <w:tcBorders>
              <w:bottom w:val="single" w:sz="8" w:color="CCECFF"/>
            </w:tcBorders>
            <w:shd w:val="clear" w:color="auto" w:fill="CCECFF"/>
          </w:tcPr>
          <w:p>
            <w:pPr>
              <w:spacing w:after="0"/>
              <w:rPr>
                <w:sz w:val="10"/>
                <w:szCs w:val="10"/>
                <w:color w:val="auto"/>
              </w:rPr>
            </w:pPr>
          </w:p>
        </w:tc>
        <w:tc>
          <w:tcPr>
            <w:tcW w:w="820" w:type="dxa"/>
            <w:vAlign w:val="bottom"/>
            <w:tcBorders>
              <w:bottom w:val="single" w:sz="8" w:color="CCECFF"/>
            </w:tcBorders>
            <w:shd w:val="clear" w:color="auto" w:fill="CCECFF"/>
          </w:tcPr>
          <w:p>
            <w:pPr>
              <w:spacing w:after="0"/>
              <w:rPr>
                <w:sz w:val="10"/>
                <w:szCs w:val="10"/>
                <w:color w:val="auto"/>
              </w:rPr>
            </w:pPr>
          </w:p>
        </w:tc>
        <w:tc>
          <w:tcPr>
            <w:tcW w:w="220" w:type="dxa"/>
            <w:vAlign w:val="bottom"/>
            <w:tcBorders>
              <w:bottom w:val="single" w:sz="8" w:color="CCECFF"/>
            </w:tcBorders>
            <w:shd w:val="clear" w:color="auto" w:fill="CCECFF"/>
          </w:tcPr>
          <w:p>
            <w:pPr>
              <w:spacing w:after="0"/>
              <w:rPr>
                <w:sz w:val="10"/>
                <w:szCs w:val="10"/>
                <w:color w:val="auto"/>
              </w:rPr>
            </w:pPr>
          </w:p>
        </w:tc>
        <w:tc>
          <w:tcPr>
            <w:tcW w:w="160" w:type="dxa"/>
            <w:vAlign w:val="bottom"/>
            <w:tcBorders>
              <w:bottom w:val="single" w:sz="8" w:color="CCECFF"/>
            </w:tcBorders>
            <w:shd w:val="clear" w:color="auto" w:fill="CCECFF"/>
          </w:tcPr>
          <w:p>
            <w:pPr>
              <w:spacing w:after="0"/>
              <w:rPr>
                <w:sz w:val="10"/>
                <w:szCs w:val="10"/>
                <w:color w:val="auto"/>
              </w:rPr>
            </w:pPr>
          </w:p>
        </w:tc>
        <w:tc>
          <w:tcPr>
            <w:tcW w:w="580" w:type="dxa"/>
            <w:vAlign w:val="bottom"/>
            <w:tcBorders>
              <w:bottom w:val="single" w:sz="8" w:color="CCECFF"/>
            </w:tcBorders>
            <w:shd w:val="clear" w:color="auto" w:fill="CCECFF"/>
          </w:tcPr>
          <w:p>
            <w:pPr>
              <w:spacing w:after="0"/>
              <w:rPr>
                <w:sz w:val="10"/>
                <w:szCs w:val="10"/>
                <w:color w:val="auto"/>
              </w:rPr>
            </w:pPr>
          </w:p>
        </w:tc>
        <w:tc>
          <w:tcPr>
            <w:tcW w:w="220" w:type="dxa"/>
            <w:vAlign w:val="bottom"/>
            <w:tcBorders>
              <w:bottom w:val="single" w:sz="8" w:color="CCECFF"/>
            </w:tcBorders>
            <w:shd w:val="clear" w:color="auto" w:fill="CCECFF"/>
          </w:tcPr>
          <w:p>
            <w:pPr>
              <w:spacing w:after="0"/>
              <w:rPr>
                <w:sz w:val="10"/>
                <w:szCs w:val="10"/>
                <w:color w:val="auto"/>
              </w:rPr>
            </w:pPr>
          </w:p>
        </w:tc>
        <w:tc>
          <w:tcPr>
            <w:tcW w:w="80" w:type="dxa"/>
            <w:vAlign w:val="bottom"/>
            <w:tcBorders>
              <w:bottom w:val="single" w:sz="8" w:color="CCECFF"/>
            </w:tcBorders>
            <w:shd w:val="clear" w:color="auto" w:fill="CCECFF"/>
          </w:tcPr>
          <w:p>
            <w:pPr>
              <w:spacing w:after="0"/>
              <w:rPr>
                <w:sz w:val="10"/>
                <w:szCs w:val="10"/>
                <w:color w:val="auto"/>
              </w:rPr>
            </w:pPr>
          </w:p>
        </w:tc>
        <w:tc>
          <w:tcPr>
            <w:tcW w:w="700" w:type="dxa"/>
            <w:vAlign w:val="bottom"/>
            <w:tcBorders>
              <w:bottom w:val="single" w:sz="8" w:color="CCECFF"/>
            </w:tcBorders>
            <w:shd w:val="clear" w:color="auto" w:fill="CCECFF"/>
          </w:tcPr>
          <w:p>
            <w:pPr>
              <w:spacing w:after="0"/>
              <w:rPr>
                <w:sz w:val="10"/>
                <w:szCs w:val="10"/>
                <w:color w:val="auto"/>
              </w:rPr>
            </w:pPr>
          </w:p>
        </w:tc>
        <w:tc>
          <w:tcPr>
            <w:tcW w:w="100" w:type="dxa"/>
            <w:vAlign w:val="bottom"/>
            <w:tcBorders>
              <w:bottom w:val="single" w:sz="8" w:color="CCECFF"/>
            </w:tcBorders>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03"/>
        </w:trPr>
        <w:tc>
          <w:tcPr>
            <w:tcW w:w="2320" w:type="dxa"/>
            <w:vAlign w:val="bottom"/>
          </w:tcPr>
          <w:p>
            <w:pPr>
              <w:ind w:left="20"/>
              <w:spacing w:after="0" w:line="103" w:lineRule="exact"/>
              <w:rPr>
                <w:sz w:val="20"/>
                <w:szCs w:val="20"/>
                <w:color w:val="auto"/>
              </w:rPr>
            </w:pPr>
            <w:r>
              <w:rPr>
                <w:rFonts w:ascii="Times New Roman" w:cs="Times New Roman" w:eastAsia="Times New Roman" w:hAnsi="Times New Roman"/>
                <w:sz w:val="9"/>
                <w:szCs w:val="9"/>
                <w:color w:val="auto"/>
              </w:rPr>
              <w:t xml:space="preserve">Mars Intermediate Holdings II, Inc. </w:t>
            </w:r>
            <w:r>
              <w:rPr>
                <w:rFonts w:ascii="Times New Roman" w:cs="Times New Roman" w:eastAsia="Times New Roman" w:hAnsi="Times New Roman"/>
                <w:sz w:val="11"/>
                <w:szCs w:val="11"/>
                <w:color w:val="auto"/>
                <w:vertAlign w:val="superscript"/>
              </w:rPr>
              <w:t>(7)</w:t>
            </w:r>
          </w:p>
        </w:tc>
        <w:tc>
          <w:tcPr>
            <w:tcW w:w="140" w:type="dxa"/>
            <w:vAlign w:val="bottom"/>
          </w:tcPr>
          <w:p>
            <w:pPr>
              <w:spacing w:after="0"/>
              <w:rPr>
                <w:sz w:val="8"/>
                <w:szCs w:val="8"/>
                <w:color w:val="auto"/>
              </w:rPr>
            </w:pPr>
          </w:p>
        </w:tc>
        <w:tc>
          <w:tcPr>
            <w:tcW w:w="720" w:type="dxa"/>
            <w:vAlign w:val="bottom"/>
          </w:tcPr>
          <w:p>
            <w:pPr>
              <w:ind w:left="600"/>
              <w:spacing w:after="0" w:line="103" w:lineRule="exact"/>
              <w:rPr>
                <w:sz w:val="20"/>
                <w:szCs w:val="20"/>
                <w:color w:val="auto"/>
              </w:rPr>
            </w:pPr>
            <w:r>
              <w:rPr>
                <w:rFonts w:ascii="Times New Roman" w:cs="Times New Roman" w:eastAsia="Times New Roman" w:hAnsi="Times New Roman"/>
                <w:sz w:val="11"/>
                <w:szCs w:val="11"/>
                <w:color w:val="auto"/>
                <w:w w:val="90"/>
              </w:rPr>
              <w:t>—</w:t>
            </w:r>
          </w:p>
        </w:tc>
        <w:tc>
          <w:tcPr>
            <w:tcW w:w="280" w:type="dxa"/>
            <w:vAlign w:val="bottom"/>
          </w:tcPr>
          <w:p>
            <w:pPr>
              <w:spacing w:after="0"/>
              <w:rPr>
                <w:sz w:val="8"/>
                <w:szCs w:val="8"/>
                <w:color w:val="auto"/>
              </w:rPr>
            </w:pPr>
          </w:p>
        </w:tc>
        <w:tc>
          <w:tcPr>
            <w:tcW w:w="2560" w:type="dxa"/>
            <w:vAlign w:val="bottom"/>
          </w:tcPr>
          <w:p>
            <w:pPr>
              <w:jc w:val="center"/>
              <w:spacing w:after="0" w:line="103" w:lineRule="exact"/>
              <w:rPr>
                <w:sz w:val="20"/>
                <w:szCs w:val="20"/>
                <w:color w:val="auto"/>
              </w:rPr>
            </w:pPr>
            <w:r>
              <w:rPr>
                <w:rFonts w:ascii="Times New Roman" w:cs="Times New Roman" w:eastAsia="Times New Roman" w:hAnsi="Times New Roman"/>
                <w:sz w:val="11"/>
                <w:szCs w:val="11"/>
                <w:color w:val="auto"/>
                <w:w w:val="99"/>
              </w:rPr>
              <w:t>Media</w:t>
            </w:r>
          </w:p>
        </w:tc>
        <w:tc>
          <w:tcPr>
            <w:tcW w:w="120" w:type="dxa"/>
            <w:vAlign w:val="bottom"/>
          </w:tcPr>
          <w:p>
            <w:pPr>
              <w:spacing w:after="0"/>
              <w:rPr>
                <w:sz w:val="8"/>
                <w:szCs w:val="8"/>
                <w:color w:val="auto"/>
              </w:rPr>
            </w:pPr>
          </w:p>
        </w:tc>
        <w:tc>
          <w:tcPr>
            <w:tcW w:w="1220" w:type="dxa"/>
            <w:vAlign w:val="bottom"/>
            <w:gridSpan w:val="2"/>
          </w:tcPr>
          <w:p>
            <w:pPr>
              <w:jc w:val="right"/>
              <w:ind w:right="206"/>
              <w:spacing w:after="0" w:line="103" w:lineRule="exact"/>
              <w:rPr>
                <w:sz w:val="20"/>
                <w:szCs w:val="20"/>
                <w:color w:val="auto"/>
              </w:rPr>
            </w:pPr>
            <w:r>
              <w:rPr>
                <w:rFonts w:ascii="Times New Roman" w:cs="Times New Roman" w:eastAsia="Times New Roman" w:hAnsi="Times New Roman"/>
                <w:sz w:val="11"/>
                <w:szCs w:val="11"/>
                <w:color w:val="auto"/>
              </w:rPr>
              <w:t>—</w:t>
            </w:r>
          </w:p>
        </w:tc>
        <w:tc>
          <w:tcPr>
            <w:tcW w:w="780" w:type="dxa"/>
            <w:vAlign w:val="bottom"/>
          </w:tcPr>
          <w:p>
            <w:pPr>
              <w:jc w:val="right"/>
              <w:spacing w:after="0" w:line="103" w:lineRule="exact"/>
              <w:rPr>
                <w:sz w:val="20"/>
                <w:szCs w:val="20"/>
                <w:color w:val="auto"/>
              </w:rPr>
            </w:pPr>
            <w:r>
              <w:rPr>
                <w:rFonts w:ascii="Times New Roman" w:cs="Times New Roman" w:eastAsia="Times New Roman" w:hAnsi="Times New Roman"/>
                <w:sz w:val="11"/>
                <w:szCs w:val="11"/>
                <w:color w:val="auto"/>
              </w:rPr>
              <w:t>—</w:t>
            </w:r>
          </w:p>
        </w:tc>
        <w:tc>
          <w:tcPr>
            <w:tcW w:w="1040" w:type="dxa"/>
            <w:vAlign w:val="bottom"/>
            <w:gridSpan w:val="2"/>
          </w:tcPr>
          <w:p>
            <w:pPr>
              <w:jc w:val="right"/>
              <w:spacing w:after="0" w:line="103" w:lineRule="exact"/>
              <w:rPr>
                <w:sz w:val="20"/>
                <w:szCs w:val="20"/>
                <w:color w:val="auto"/>
              </w:rPr>
            </w:pPr>
            <w:r>
              <w:rPr>
                <w:rFonts w:ascii="Times New Roman" w:cs="Times New Roman" w:eastAsia="Times New Roman" w:hAnsi="Times New Roman"/>
                <w:sz w:val="11"/>
                <w:szCs w:val="11"/>
                <w:color w:val="auto"/>
              </w:rPr>
              <w:t>835</w:t>
            </w: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jc w:val="right"/>
              <w:spacing w:after="0" w:line="103" w:lineRule="exact"/>
              <w:rPr>
                <w:sz w:val="20"/>
                <w:szCs w:val="20"/>
                <w:color w:val="auto"/>
              </w:rPr>
            </w:pPr>
            <w:r>
              <w:rPr>
                <w:rFonts w:ascii="Times New Roman" w:cs="Times New Roman" w:eastAsia="Times New Roman" w:hAnsi="Times New Roman"/>
                <w:sz w:val="11"/>
                <w:szCs w:val="11"/>
                <w:color w:val="auto"/>
              </w:rPr>
              <w:t>835</w:t>
            </w: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jc w:val="right"/>
              <w:spacing w:after="0" w:line="103" w:lineRule="exact"/>
              <w:rPr>
                <w:sz w:val="20"/>
                <w:szCs w:val="20"/>
                <w:color w:val="auto"/>
              </w:rPr>
            </w:pPr>
            <w:r>
              <w:rPr>
                <w:rFonts w:ascii="Times New Roman" w:cs="Times New Roman" w:eastAsia="Times New Roman" w:hAnsi="Times New Roman"/>
                <w:sz w:val="11"/>
                <w:szCs w:val="11"/>
                <w:color w:val="auto"/>
              </w:rPr>
              <w:t>872</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232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MeritDirect Holdings, LP </w:t>
            </w:r>
            <w:r>
              <w:rPr>
                <w:rFonts w:ascii="Times New Roman" w:cs="Times New Roman" w:eastAsia="Times New Roman" w:hAnsi="Times New Roman"/>
                <w:sz w:val="14"/>
                <w:szCs w:val="14"/>
                <w:color w:val="auto"/>
                <w:vertAlign w:val="superscript"/>
              </w:rPr>
              <w:t>(7), (8)</w:t>
            </w:r>
          </w:p>
        </w:tc>
        <w:tc>
          <w:tcPr>
            <w:tcW w:w="140" w:type="dxa"/>
            <w:vAlign w:val="bottom"/>
          </w:tcPr>
          <w:p>
            <w:pPr>
              <w:spacing w:after="0"/>
              <w:rPr>
                <w:sz w:val="11"/>
                <w:szCs w:val="11"/>
                <w:color w:val="auto"/>
              </w:rPr>
            </w:pPr>
          </w:p>
        </w:tc>
        <w:tc>
          <w:tcPr>
            <w:tcW w:w="720" w:type="dxa"/>
            <w:vAlign w:val="bottom"/>
          </w:tcPr>
          <w:p>
            <w:pPr>
              <w:ind w:left="600"/>
              <w:spacing w:after="0"/>
              <w:rPr>
                <w:sz w:val="20"/>
                <w:szCs w:val="20"/>
                <w:color w:val="auto"/>
              </w:rPr>
            </w:pPr>
            <w:r>
              <w:rPr>
                <w:rFonts w:ascii="Times New Roman" w:cs="Times New Roman" w:eastAsia="Times New Roman" w:hAnsi="Times New Roman"/>
                <w:sz w:val="11"/>
                <w:szCs w:val="11"/>
                <w:color w:val="auto"/>
                <w:w w:val="90"/>
              </w:rPr>
              <w:t>—</w:t>
            </w:r>
          </w:p>
        </w:tc>
        <w:tc>
          <w:tcPr>
            <w:tcW w:w="280" w:type="dxa"/>
            <w:vAlign w:val="bottom"/>
          </w:tcPr>
          <w:p>
            <w:pPr>
              <w:spacing w:after="0"/>
              <w:rPr>
                <w:sz w:val="11"/>
                <w:szCs w:val="11"/>
                <w:color w:val="auto"/>
              </w:rPr>
            </w:pPr>
          </w:p>
        </w:tc>
        <w:tc>
          <w:tcPr>
            <w:tcW w:w="25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Media</w:t>
            </w:r>
          </w:p>
        </w:tc>
        <w:tc>
          <w:tcPr>
            <w:tcW w:w="120" w:type="dxa"/>
            <w:vAlign w:val="bottom"/>
          </w:tcPr>
          <w:p>
            <w:pPr>
              <w:spacing w:after="0"/>
              <w:rPr>
                <w:sz w:val="11"/>
                <w:szCs w:val="11"/>
                <w:color w:val="auto"/>
              </w:rPr>
            </w:pPr>
          </w:p>
        </w:tc>
        <w:tc>
          <w:tcPr>
            <w:tcW w:w="1220" w:type="dxa"/>
            <w:vAlign w:val="bottom"/>
            <w:gridSpan w:val="2"/>
          </w:tcPr>
          <w:p>
            <w:pPr>
              <w:jc w:val="right"/>
              <w:ind w:right="206"/>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960</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960</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1,232</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32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NXOF Holdings, Inc. (Tyto Athene, LLC) </w:t>
            </w:r>
            <w:r>
              <w:rPr>
                <w:rFonts w:ascii="Times New Roman" w:cs="Times New Roman" w:eastAsia="Times New Roman" w:hAnsi="Times New Roman"/>
                <w:sz w:val="14"/>
                <w:szCs w:val="14"/>
                <w:color w:val="auto"/>
                <w:vertAlign w:val="superscript"/>
              </w:rPr>
              <w:t>(7)</w:t>
            </w:r>
          </w:p>
        </w:tc>
        <w:tc>
          <w:tcPr>
            <w:tcW w:w="140" w:type="dxa"/>
            <w:vAlign w:val="bottom"/>
          </w:tcPr>
          <w:p>
            <w:pPr>
              <w:spacing w:after="0"/>
              <w:rPr>
                <w:sz w:val="11"/>
                <w:szCs w:val="11"/>
                <w:color w:val="auto"/>
              </w:rPr>
            </w:pPr>
          </w:p>
        </w:tc>
        <w:tc>
          <w:tcPr>
            <w:tcW w:w="720" w:type="dxa"/>
            <w:vAlign w:val="bottom"/>
          </w:tcPr>
          <w:p>
            <w:pPr>
              <w:ind w:left="600"/>
              <w:spacing w:after="0"/>
              <w:rPr>
                <w:sz w:val="20"/>
                <w:szCs w:val="20"/>
                <w:color w:val="auto"/>
              </w:rPr>
            </w:pPr>
            <w:r>
              <w:rPr>
                <w:rFonts w:ascii="Times New Roman" w:cs="Times New Roman" w:eastAsia="Times New Roman" w:hAnsi="Times New Roman"/>
                <w:sz w:val="11"/>
                <w:szCs w:val="11"/>
                <w:color w:val="auto"/>
                <w:w w:val="90"/>
              </w:rPr>
              <w:t>—</w:t>
            </w:r>
          </w:p>
        </w:tc>
        <w:tc>
          <w:tcPr>
            <w:tcW w:w="280" w:type="dxa"/>
            <w:vAlign w:val="bottom"/>
          </w:tcPr>
          <w:p>
            <w:pPr>
              <w:spacing w:after="0"/>
              <w:rPr>
                <w:sz w:val="11"/>
                <w:szCs w:val="11"/>
                <w:color w:val="auto"/>
              </w:rPr>
            </w:pPr>
          </w:p>
        </w:tc>
        <w:tc>
          <w:tcPr>
            <w:tcW w:w="25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IT Services</w:t>
            </w:r>
          </w:p>
        </w:tc>
        <w:tc>
          <w:tcPr>
            <w:tcW w:w="120" w:type="dxa"/>
            <w:vAlign w:val="bottom"/>
          </w:tcPr>
          <w:p>
            <w:pPr>
              <w:spacing w:after="0"/>
              <w:rPr>
                <w:sz w:val="11"/>
                <w:szCs w:val="11"/>
                <w:color w:val="auto"/>
              </w:rPr>
            </w:pPr>
          </w:p>
        </w:tc>
        <w:tc>
          <w:tcPr>
            <w:tcW w:w="1220" w:type="dxa"/>
            <w:vAlign w:val="bottom"/>
            <w:gridSpan w:val="2"/>
          </w:tcPr>
          <w:p>
            <w:pPr>
              <w:jc w:val="right"/>
              <w:ind w:right="206"/>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733</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733</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926</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32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ORL Holdco, Inc. </w:t>
            </w:r>
            <w:r>
              <w:rPr>
                <w:rFonts w:ascii="Times New Roman" w:cs="Times New Roman" w:eastAsia="Times New Roman" w:hAnsi="Times New Roman"/>
                <w:sz w:val="14"/>
                <w:szCs w:val="14"/>
                <w:color w:val="auto"/>
                <w:vertAlign w:val="superscript"/>
              </w:rPr>
              <w:t>(7)</w:t>
            </w:r>
          </w:p>
        </w:tc>
        <w:tc>
          <w:tcPr>
            <w:tcW w:w="140" w:type="dxa"/>
            <w:vAlign w:val="bottom"/>
          </w:tcPr>
          <w:p>
            <w:pPr>
              <w:spacing w:after="0"/>
              <w:rPr>
                <w:sz w:val="11"/>
                <w:szCs w:val="11"/>
                <w:color w:val="auto"/>
              </w:rPr>
            </w:pPr>
          </w:p>
        </w:tc>
        <w:tc>
          <w:tcPr>
            <w:tcW w:w="720" w:type="dxa"/>
            <w:vAlign w:val="bottom"/>
          </w:tcPr>
          <w:p>
            <w:pPr>
              <w:ind w:left="600"/>
              <w:spacing w:after="0"/>
              <w:rPr>
                <w:sz w:val="20"/>
                <w:szCs w:val="20"/>
                <w:color w:val="auto"/>
              </w:rPr>
            </w:pPr>
            <w:r>
              <w:rPr>
                <w:rFonts w:ascii="Times New Roman" w:cs="Times New Roman" w:eastAsia="Times New Roman" w:hAnsi="Times New Roman"/>
                <w:sz w:val="11"/>
                <w:szCs w:val="11"/>
                <w:color w:val="auto"/>
                <w:w w:val="90"/>
              </w:rPr>
              <w:t>—</w:t>
            </w:r>
          </w:p>
        </w:tc>
        <w:tc>
          <w:tcPr>
            <w:tcW w:w="280" w:type="dxa"/>
            <w:vAlign w:val="bottom"/>
          </w:tcPr>
          <w:p>
            <w:pPr>
              <w:spacing w:after="0"/>
              <w:rPr>
                <w:sz w:val="11"/>
                <w:szCs w:val="11"/>
                <w:color w:val="auto"/>
              </w:rPr>
            </w:pPr>
          </w:p>
        </w:tc>
        <w:tc>
          <w:tcPr>
            <w:tcW w:w="25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Consumer Finance</w:t>
            </w:r>
          </w:p>
        </w:tc>
        <w:tc>
          <w:tcPr>
            <w:tcW w:w="120" w:type="dxa"/>
            <w:vAlign w:val="bottom"/>
          </w:tcPr>
          <w:p>
            <w:pPr>
              <w:spacing w:after="0"/>
              <w:rPr>
                <w:sz w:val="11"/>
                <w:szCs w:val="11"/>
                <w:color w:val="auto"/>
              </w:rPr>
            </w:pPr>
          </w:p>
        </w:tc>
        <w:tc>
          <w:tcPr>
            <w:tcW w:w="1220" w:type="dxa"/>
            <w:vAlign w:val="bottom"/>
            <w:gridSpan w:val="2"/>
          </w:tcPr>
          <w:p>
            <w:pPr>
              <w:jc w:val="right"/>
              <w:ind w:right="206"/>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1,327</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133</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133</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32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PT Network Intermediate Holdings, LLC </w:t>
            </w:r>
            <w:r>
              <w:rPr>
                <w:rFonts w:ascii="Times New Roman" w:cs="Times New Roman" w:eastAsia="Times New Roman" w:hAnsi="Times New Roman"/>
                <w:sz w:val="14"/>
                <w:szCs w:val="14"/>
                <w:color w:val="auto"/>
                <w:vertAlign w:val="superscript"/>
              </w:rPr>
              <w:t>(7),(8)</w:t>
            </w:r>
          </w:p>
        </w:tc>
        <w:tc>
          <w:tcPr>
            <w:tcW w:w="140" w:type="dxa"/>
            <w:vAlign w:val="bottom"/>
          </w:tcPr>
          <w:p>
            <w:pPr>
              <w:spacing w:after="0"/>
              <w:rPr>
                <w:sz w:val="11"/>
                <w:szCs w:val="11"/>
                <w:color w:val="auto"/>
              </w:rPr>
            </w:pPr>
          </w:p>
        </w:tc>
        <w:tc>
          <w:tcPr>
            <w:tcW w:w="720" w:type="dxa"/>
            <w:vAlign w:val="bottom"/>
          </w:tcPr>
          <w:p>
            <w:pPr>
              <w:ind w:left="600"/>
              <w:spacing w:after="0"/>
              <w:rPr>
                <w:sz w:val="20"/>
                <w:szCs w:val="20"/>
                <w:color w:val="auto"/>
              </w:rPr>
            </w:pPr>
            <w:r>
              <w:rPr>
                <w:rFonts w:ascii="Times New Roman" w:cs="Times New Roman" w:eastAsia="Times New Roman" w:hAnsi="Times New Roman"/>
                <w:sz w:val="11"/>
                <w:szCs w:val="11"/>
                <w:color w:val="auto"/>
                <w:w w:val="90"/>
              </w:rPr>
              <w:t>—</w:t>
            </w:r>
          </w:p>
        </w:tc>
        <w:tc>
          <w:tcPr>
            <w:tcW w:w="280" w:type="dxa"/>
            <w:vAlign w:val="bottom"/>
          </w:tcPr>
          <w:p>
            <w:pPr>
              <w:spacing w:after="0"/>
              <w:rPr>
                <w:sz w:val="11"/>
                <w:szCs w:val="11"/>
                <w:color w:val="auto"/>
              </w:rPr>
            </w:pPr>
          </w:p>
        </w:tc>
        <w:tc>
          <w:tcPr>
            <w:tcW w:w="25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Healthcare and Pharmaceuticals</w:t>
            </w:r>
          </w:p>
        </w:tc>
        <w:tc>
          <w:tcPr>
            <w:tcW w:w="1340" w:type="dxa"/>
            <w:vAlign w:val="bottom"/>
            <w:gridSpan w:val="3"/>
          </w:tcPr>
          <w:p>
            <w:pPr>
              <w:jc w:val="right"/>
              <w:ind w:right="86"/>
              <w:spacing w:after="0"/>
              <w:rPr>
                <w:sz w:val="20"/>
                <w:szCs w:val="20"/>
                <w:color w:val="auto"/>
              </w:rPr>
            </w:pPr>
            <w:r>
              <w:rPr>
                <w:rFonts w:ascii="Times New Roman" w:cs="Times New Roman" w:eastAsia="Times New Roman" w:hAnsi="Times New Roman"/>
                <w:sz w:val="11"/>
                <w:szCs w:val="11"/>
                <w:color w:val="auto"/>
              </w:rPr>
              <w:t>11.00 %</w:t>
            </w: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L+1,000</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33</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429</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536</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32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Signature CR Intermediate Holdco, Inc. </w:t>
            </w:r>
            <w:r>
              <w:rPr>
                <w:rFonts w:ascii="Times New Roman" w:cs="Times New Roman" w:eastAsia="Times New Roman" w:hAnsi="Times New Roman"/>
                <w:sz w:val="14"/>
                <w:szCs w:val="14"/>
                <w:color w:val="auto"/>
                <w:vertAlign w:val="superscript"/>
              </w:rPr>
              <w:t>(7)</w:t>
            </w:r>
          </w:p>
        </w:tc>
        <w:tc>
          <w:tcPr>
            <w:tcW w:w="140" w:type="dxa"/>
            <w:vAlign w:val="bottom"/>
          </w:tcPr>
          <w:p>
            <w:pPr>
              <w:spacing w:after="0"/>
              <w:rPr>
                <w:sz w:val="11"/>
                <w:szCs w:val="11"/>
                <w:color w:val="auto"/>
              </w:rPr>
            </w:pPr>
          </w:p>
        </w:tc>
        <w:tc>
          <w:tcPr>
            <w:tcW w:w="720" w:type="dxa"/>
            <w:vAlign w:val="bottom"/>
          </w:tcPr>
          <w:p>
            <w:pPr>
              <w:ind w:left="600"/>
              <w:spacing w:after="0"/>
              <w:rPr>
                <w:sz w:val="20"/>
                <w:szCs w:val="20"/>
                <w:color w:val="auto"/>
              </w:rPr>
            </w:pPr>
            <w:r>
              <w:rPr>
                <w:rFonts w:ascii="Times New Roman" w:cs="Times New Roman" w:eastAsia="Times New Roman" w:hAnsi="Times New Roman"/>
                <w:sz w:val="11"/>
                <w:szCs w:val="11"/>
                <w:color w:val="auto"/>
                <w:w w:val="90"/>
              </w:rPr>
              <w:t>—</w:t>
            </w:r>
          </w:p>
        </w:tc>
        <w:tc>
          <w:tcPr>
            <w:tcW w:w="280" w:type="dxa"/>
            <w:vAlign w:val="bottom"/>
          </w:tcPr>
          <w:p>
            <w:pPr>
              <w:spacing w:after="0"/>
              <w:rPr>
                <w:sz w:val="11"/>
                <w:szCs w:val="11"/>
                <w:color w:val="auto"/>
              </w:rPr>
            </w:pPr>
          </w:p>
        </w:tc>
        <w:tc>
          <w:tcPr>
            <w:tcW w:w="25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Commercial Services &amp; Supplies</w:t>
            </w:r>
          </w:p>
        </w:tc>
        <w:tc>
          <w:tcPr>
            <w:tcW w:w="1340" w:type="dxa"/>
            <w:vAlign w:val="bottom"/>
            <w:gridSpan w:val="3"/>
          </w:tcPr>
          <w:p>
            <w:pPr>
              <w:jc w:val="right"/>
              <w:ind w:right="86"/>
              <w:spacing w:after="0"/>
              <w:rPr>
                <w:sz w:val="20"/>
                <w:szCs w:val="20"/>
                <w:color w:val="auto"/>
              </w:rPr>
            </w:pPr>
            <w:r>
              <w:rPr>
                <w:rFonts w:ascii="Times New Roman" w:cs="Times New Roman" w:eastAsia="Times New Roman" w:hAnsi="Times New Roman"/>
                <w:sz w:val="11"/>
                <w:szCs w:val="11"/>
                <w:color w:val="auto"/>
              </w:rPr>
              <w:t>12.00 %</w:t>
            </w: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1,323</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1,323</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1,628</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3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 xml:space="preserve">TPC Holding Company, LP </w:t>
            </w:r>
            <w:r>
              <w:rPr>
                <w:rFonts w:ascii="Times New Roman" w:cs="Times New Roman" w:eastAsia="Times New Roman" w:hAnsi="Times New Roman"/>
                <w:sz w:val="14"/>
                <w:szCs w:val="14"/>
                <w:color w:val="auto"/>
                <w:vertAlign w:val="superscript"/>
              </w:rPr>
              <w:t>(5), (7), (10)</w:t>
            </w:r>
          </w:p>
        </w:tc>
        <w:tc>
          <w:tcPr>
            <w:tcW w:w="140" w:type="dxa"/>
            <w:vAlign w:val="bottom"/>
          </w:tcPr>
          <w:p>
            <w:pPr>
              <w:spacing w:after="0"/>
              <w:rPr>
                <w:sz w:val="14"/>
                <w:szCs w:val="14"/>
                <w:color w:val="auto"/>
              </w:rPr>
            </w:pPr>
          </w:p>
        </w:tc>
        <w:tc>
          <w:tcPr>
            <w:tcW w:w="720" w:type="dxa"/>
            <w:vAlign w:val="bottom"/>
          </w:tcPr>
          <w:p>
            <w:pPr>
              <w:ind w:left="600"/>
              <w:spacing w:after="0"/>
              <w:rPr>
                <w:sz w:val="20"/>
                <w:szCs w:val="20"/>
                <w:color w:val="auto"/>
              </w:rPr>
            </w:pPr>
            <w:r>
              <w:rPr>
                <w:rFonts w:ascii="Times New Roman" w:cs="Times New Roman" w:eastAsia="Times New Roman" w:hAnsi="Times New Roman"/>
                <w:sz w:val="11"/>
                <w:szCs w:val="11"/>
                <w:color w:val="auto"/>
                <w:w w:val="90"/>
              </w:rPr>
              <w:t>—</w:t>
            </w:r>
          </w:p>
        </w:tc>
        <w:tc>
          <w:tcPr>
            <w:tcW w:w="280" w:type="dxa"/>
            <w:vAlign w:val="bottom"/>
          </w:tcPr>
          <w:p>
            <w:pPr>
              <w:spacing w:after="0"/>
              <w:rPr>
                <w:sz w:val="14"/>
                <w:szCs w:val="14"/>
                <w:color w:val="auto"/>
              </w:rPr>
            </w:pPr>
          </w:p>
        </w:tc>
        <w:tc>
          <w:tcPr>
            <w:tcW w:w="25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6"/>
              </w:rPr>
              <w:t>Food Products</w:t>
            </w:r>
          </w:p>
        </w:tc>
        <w:tc>
          <w:tcPr>
            <w:tcW w:w="120" w:type="dxa"/>
            <w:vAlign w:val="bottom"/>
          </w:tcPr>
          <w:p>
            <w:pPr>
              <w:spacing w:after="0"/>
              <w:rPr>
                <w:sz w:val="14"/>
                <w:szCs w:val="14"/>
                <w:color w:val="auto"/>
              </w:rPr>
            </w:pPr>
          </w:p>
        </w:tc>
        <w:tc>
          <w:tcPr>
            <w:tcW w:w="1220" w:type="dxa"/>
            <w:vAlign w:val="bottom"/>
            <w:gridSpan w:val="2"/>
          </w:tcPr>
          <w:p>
            <w:pPr>
              <w:jc w:val="right"/>
              <w:ind w:right="206"/>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409</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409</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490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320" w:type="dxa"/>
            <w:vAlign w:val="bottom"/>
            <w:shd w:val="clear" w:color="auto" w:fill="CCECFF"/>
          </w:tcPr>
          <w:p>
            <w:pPr>
              <w:ind w:left="20"/>
              <w:spacing w:after="0" w:line="95" w:lineRule="exact"/>
              <w:rPr>
                <w:sz w:val="20"/>
                <w:szCs w:val="20"/>
                <w:color w:val="auto"/>
              </w:rPr>
            </w:pPr>
            <w:r>
              <w:rPr>
                <w:rFonts w:ascii="Times New Roman" w:cs="Times New Roman" w:eastAsia="Times New Roman" w:hAnsi="Times New Roman"/>
                <w:sz w:val="10"/>
                <w:szCs w:val="10"/>
                <w:color w:val="auto"/>
              </w:rPr>
              <w:t>TWD Parent Holdings, LLC (The Vertex</w:t>
            </w:r>
          </w:p>
        </w:tc>
        <w:tc>
          <w:tcPr>
            <w:tcW w:w="140" w:type="dxa"/>
            <w:vAlign w:val="bottom"/>
            <w:shd w:val="clear" w:color="auto" w:fill="CCECFF"/>
          </w:tcPr>
          <w:p>
            <w:pPr>
              <w:spacing w:after="0"/>
              <w:rPr>
                <w:sz w:val="8"/>
                <w:szCs w:val="8"/>
                <w:color w:val="auto"/>
              </w:rPr>
            </w:pPr>
          </w:p>
        </w:tc>
        <w:tc>
          <w:tcPr>
            <w:tcW w:w="720" w:type="dxa"/>
            <w:vAlign w:val="bottom"/>
            <w:shd w:val="clear" w:color="auto" w:fill="CCECFF"/>
          </w:tcPr>
          <w:p>
            <w:pPr>
              <w:ind w:left="600"/>
              <w:spacing w:after="0" w:line="95" w:lineRule="exact"/>
              <w:rPr>
                <w:sz w:val="20"/>
                <w:szCs w:val="20"/>
                <w:color w:val="auto"/>
              </w:rPr>
            </w:pPr>
            <w:r>
              <w:rPr>
                <w:rFonts w:ascii="Times New Roman" w:cs="Times New Roman" w:eastAsia="Times New Roman" w:hAnsi="Times New Roman"/>
                <w:sz w:val="10"/>
                <w:szCs w:val="10"/>
                <w:color w:val="auto"/>
                <w:w w:val="99"/>
              </w:rPr>
              <w:t>—</w:t>
            </w:r>
          </w:p>
        </w:tc>
        <w:tc>
          <w:tcPr>
            <w:tcW w:w="280" w:type="dxa"/>
            <w:vAlign w:val="bottom"/>
            <w:shd w:val="clear" w:color="auto" w:fill="CCECFF"/>
          </w:tcPr>
          <w:p>
            <w:pPr>
              <w:spacing w:after="0"/>
              <w:rPr>
                <w:sz w:val="8"/>
                <w:szCs w:val="8"/>
                <w:color w:val="auto"/>
              </w:rPr>
            </w:pPr>
          </w:p>
        </w:tc>
        <w:tc>
          <w:tcPr>
            <w:tcW w:w="2560" w:type="dxa"/>
            <w:vAlign w:val="bottom"/>
            <w:shd w:val="clear" w:color="auto" w:fill="CCECFF"/>
          </w:tcPr>
          <w:p>
            <w:pPr>
              <w:spacing w:after="0"/>
              <w:rPr>
                <w:sz w:val="8"/>
                <w:szCs w:val="8"/>
                <w:color w:val="auto"/>
              </w:rPr>
            </w:pPr>
          </w:p>
        </w:tc>
        <w:tc>
          <w:tcPr>
            <w:tcW w:w="120" w:type="dxa"/>
            <w:vAlign w:val="bottom"/>
            <w:shd w:val="clear" w:color="auto" w:fill="CCECFF"/>
          </w:tcPr>
          <w:p>
            <w:pPr>
              <w:spacing w:after="0"/>
              <w:rPr>
                <w:sz w:val="8"/>
                <w:szCs w:val="8"/>
                <w:color w:val="auto"/>
              </w:rPr>
            </w:pPr>
          </w:p>
        </w:tc>
        <w:tc>
          <w:tcPr>
            <w:tcW w:w="1220" w:type="dxa"/>
            <w:vAlign w:val="bottom"/>
            <w:gridSpan w:val="2"/>
            <w:shd w:val="clear" w:color="auto" w:fill="CCECFF"/>
          </w:tcPr>
          <w:p>
            <w:pPr>
              <w:jc w:val="right"/>
              <w:ind w:right="206"/>
              <w:spacing w:after="0" w:line="95" w:lineRule="exact"/>
              <w:rPr>
                <w:sz w:val="20"/>
                <w:szCs w:val="20"/>
                <w:color w:val="auto"/>
              </w:rPr>
            </w:pPr>
            <w:r>
              <w:rPr>
                <w:rFonts w:ascii="Times New Roman" w:cs="Times New Roman" w:eastAsia="Times New Roman" w:hAnsi="Times New Roman"/>
                <w:sz w:val="10"/>
                <w:szCs w:val="10"/>
                <w:color w:val="auto"/>
              </w:rPr>
              <w:t>—</w:t>
            </w:r>
          </w:p>
        </w:tc>
        <w:tc>
          <w:tcPr>
            <w:tcW w:w="780" w:type="dxa"/>
            <w:vAlign w:val="bottom"/>
            <w:shd w:val="clear" w:color="auto" w:fill="CCECFF"/>
          </w:tcPr>
          <w:p>
            <w:pPr>
              <w:jc w:val="right"/>
              <w:spacing w:after="0" w:line="95" w:lineRule="exact"/>
              <w:rPr>
                <w:sz w:val="20"/>
                <w:szCs w:val="20"/>
                <w:color w:val="auto"/>
              </w:rPr>
            </w:pPr>
            <w:r>
              <w:rPr>
                <w:rFonts w:ascii="Times New Roman" w:cs="Times New Roman" w:eastAsia="Times New Roman" w:hAnsi="Times New Roman"/>
                <w:sz w:val="10"/>
                <w:szCs w:val="10"/>
                <w:color w:val="auto"/>
              </w:rPr>
              <w:t>—</w:t>
            </w:r>
          </w:p>
        </w:tc>
        <w:tc>
          <w:tcPr>
            <w:tcW w:w="220" w:type="dxa"/>
            <w:vAlign w:val="bottom"/>
            <w:shd w:val="clear" w:color="auto" w:fill="CCECFF"/>
          </w:tcPr>
          <w:p>
            <w:pPr>
              <w:spacing w:after="0"/>
              <w:rPr>
                <w:sz w:val="8"/>
                <w:szCs w:val="8"/>
                <w:color w:val="auto"/>
              </w:rPr>
            </w:pPr>
          </w:p>
        </w:tc>
        <w:tc>
          <w:tcPr>
            <w:tcW w:w="820" w:type="dxa"/>
            <w:vAlign w:val="bottom"/>
            <w:shd w:val="clear" w:color="auto" w:fill="CCECFF"/>
          </w:tcPr>
          <w:p>
            <w:pPr>
              <w:spacing w:after="0"/>
              <w:rPr>
                <w:sz w:val="8"/>
                <w:szCs w:val="8"/>
                <w:color w:val="auto"/>
              </w:rPr>
            </w:pPr>
          </w:p>
        </w:tc>
        <w:tc>
          <w:tcPr>
            <w:tcW w:w="220" w:type="dxa"/>
            <w:vAlign w:val="bottom"/>
            <w:shd w:val="clear" w:color="auto" w:fill="CCECFF"/>
          </w:tcPr>
          <w:p>
            <w:pPr>
              <w:spacing w:after="0"/>
              <w:rPr>
                <w:sz w:val="8"/>
                <w:szCs w:val="8"/>
                <w:color w:val="auto"/>
              </w:rPr>
            </w:pPr>
          </w:p>
        </w:tc>
        <w:tc>
          <w:tcPr>
            <w:tcW w:w="160" w:type="dxa"/>
            <w:vAlign w:val="bottom"/>
            <w:shd w:val="clear" w:color="auto" w:fill="CCECFF"/>
          </w:tcPr>
          <w:p>
            <w:pPr>
              <w:spacing w:after="0"/>
              <w:rPr>
                <w:sz w:val="8"/>
                <w:szCs w:val="8"/>
                <w:color w:val="auto"/>
              </w:rPr>
            </w:pPr>
          </w:p>
        </w:tc>
        <w:tc>
          <w:tcPr>
            <w:tcW w:w="580" w:type="dxa"/>
            <w:vAlign w:val="bottom"/>
            <w:shd w:val="clear" w:color="auto" w:fill="CCECFF"/>
          </w:tcPr>
          <w:p>
            <w:pPr>
              <w:spacing w:after="0"/>
              <w:rPr>
                <w:sz w:val="8"/>
                <w:szCs w:val="8"/>
                <w:color w:val="auto"/>
              </w:rPr>
            </w:pPr>
          </w:p>
        </w:tc>
        <w:tc>
          <w:tcPr>
            <w:tcW w:w="220" w:type="dxa"/>
            <w:vAlign w:val="bottom"/>
            <w:shd w:val="clear" w:color="auto" w:fill="CCECFF"/>
          </w:tcPr>
          <w:p>
            <w:pPr>
              <w:spacing w:after="0"/>
              <w:rPr>
                <w:sz w:val="8"/>
                <w:szCs w:val="8"/>
                <w:color w:val="auto"/>
              </w:rPr>
            </w:pPr>
          </w:p>
        </w:tc>
        <w:tc>
          <w:tcPr>
            <w:tcW w:w="80" w:type="dxa"/>
            <w:vAlign w:val="bottom"/>
            <w:shd w:val="clear" w:color="auto" w:fill="CCECFF"/>
          </w:tcPr>
          <w:p>
            <w:pPr>
              <w:spacing w:after="0"/>
              <w:rPr>
                <w:sz w:val="8"/>
                <w:szCs w:val="8"/>
                <w:color w:val="auto"/>
              </w:rPr>
            </w:pPr>
          </w:p>
        </w:tc>
        <w:tc>
          <w:tcPr>
            <w:tcW w:w="700" w:type="dxa"/>
            <w:vAlign w:val="bottom"/>
            <w:shd w:val="clear" w:color="auto" w:fill="CCECFF"/>
          </w:tcPr>
          <w:p>
            <w:pPr>
              <w:spacing w:after="0"/>
              <w:rPr>
                <w:sz w:val="8"/>
                <w:szCs w:val="8"/>
                <w:color w:val="auto"/>
              </w:rPr>
            </w:pPr>
          </w:p>
        </w:tc>
        <w:tc>
          <w:tcPr>
            <w:tcW w:w="100" w:type="dxa"/>
            <w:vAlign w:val="bottom"/>
            <w:shd w:val="clear" w:color="auto" w:fill="CCECFF"/>
          </w:tcPr>
          <w:p>
            <w:pPr>
              <w:spacing w:after="0"/>
              <w:rPr>
                <w:sz w:val="8"/>
                <w:szCs w:val="8"/>
                <w:color w:val="auto"/>
              </w:rPr>
            </w:pPr>
          </w:p>
        </w:tc>
        <w:tc>
          <w:tcPr>
            <w:tcW w:w="0" w:type="dxa"/>
            <w:vAlign w:val="bottom"/>
          </w:tcPr>
          <w:p>
            <w:pPr>
              <w:spacing w:after="0"/>
              <w:rPr>
                <w:sz w:val="1"/>
                <w:szCs w:val="1"/>
                <w:color w:val="auto"/>
              </w:rPr>
            </w:pPr>
          </w:p>
        </w:tc>
      </w:tr>
      <w:tr>
        <w:trPr>
          <w:trHeight w:val="162"/>
        </w:trPr>
        <w:tc>
          <w:tcPr>
            <w:tcW w:w="23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 xml:space="preserve">Companies, LLC) </w:t>
            </w:r>
            <w:r>
              <w:rPr>
                <w:rFonts w:ascii="Times New Roman" w:cs="Times New Roman" w:eastAsia="Times New Roman" w:hAnsi="Times New Roman"/>
                <w:sz w:val="14"/>
                <w:szCs w:val="14"/>
                <w:color w:val="auto"/>
                <w:vertAlign w:val="superscript"/>
              </w:rPr>
              <w:t>(7)</w:t>
            </w:r>
          </w:p>
        </w:tc>
        <w:tc>
          <w:tcPr>
            <w:tcW w:w="140" w:type="dxa"/>
            <w:vAlign w:val="bottom"/>
            <w:shd w:val="clear" w:color="auto" w:fill="CCECFF"/>
          </w:tcPr>
          <w:p>
            <w:pPr>
              <w:spacing w:after="0"/>
              <w:rPr>
                <w:sz w:val="14"/>
                <w:szCs w:val="14"/>
                <w:color w:val="auto"/>
              </w:rPr>
            </w:pPr>
          </w:p>
        </w:tc>
        <w:tc>
          <w:tcPr>
            <w:tcW w:w="72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25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Construction &amp; Engineering</w:t>
            </w:r>
          </w:p>
        </w:tc>
        <w:tc>
          <w:tcPr>
            <w:tcW w:w="120" w:type="dxa"/>
            <w:vAlign w:val="bottom"/>
            <w:shd w:val="clear" w:color="auto" w:fill="CCECFF"/>
          </w:tcPr>
          <w:p>
            <w:pPr>
              <w:spacing w:after="0"/>
              <w:rPr>
                <w:sz w:val="14"/>
                <w:szCs w:val="14"/>
                <w:color w:val="auto"/>
              </w:rPr>
            </w:pPr>
          </w:p>
        </w:tc>
        <w:tc>
          <w:tcPr>
            <w:tcW w:w="98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780" w:type="dxa"/>
            <w:vAlign w:val="bottom"/>
            <w:shd w:val="clear" w:color="auto" w:fill="CCECFF"/>
          </w:tcPr>
          <w:p>
            <w:pPr>
              <w:spacing w:after="0"/>
              <w:rPr>
                <w:sz w:val="14"/>
                <w:szCs w:val="14"/>
                <w:color w:val="auto"/>
              </w:rPr>
            </w:pPr>
          </w:p>
        </w:tc>
        <w:tc>
          <w:tcPr>
            <w:tcW w:w="10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37</w:t>
            </w:r>
          </w:p>
        </w:tc>
        <w:tc>
          <w:tcPr>
            <w:tcW w:w="220" w:type="dxa"/>
            <w:vAlign w:val="bottom"/>
            <w:shd w:val="clear" w:color="auto" w:fill="CCECFF"/>
          </w:tcPr>
          <w:p>
            <w:pPr>
              <w:spacing w:after="0"/>
              <w:rPr>
                <w:sz w:val="14"/>
                <w:szCs w:val="14"/>
                <w:color w:val="auto"/>
              </w:rPr>
            </w:pPr>
          </w:p>
        </w:tc>
        <w:tc>
          <w:tcPr>
            <w:tcW w:w="160" w:type="dxa"/>
            <w:vAlign w:val="bottom"/>
            <w:shd w:val="clear" w:color="auto" w:fill="CCECFF"/>
          </w:tcPr>
          <w:p>
            <w:pPr>
              <w:spacing w:after="0"/>
              <w:rPr>
                <w:sz w:val="14"/>
                <w:szCs w:val="14"/>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37</w:t>
            </w:r>
          </w:p>
        </w:tc>
        <w:tc>
          <w:tcPr>
            <w:tcW w:w="220" w:type="dxa"/>
            <w:vAlign w:val="bottom"/>
            <w:shd w:val="clear" w:color="auto" w:fill="CCECFF"/>
          </w:tcPr>
          <w:p>
            <w:pPr>
              <w:spacing w:after="0"/>
              <w:rPr>
                <w:sz w:val="14"/>
                <w:szCs w:val="14"/>
                <w:color w:val="auto"/>
              </w:rPr>
            </w:pPr>
          </w:p>
        </w:tc>
        <w:tc>
          <w:tcPr>
            <w:tcW w:w="80" w:type="dxa"/>
            <w:vAlign w:val="bottom"/>
            <w:shd w:val="clear" w:color="auto" w:fill="CCECFF"/>
          </w:tcPr>
          <w:p>
            <w:pPr>
              <w:spacing w:after="0"/>
              <w:rPr>
                <w:sz w:val="14"/>
                <w:szCs w:val="14"/>
                <w:color w:val="auto"/>
              </w:rPr>
            </w:pPr>
          </w:p>
        </w:tc>
        <w:tc>
          <w:tcPr>
            <w:tcW w:w="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37</w:t>
            </w: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03"/>
        </w:trPr>
        <w:tc>
          <w:tcPr>
            <w:tcW w:w="2320" w:type="dxa"/>
            <w:vAlign w:val="bottom"/>
          </w:tcPr>
          <w:p>
            <w:pPr>
              <w:ind w:left="20"/>
              <w:spacing w:after="0" w:line="103" w:lineRule="exact"/>
              <w:rPr>
                <w:sz w:val="20"/>
                <w:szCs w:val="20"/>
                <w:color w:val="auto"/>
              </w:rPr>
            </w:pPr>
            <w:r>
              <w:rPr>
                <w:rFonts w:ascii="Times New Roman" w:cs="Times New Roman" w:eastAsia="Times New Roman" w:hAnsi="Times New Roman"/>
                <w:sz w:val="11"/>
                <w:szCs w:val="11"/>
                <w:color w:val="auto"/>
              </w:rPr>
              <w:t>UniTek Global Services, Inc. -</w:t>
            </w:r>
          </w:p>
        </w:tc>
        <w:tc>
          <w:tcPr>
            <w:tcW w:w="140" w:type="dxa"/>
            <w:vAlign w:val="bottom"/>
          </w:tcPr>
          <w:p>
            <w:pPr>
              <w:spacing w:after="0"/>
              <w:rPr>
                <w:sz w:val="8"/>
                <w:szCs w:val="8"/>
                <w:color w:val="auto"/>
              </w:rPr>
            </w:pPr>
          </w:p>
        </w:tc>
        <w:tc>
          <w:tcPr>
            <w:tcW w:w="720" w:type="dxa"/>
            <w:vAlign w:val="bottom"/>
          </w:tcPr>
          <w:p>
            <w:pPr>
              <w:ind w:left="600"/>
              <w:spacing w:after="0" w:line="103" w:lineRule="exact"/>
              <w:rPr>
                <w:sz w:val="20"/>
                <w:szCs w:val="20"/>
                <w:color w:val="auto"/>
              </w:rPr>
            </w:pPr>
            <w:r>
              <w:rPr>
                <w:rFonts w:ascii="Times New Roman" w:cs="Times New Roman" w:eastAsia="Times New Roman" w:hAnsi="Times New Roman"/>
                <w:sz w:val="11"/>
                <w:szCs w:val="11"/>
                <w:color w:val="auto"/>
                <w:w w:val="90"/>
              </w:rPr>
              <w:t>—</w:t>
            </w:r>
          </w:p>
        </w:tc>
        <w:tc>
          <w:tcPr>
            <w:tcW w:w="280" w:type="dxa"/>
            <w:vAlign w:val="bottom"/>
          </w:tcPr>
          <w:p>
            <w:pPr>
              <w:spacing w:after="0"/>
              <w:rPr>
                <w:sz w:val="8"/>
                <w:szCs w:val="8"/>
                <w:color w:val="auto"/>
              </w:rPr>
            </w:pPr>
          </w:p>
        </w:tc>
        <w:tc>
          <w:tcPr>
            <w:tcW w:w="2560" w:type="dxa"/>
            <w:vAlign w:val="bottom"/>
          </w:tcPr>
          <w:p>
            <w:pPr>
              <w:jc w:val="center"/>
              <w:spacing w:after="0" w:line="103" w:lineRule="exact"/>
              <w:rPr>
                <w:sz w:val="20"/>
                <w:szCs w:val="20"/>
                <w:color w:val="auto"/>
              </w:rPr>
            </w:pPr>
            <w:r>
              <w:rPr>
                <w:rFonts w:ascii="Times New Roman" w:cs="Times New Roman" w:eastAsia="Times New Roman" w:hAnsi="Times New Roman"/>
                <w:sz w:val="11"/>
                <w:szCs w:val="11"/>
                <w:color w:val="auto"/>
                <w:w w:val="97"/>
              </w:rPr>
              <w:t>Telecommunications</w:t>
            </w:r>
          </w:p>
        </w:tc>
        <w:tc>
          <w:tcPr>
            <w:tcW w:w="1340" w:type="dxa"/>
            <w:vAlign w:val="bottom"/>
            <w:gridSpan w:val="3"/>
          </w:tcPr>
          <w:p>
            <w:pPr>
              <w:jc w:val="right"/>
              <w:ind w:right="86"/>
              <w:spacing w:after="0" w:line="103" w:lineRule="exact"/>
              <w:rPr>
                <w:sz w:val="20"/>
                <w:szCs w:val="20"/>
                <w:color w:val="auto"/>
              </w:rPr>
            </w:pPr>
            <w:r>
              <w:rPr>
                <w:rFonts w:ascii="Times New Roman" w:cs="Times New Roman" w:eastAsia="Times New Roman" w:hAnsi="Times New Roman"/>
                <w:sz w:val="11"/>
                <w:szCs w:val="11"/>
                <w:color w:val="auto"/>
              </w:rPr>
              <w:t>20.00 %</w:t>
            </w:r>
          </w:p>
        </w:tc>
        <w:tc>
          <w:tcPr>
            <w:tcW w:w="780" w:type="dxa"/>
            <w:vAlign w:val="bottom"/>
          </w:tcPr>
          <w:p>
            <w:pPr>
              <w:jc w:val="right"/>
              <w:spacing w:after="0" w:line="103" w:lineRule="exact"/>
              <w:rPr>
                <w:sz w:val="20"/>
                <w:szCs w:val="20"/>
                <w:color w:val="auto"/>
              </w:rPr>
            </w:pPr>
            <w:r>
              <w:rPr>
                <w:rFonts w:ascii="Times New Roman" w:cs="Times New Roman" w:eastAsia="Times New Roman" w:hAnsi="Times New Roman"/>
                <w:sz w:val="11"/>
                <w:szCs w:val="11"/>
                <w:color w:val="auto"/>
              </w:rPr>
              <w:t>—</w:t>
            </w:r>
          </w:p>
        </w:tc>
        <w:tc>
          <w:tcPr>
            <w:tcW w:w="1040" w:type="dxa"/>
            <w:vAlign w:val="bottom"/>
            <w:gridSpan w:val="2"/>
          </w:tcPr>
          <w:p>
            <w:pPr>
              <w:jc w:val="right"/>
              <w:spacing w:after="0" w:line="103" w:lineRule="exact"/>
              <w:rPr>
                <w:sz w:val="20"/>
                <w:szCs w:val="20"/>
                <w:color w:val="auto"/>
              </w:rPr>
            </w:pPr>
            <w:r>
              <w:rPr>
                <w:rFonts w:ascii="Times New Roman" w:cs="Times New Roman" w:eastAsia="Times New Roman" w:hAnsi="Times New Roman"/>
                <w:sz w:val="11"/>
                <w:szCs w:val="11"/>
                <w:color w:val="auto"/>
              </w:rPr>
              <w:t>343,861</w:t>
            </w: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jc w:val="right"/>
              <w:spacing w:after="0" w:line="103" w:lineRule="exact"/>
              <w:rPr>
                <w:sz w:val="20"/>
                <w:szCs w:val="20"/>
                <w:color w:val="auto"/>
              </w:rPr>
            </w:pPr>
            <w:r>
              <w:rPr>
                <w:rFonts w:ascii="Times New Roman" w:cs="Times New Roman" w:eastAsia="Times New Roman" w:hAnsi="Times New Roman"/>
                <w:sz w:val="11"/>
                <w:szCs w:val="11"/>
                <w:color w:val="auto"/>
              </w:rPr>
              <w:t>344</w:t>
            </w: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gridSpan w:val="2"/>
          </w:tcPr>
          <w:p>
            <w:pPr>
              <w:jc w:val="right"/>
              <w:ind w:right="120"/>
              <w:spacing w:after="0" w:line="103"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53"/>
        </w:trPr>
        <w:tc>
          <w:tcPr>
            <w:tcW w:w="2320" w:type="dxa"/>
            <w:vAlign w:val="bottom"/>
          </w:tcPr>
          <w:p>
            <w:pPr>
              <w:ind w:left="100"/>
              <w:spacing w:after="0" w:line="153" w:lineRule="exact"/>
              <w:rPr>
                <w:sz w:val="20"/>
                <w:szCs w:val="20"/>
                <w:color w:val="auto"/>
              </w:rPr>
            </w:pPr>
            <w:r>
              <w:rPr>
                <w:rFonts w:ascii="Times New Roman" w:cs="Times New Roman" w:eastAsia="Times New Roman" w:hAnsi="Times New Roman"/>
                <w:sz w:val="11"/>
                <w:szCs w:val="11"/>
                <w:color w:val="auto"/>
              </w:rPr>
              <w:t xml:space="preserve">Super Senior Preferred Equity </w:t>
            </w:r>
            <w:r>
              <w:rPr>
                <w:rFonts w:ascii="Times New Roman" w:cs="Times New Roman" w:eastAsia="Times New Roman" w:hAnsi="Times New Roman"/>
                <w:sz w:val="14"/>
                <w:szCs w:val="14"/>
                <w:color w:val="auto"/>
                <w:vertAlign w:val="superscript"/>
              </w:rPr>
              <w:t>(7)</w:t>
            </w: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2320" w:type="dxa"/>
            <w:vAlign w:val="bottom"/>
          </w:tcPr>
          <w:p>
            <w:pPr>
              <w:ind w:left="20"/>
              <w:spacing w:after="0" w:line="109" w:lineRule="exact"/>
              <w:rPr>
                <w:sz w:val="20"/>
                <w:szCs w:val="20"/>
                <w:color w:val="auto"/>
              </w:rPr>
            </w:pPr>
            <w:r>
              <w:rPr>
                <w:rFonts w:ascii="Times New Roman" w:cs="Times New Roman" w:eastAsia="Times New Roman" w:hAnsi="Times New Roman"/>
                <w:sz w:val="11"/>
                <w:szCs w:val="11"/>
                <w:color w:val="auto"/>
              </w:rPr>
              <w:t>UniTek Global Services, Inc. - Senior Preferred</w:t>
            </w:r>
          </w:p>
        </w:tc>
        <w:tc>
          <w:tcPr>
            <w:tcW w:w="140" w:type="dxa"/>
            <w:vAlign w:val="bottom"/>
          </w:tcPr>
          <w:p>
            <w:pPr>
              <w:spacing w:after="0"/>
              <w:rPr>
                <w:sz w:val="9"/>
                <w:szCs w:val="9"/>
                <w:color w:val="auto"/>
              </w:rPr>
            </w:pPr>
          </w:p>
        </w:tc>
        <w:tc>
          <w:tcPr>
            <w:tcW w:w="720" w:type="dxa"/>
            <w:vAlign w:val="bottom"/>
          </w:tcPr>
          <w:p>
            <w:pPr>
              <w:ind w:left="600"/>
              <w:spacing w:after="0" w:line="109" w:lineRule="exact"/>
              <w:rPr>
                <w:sz w:val="20"/>
                <w:szCs w:val="20"/>
                <w:color w:val="auto"/>
              </w:rPr>
            </w:pPr>
            <w:r>
              <w:rPr>
                <w:rFonts w:ascii="Times New Roman" w:cs="Times New Roman" w:eastAsia="Times New Roman" w:hAnsi="Times New Roman"/>
                <w:sz w:val="11"/>
                <w:szCs w:val="11"/>
                <w:color w:val="auto"/>
                <w:w w:val="90"/>
              </w:rPr>
              <w:t>—</w:t>
            </w:r>
          </w:p>
        </w:tc>
        <w:tc>
          <w:tcPr>
            <w:tcW w:w="280" w:type="dxa"/>
            <w:vAlign w:val="bottom"/>
          </w:tcPr>
          <w:p>
            <w:pPr>
              <w:spacing w:after="0"/>
              <w:rPr>
                <w:sz w:val="9"/>
                <w:szCs w:val="9"/>
                <w:color w:val="auto"/>
              </w:rPr>
            </w:pPr>
          </w:p>
        </w:tc>
        <w:tc>
          <w:tcPr>
            <w:tcW w:w="2560" w:type="dxa"/>
            <w:vAlign w:val="bottom"/>
          </w:tcPr>
          <w:p>
            <w:pPr>
              <w:jc w:val="center"/>
              <w:spacing w:after="0" w:line="109" w:lineRule="exact"/>
              <w:rPr>
                <w:sz w:val="20"/>
                <w:szCs w:val="20"/>
                <w:color w:val="auto"/>
              </w:rPr>
            </w:pPr>
            <w:r>
              <w:rPr>
                <w:rFonts w:ascii="Times New Roman" w:cs="Times New Roman" w:eastAsia="Times New Roman" w:hAnsi="Times New Roman"/>
                <w:sz w:val="11"/>
                <w:szCs w:val="11"/>
                <w:color w:val="auto"/>
                <w:w w:val="97"/>
              </w:rPr>
              <w:t>Telecommunications</w:t>
            </w:r>
          </w:p>
        </w:tc>
        <w:tc>
          <w:tcPr>
            <w:tcW w:w="1340" w:type="dxa"/>
            <w:vAlign w:val="bottom"/>
            <w:gridSpan w:val="3"/>
          </w:tcPr>
          <w:p>
            <w:pPr>
              <w:jc w:val="right"/>
              <w:ind w:right="86"/>
              <w:spacing w:after="0" w:line="109" w:lineRule="exact"/>
              <w:rPr>
                <w:sz w:val="20"/>
                <w:szCs w:val="20"/>
                <w:color w:val="auto"/>
              </w:rPr>
            </w:pPr>
            <w:r>
              <w:rPr>
                <w:rFonts w:ascii="Times New Roman" w:cs="Times New Roman" w:eastAsia="Times New Roman" w:hAnsi="Times New Roman"/>
                <w:sz w:val="11"/>
                <w:szCs w:val="11"/>
                <w:color w:val="auto"/>
              </w:rPr>
              <w:t>19.00 %</w:t>
            </w:r>
          </w:p>
        </w:tc>
        <w:tc>
          <w:tcPr>
            <w:tcW w:w="780" w:type="dxa"/>
            <w:vAlign w:val="bottom"/>
          </w:tcPr>
          <w:p>
            <w:pPr>
              <w:jc w:val="right"/>
              <w:spacing w:after="0" w:line="109"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gridSpan w:val="2"/>
          </w:tcPr>
          <w:p>
            <w:pPr>
              <w:jc w:val="right"/>
              <w:ind w:right="120"/>
              <w:spacing w:after="0" w:line="109"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30"/>
        </w:trPr>
        <w:tc>
          <w:tcPr>
            <w:tcW w:w="2320" w:type="dxa"/>
            <w:vAlign w:val="bottom"/>
          </w:tcPr>
          <w:p>
            <w:pPr>
              <w:ind w:left="20"/>
              <w:spacing w:after="0" w:line="130" w:lineRule="exact"/>
              <w:rPr>
                <w:sz w:val="20"/>
                <w:szCs w:val="20"/>
                <w:color w:val="auto"/>
              </w:rPr>
            </w:pPr>
            <w:r>
              <w:rPr>
                <w:rFonts w:ascii="Times New Roman" w:cs="Times New Roman" w:eastAsia="Times New Roman" w:hAnsi="Times New Roman"/>
                <w:sz w:val="11"/>
                <w:szCs w:val="11"/>
                <w:color w:val="auto"/>
              </w:rPr>
              <w:t xml:space="preserve">Equity </w:t>
            </w:r>
            <w:r>
              <w:rPr>
                <w:rFonts w:ascii="Times New Roman" w:cs="Times New Roman" w:eastAsia="Times New Roman" w:hAnsi="Times New Roman"/>
                <w:sz w:val="14"/>
                <w:szCs w:val="14"/>
                <w:color w:val="auto"/>
                <w:vertAlign w:val="superscript"/>
              </w:rPr>
              <w:t>(7)</w:t>
            </w: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448,851</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449</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3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 xml:space="preserve">UniTek Global Services, Inc. </w:t>
            </w:r>
            <w:r>
              <w:rPr>
                <w:rFonts w:ascii="Times New Roman" w:cs="Times New Roman" w:eastAsia="Times New Roman" w:hAnsi="Times New Roman"/>
                <w:sz w:val="14"/>
                <w:szCs w:val="14"/>
                <w:color w:val="auto"/>
                <w:vertAlign w:val="superscript"/>
              </w:rPr>
              <w:t>(7)</w:t>
            </w:r>
          </w:p>
        </w:tc>
        <w:tc>
          <w:tcPr>
            <w:tcW w:w="140" w:type="dxa"/>
            <w:vAlign w:val="bottom"/>
          </w:tcPr>
          <w:p>
            <w:pPr>
              <w:spacing w:after="0"/>
              <w:rPr>
                <w:sz w:val="14"/>
                <w:szCs w:val="14"/>
                <w:color w:val="auto"/>
              </w:rPr>
            </w:pPr>
          </w:p>
        </w:tc>
        <w:tc>
          <w:tcPr>
            <w:tcW w:w="720" w:type="dxa"/>
            <w:vAlign w:val="bottom"/>
          </w:tcPr>
          <w:p>
            <w:pPr>
              <w:ind w:left="600"/>
              <w:spacing w:after="0"/>
              <w:rPr>
                <w:sz w:val="20"/>
                <w:szCs w:val="20"/>
                <w:color w:val="auto"/>
              </w:rPr>
            </w:pPr>
            <w:r>
              <w:rPr>
                <w:rFonts w:ascii="Times New Roman" w:cs="Times New Roman" w:eastAsia="Times New Roman" w:hAnsi="Times New Roman"/>
                <w:sz w:val="11"/>
                <w:szCs w:val="11"/>
                <w:color w:val="auto"/>
                <w:w w:val="90"/>
              </w:rPr>
              <w:t>—</w:t>
            </w:r>
          </w:p>
        </w:tc>
        <w:tc>
          <w:tcPr>
            <w:tcW w:w="280" w:type="dxa"/>
            <w:vAlign w:val="bottom"/>
          </w:tcPr>
          <w:p>
            <w:pPr>
              <w:spacing w:after="0"/>
              <w:rPr>
                <w:sz w:val="14"/>
                <w:szCs w:val="14"/>
                <w:color w:val="auto"/>
              </w:rPr>
            </w:pPr>
          </w:p>
        </w:tc>
        <w:tc>
          <w:tcPr>
            <w:tcW w:w="25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Telecommunications</w:t>
            </w:r>
          </w:p>
        </w:tc>
        <w:tc>
          <w:tcPr>
            <w:tcW w:w="1340" w:type="dxa"/>
            <w:vAlign w:val="bottom"/>
            <w:gridSpan w:val="3"/>
          </w:tcPr>
          <w:p>
            <w:pPr>
              <w:jc w:val="right"/>
              <w:ind w:right="86"/>
              <w:spacing w:after="0"/>
              <w:rPr>
                <w:sz w:val="20"/>
                <w:szCs w:val="20"/>
                <w:color w:val="auto"/>
              </w:rPr>
            </w:pPr>
            <w:r>
              <w:rPr>
                <w:rFonts w:ascii="Times New Roman" w:cs="Times New Roman" w:eastAsia="Times New Roman" w:hAnsi="Times New Roman"/>
                <w:sz w:val="11"/>
                <w:szCs w:val="11"/>
                <w:color w:val="auto"/>
              </w:rPr>
              <w:t>13.50 %</w:t>
            </w: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1,047,317</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670</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22"/>
        </w:trPr>
        <w:tc>
          <w:tcPr>
            <w:tcW w:w="2320" w:type="dxa"/>
            <w:vAlign w:val="bottom"/>
          </w:tcPr>
          <w:p>
            <w:pPr>
              <w:ind w:left="20"/>
              <w:spacing w:after="0" w:line="110" w:lineRule="exact"/>
              <w:rPr>
                <w:sz w:val="20"/>
                <w:szCs w:val="20"/>
                <w:color w:val="auto"/>
              </w:rPr>
            </w:pPr>
            <w:r>
              <w:rPr>
                <w:rFonts w:ascii="Times New Roman" w:cs="Times New Roman" w:eastAsia="Times New Roman" w:hAnsi="Times New Roman"/>
                <w:sz w:val="11"/>
                <w:szCs w:val="11"/>
                <w:b w:val="1"/>
                <w:bCs w:val="1"/>
                <w:color w:val="auto"/>
              </w:rPr>
              <w:t>Total Preferred Equity</w:t>
            </w: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Borders>
              <w:top w:val="single" w:sz="8" w:color="auto"/>
              <w:bottom w:val="single" w:sz="8" w:color="auto"/>
            </w:tcBorders>
          </w:tcPr>
          <w:p>
            <w:pPr>
              <w:spacing w:after="0"/>
              <w:rPr>
                <w:sz w:val="10"/>
                <w:szCs w:val="10"/>
                <w:color w:val="auto"/>
              </w:rPr>
            </w:pPr>
          </w:p>
        </w:tc>
        <w:tc>
          <w:tcPr>
            <w:tcW w:w="580" w:type="dxa"/>
            <w:vAlign w:val="bottom"/>
            <w:tcBorders>
              <w:top w:val="single" w:sz="8" w:color="auto"/>
              <w:bottom w:val="single" w:sz="8" w:color="auto"/>
            </w:tcBorders>
          </w:tcPr>
          <w:p>
            <w:pPr>
              <w:jc w:val="right"/>
              <w:spacing w:after="0" w:line="110" w:lineRule="exact"/>
              <w:rPr>
                <w:sz w:val="20"/>
                <w:szCs w:val="20"/>
                <w:color w:val="auto"/>
              </w:rPr>
            </w:pPr>
            <w:r>
              <w:rPr>
                <w:rFonts w:ascii="Times New Roman" w:cs="Times New Roman" w:eastAsia="Times New Roman" w:hAnsi="Times New Roman"/>
                <w:sz w:val="11"/>
                <w:szCs w:val="11"/>
                <w:color w:val="auto"/>
              </w:rPr>
              <w:t>7,016</w:t>
            </w:r>
          </w:p>
        </w:tc>
        <w:tc>
          <w:tcPr>
            <w:tcW w:w="220" w:type="dxa"/>
            <w:vAlign w:val="bottom"/>
          </w:tcPr>
          <w:p>
            <w:pPr>
              <w:spacing w:after="0"/>
              <w:rPr>
                <w:sz w:val="10"/>
                <w:szCs w:val="10"/>
                <w:color w:val="auto"/>
              </w:rPr>
            </w:pPr>
          </w:p>
        </w:tc>
        <w:tc>
          <w:tcPr>
            <w:tcW w:w="80" w:type="dxa"/>
            <w:vAlign w:val="bottom"/>
            <w:tcBorders>
              <w:top w:val="single" w:sz="8" w:color="auto"/>
              <w:bottom w:val="single" w:sz="8" w:color="auto"/>
            </w:tcBorders>
          </w:tcPr>
          <w:p>
            <w:pPr>
              <w:spacing w:after="0"/>
              <w:rPr>
                <w:sz w:val="10"/>
                <w:szCs w:val="10"/>
                <w:color w:val="auto"/>
              </w:rPr>
            </w:pPr>
          </w:p>
        </w:tc>
        <w:tc>
          <w:tcPr>
            <w:tcW w:w="700" w:type="dxa"/>
            <w:vAlign w:val="bottom"/>
            <w:tcBorders>
              <w:top w:val="single" w:sz="8" w:color="auto"/>
              <w:bottom w:val="single" w:sz="8" w:color="auto"/>
            </w:tcBorders>
          </w:tcPr>
          <w:p>
            <w:pPr>
              <w:jc w:val="right"/>
              <w:spacing w:after="0" w:line="110" w:lineRule="exact"/>
              <w:rPr>
                <w:sz w:val="20"/>
                <w:szCs w:val="20"/>
                <w:color w:val="auto"/>
              </w:rPr>
            </w:pPr>
            <w:r>
              <w:rPr>
                <w:rFonts w:ascii="Times New Roman" w:cs="Times New Roman" w:eastAsia="Times New Roman" w:hAnsi="Times New Roman"/>
                <w:sz w:val="11"/>
                <w:szCs w:val="11"/>
                <w:color w:val="auto"/>
              </w:rPr>
              <w:t>6,525</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3"/>
        </w:trPr>
        <w:tc>
          <w:tcPr>
            <w:tcW w:w="2320" w:type="dxa"/>
            <w:vAlign w:val="bottom"/>
          </w:tcPr>
          <w:p>
            <w:pPr>
              <w:ind w:left="20"/>
              <w:spacing w:after="0" w:line="103" w:lineRule="exact"/>
              <w:rPr>
                <w:sz w:val="20"/>
                <w:szCs w:val="20"/>
                <w:color w:val="auto"/>
              </w:rPr>
            </w:pPr>
            <w:r>
              <w:rPr>
                <w:rFonts w:ascii="Times New Roman" w:cs="Times New Roman" w:eastAsia="Times New Roman" w:hAnsi="Times New Roman"/>
                <w:sz w:val="9"/>
                <w:szCs w:val="9"/>
                <w:b w:val="1"/>
                <w:bCs w:val="1"/>
                <w:color w:val="auto"/>
              </w:rPr>
              <w:t xml:space="preserve">Common Equity/Warrants— 16.8% </w:t>
            </w:r>
            <w:r>
              <w:rPr>
                <w:rFonts w:ascii="Times New Roman" w:cs="Times New Roman" w:eastAsia="Times New Roman" w:hAnsi="Times New Roman"/>
                <w:sz w:val="11"/>
                <w:szCs w:val="11"/>
                <w:b w:val="1"/>
                <w:bCs w:val="1"/>
                <w:color w:val="auto"/>
                <w:vertAlign w:val="superscript"/>
              </w:rPr>
              <w:t>(6)</w:t>
            </w:r>
          </w:p>
        </w:tc>
        <w:tc>
          <w:tcPr>
            <w:tcW w:w="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980" w:type="dxa"/>
            <w:vAlign w:val="bottom"/>
          </w:tcPr>
          <w:p>
            <w:pPr>
              <w:spacing w:after="0"/>
              <w:rPr>
                <w:sz w:val="8"/>
                <w:szCs w:val="8"/>
                <w:color w:val="auto"/>
              </w:rPr>
            </w:pPr>
          </w:p>
        </w:tc>
        <w:tc>
          <w:tcPr>
            <w:tcW w:w="240" w:type="dxa"/>
            <w:vAlign w:val="bottom"/>
          </w:tcPr>
          <w:p>
            <w:pPr>
              <w:spacing w:after="0"/>
              <w:rPr>
                <w:sz w:val="8"/>
                <w:szCs w:val="8"/>
                <w:color w:val="auto"/>
              </w:rPr>
            </w:pPr>
          </w:p>
        </w:tc>
        <w:tc>
          <w:tcPr>
            <w:tcW w:w="78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232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Ad.net Holdings, Inc. </w:t>
            </w:r>
            <w:r>
              <w:rPr>
                <w:rFonts w:ascii="Times New Roman" w:cs="Times New Roman" w:eastAsia="Times New Roman" w:hAnsi="Times New Roman"/>
                <w:sz w:val="14"/>
                <w:szCs w:val="14"/>
                <w:color w:val="auto"/>
                <w:vertAlign w:val="superscript"/>
              </w:rPr>
              <w:t>(7),(8)</w:t>
            </w:r>
          </w:p>
        </w:tc>
        <w:tc>
          <w:tcPr>
            <w:tcW w:w="140" w:type="dxa"/>
            <w:vAlign w:val="bottom"/>
          </w:tcPr>
          <w:p>
            <w:pPr>
              <w:spacing w:after="0"/>
              <w:rPr>
                <w:sz w:val="11"/>
                <w:szCs w:val="11"/>
                <w:color w:val="auto"/>
              </w:rPr>
            </w:pPr>
          </w:p>
        </w:tc>
        <w:tc>
          <w:tcPr>
            <w:tcW w:w="720" w:type="dxa"/>
            <w:vAlign w:val="bottom"/>
          </w:tcPr>
          <w:p>
            <w:pPr>
              <w:ind w:left="600"/>
              <w:spacing w:after="0"/>
              <w:rPr>
                <w:sz w:val="20"/>
                <w:szCs w:val="20"/>
                <w:color w:val="auto"/>
              </w:rPr>
            </w:pPr>
            <w:r>
              <w:rPr>
                <w:rFonts w:ascii="Times New Roman" w:cs="Times New Roman" w:eastAsia="Times New Roman" w:hAnsi="Times New Roman"/>
                <w:sz w:val="11"/>
                <w:szCs w:val="11"/>
                <w:color w:val="auto"/>
                <w:w w:val="90"/>
              </w:rPr>
              <w:t>—</w:t>
            </w:r>
          </w:p>
        </w:tc>
        <w:tc>
          <w:tcPr>
            <w:tcW w:w="280" w:type="dxa"/>
            <w:vAlign w:val="bottom"/>
          </w:tcPr>
          <w:p>
            <w:pPr>
              <w:spacing w:after="0"/>
              <w:rPr>
                <w:sz w:val="11"/>
                <w:szCs w:val="11"/>
                <w:color w:val="auto"/>
              </w:rPr>
            </w:pPr>
          </w:p>
        </w:tc>
        <w:tc>
          <w:tcPr>
            <w:tcW w:w="25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Media</w:t>
            </w:r>
          </w:p>
        </w:tc>
        <w:tc>
          <w:tcPr>
            <w:tcW w:w="120" w:type="dxa"/>
            <w:vAlign w:val="bottom"/>
          </w:tcPr>
          <w:p>
            <w:pPr>
              <w:spacing w:after="0"/>
              <w:rPr>
                <w:sz w:val="11"/>
                <w:szCs w:val="11"/>
                <w:color w:val="auto"/>
              </w:rPr>
            </w:pPr>
          </w:p>
        </w:tc>
        <w:tc>
          <w:tcPr>
            <w:tcW w:w="1220" w:type="dxa"/>
            <w:vAlign w:val="bottom"/>
            <w:gridSpan w:val="2"/>
          </w:tcPr>
          <w:p>
            <w:pPr>
              <w:jc w:val="right"/>
              <w:ind w:right="206"/>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7,467</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75</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137</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32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Affinion Group Holdings, Inc. (Warrants)</w:t>
            </w:r>
            <w:r>
              <w:rPr>
                <w:rFonts w:ascii="Times New Roman" w:cs="Times New Roman" w:eastAsia="Times New Roman" w:hAnsi="Times New Roman"/>
                <w:sz w:val="14"/>
                <w:szCs w:val="14"/>
                <w:color w:val="auto"/>
                <w:vertAlign w:val="superscript"/>
              </w:rPr>
              <w:t>(7)</w:t>
            </w:r>
          </w:p>
        </w:tc>
        <w:tc>
          <w:tcPr>
            <w:tcW w:w="86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5"/>
              </w:rPr>
              <w:t>04/10/2024</w:t>
            </w:r>
          </w:p>
        </w:tc>
        <w:tc>
          <w:tcPr>
            <w:tcW w:w="280" w:type="dxa"/>
            <w:vAlign w:val="bottom"/>
          </w:tcPr>
          <w:p>
            <w:pPr>
              <w:spacing w:after="0"/>
              <w:rPr>
                <w:sz w:val="11"/>
                <w:szCs w:val="11"/>
                <w:color w:val="auto"/>
              </w:rPr>
            </w:pPr>
          </w:p>
        </w:tc>
        <w:tc>
          <w:tcPr>
            <w:tcW w:w="25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Consumer Goods: Durable</w:t>
            </w:r>
          </w:p>
        </w:tc>
        <w:tc>
          <w:tcPr>
            <w:tcW w:w="120" w:type="dxa"/>
            <w:vAlign w:val="bottom"/>
          </w:tcPr>
          <w:p>
            <w:pPr>
              <w:spacing w:after="0"/>
              <w:rPr>
                <w:sz w:val="11"/>
                <w:szCs w:val="11"/>
                <w:color w:val="auto"/>
              </w:rPr>
            </w:pPr>
          </w:p>
        </w:tc>
        <w:tc>
          <w:tcPr>
            <w:tcW w:w="1220" w:type="dxa"/>
            <w:vAlign w:val="bottom"/>
            <w:gridSpan w:val="2"/>
          </w:tcPr>
          <w:p>
            <w:pPr>
              <w:jc w:val="right"/>
              <w:ind w:right="206"/>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8,893</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245</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35"/>
        </w:trPr>
        <w:tc>
          <w:tcPr>
            <w:tcW w:w="232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AG Investco LP </w:t>
            </w:r>
            <w:r>
              <w:rPr>
                <w:rFonts w:ascii="Times New Roman" w:cs="Times New Roman" w:eastAsia="Times New Roman" w:hAnsi="Times New Roman"/>
                <w:sz w:val="14"/>
                <w:szCs w:val="14"/>
                <w:color w:val="auto"/>
                <w:vertAlign w:val="superscript"/>
              </w:rPr>
              <w:t>(7), (8)</w:t>
            </w:r>
          </w:p>
        </w:tc>
        <w:tc>
          <w:tcPr>
            <w:tcW w:w="140" w:type="dxa"/>
            <w:vAlign w:val="bottom"/>
          </w:tcPr>
          <w:p>
            <w:pPr>
              <w:spacing w:after="0"/>
              <w:rPr>
                <w:sz w:val="11"/>
                <w:szCs w:val="11"/>
                <w:color w:val="auto"/>
              </w:rPr>
            </w:pPr>
          </w:p>
        </w:tc>
        <w:tc>
          <w:tcPr>
            <w:tcW w:w="720" w:type="dxa"/>
            <w:vAlign w:val="bottom"/>
          </w:tcPr>
          <w:p>
            <w:pPr>
              <w:ind w:left="600"/>
              <w:spacing w:after="0"/>
              <w:rPr>
                <w:sz w:val="20"/>
                <w:szCs w:val="20"/>
                <w:color w:val="auto"/>
              </w:rPr>
            </w:pPr>
            <w:r>
              <w:rPr>
                <w:rFonts w:ascii="Times New Roman" w:cs="Times New Roman" w:eastAsia="Times New Roman" w:hAnsi="Times New Roman"/>
                <w:sz w:val="11"/>
                <w:szCs w:val="11"/>
                <w:color w:val="auto"/>
                <w:w w:val="90"/>
              </w:rPr>
              <w:t>—</w:t>
            </w:r>
          </w:p>
        </w:tc>
        <w:tc>
          <w:tcPr>
            <w:tcW w:w="280" w:type="dxa"/>
            <w:vAlign w:val="bottom"/>
          </w:tcPr>
          <w:p>
            <w:pPr>
              <w:spacing w:after="0"/>
              <w:rPr>
                <w:sz w:val="11"/>
                <w:szCs w:val="11"/>
                <w:color w:val="auto"/>
              </w:rPr>
            </w:pPr>
          </w:p>
        </w:tc>
        <w:tc>
          <w:tcPr>
            <w:tcW w:w="25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5"/>
              </w:rPr>
              <w:t>Software</w:t>
            </w:r>
          </w:p>
        </w:tc>
        <w:tc>
          <w:tcPr>
            <w:tcW w:w="120" w:type="dxa"/>
            <w:vAlign w:val="bottom"/>
          </w:tcPr>
          <w:p>
            <w:pPr>
              <w:spacing w:after="0"/>
              <w:rPr>
                <w:sz w:val="11"/>
                <w:szCs w:val="11"/>
                <w:color w:val="auto"/>
              </w:rPr>
            </w:pPr>
          </w:p>
        </w:tc>
        <w:tc>
          <w:tcPr>
            <w:tcW w:w="1220" w:type="dxa"/>
            <w:vAlign w:val="bottom"/>
            <w:gridSpan w:val="2"/>
          </w:tcPr>
          <w:p>
            <w:pPr>
              <w:jc w:val="right"/>
              <w:ind w:right="206"/>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805,164</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805</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1,192</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32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AG Investco LP </w:t>
            </w:r>
            <w:r>
              <w:rPr>
                <w:rFonts w:ascii="Times New Roman" w:cs="Times New Roman" w:eastAsia="Times New Roman" w:hAnsi="Times New Roman"/>
                <w:sz w:val="14"/>
                <w:szCs w:val="14"/>
                <w:color w:val="auto"/>
                <w:vertAlign w:val="superscript"/>
              </w:rPr>
              <w:t>(7), (8), (9)</w:t>
            </w:r>
          </w:p>
        </w:tc>
        <w:tc>
          <w:tcPr>
            <w:tcW w:w="140" w:type="dxa"/>
            <w:vAlign w:val="bottom"/>
          </w:tcPr>
          <w:p>
            <w:pPr>
              <w:spacing w:after="0"/>
              <w:rPr>
                <w:sz w:val="11"/>
                <w:szCs w:val="11"/>
                <w:color w:val="auto"/>
              </w:rPr>
            </w:pPr>
          </w:p>
        </w:tc>
        <w:tc>
          <w:tcPr>
            <w:tcW w:w="720" w:type="dxa"/>
            <w:vAlign w:val="bottom"/>
          </w:tcPr>
          <w:p>
            <w:pPr>
              <w:ind w:left="600"/>
              <w:spacing w:after="0"/>
              <w:rPr>
                <w:sz w:val="20"/>
                <w:szCs w:val="20"/>
                <w:color w:val="auto"/>
              </w:rPr>
            </w:pPr>
            <w:r>
              <w:rPr>
                <w:rFonts w:ascii="Times New Roman" w:cs="Times New Roman" w:eastAsia="Times New Roman" w:hAnsi="Times New Roman"/>
                <w:sz w:val="11"/>
                <w:szCs w:val="11"/>
                <w:color w:val="auto"/>
                <w:w w:val="90"/>
              </w:rPr>
              <w:t>—</w:t>
            </w:r>
          </w:p>
        </w:tc>
        <w:tc>
          <w:tcPr>
            <w:tcW w:w="280" w:type="dxa"/>
            <w:vAlign w:val="bottom"/>
          </w:tcPr>
          <w:p>
            <w:pPr>
              <w:spacing w:after="0"/>
              <w:rPr>
                <w:sz w:val="11"/>
                <w:szCs w:val="11"/>
                <w:color w:val="auto"/>
              </w:rPr>
            </w:pPr>
          </w:p>
        </w:tc>
        <w:tc>
          <w:tcPr>
            <w:tcW w:w="25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5"/>
              </w:rPr>
              <w:t>Software</w:t>
            </w:r>
          </w:p>
        </w:tc>
        <w:tc>
          <w:tcPr>
            <w:tcW w:w="120" w:type="dxa"/>
            <w:vAlign w:val="bottom"/>
          </w:tcPr>
          <w:p>
            <w:pPr>
              <w:spacing w:after="0"/>
              <w:rPr>
                <w:sz w:val="11"/>
                <w:szCs w:val="11"/>
                <w:color w:val="auto"/>
              </w:rPr>
            </w:pPr>
          </w:p>
        </w:tc>
        <w:tc>
          <w:tcPr>
            <w:tcW w:w="1220" w:type="dxa"/>
            <w:vAlign w:val="bottom"/>
            <w:gridSpan w:val="2"/>
          </w:tcPr>
          <w:p>
            <w:pPr>
              <w:jc w:val="right"/>
              <w:ind w:right="206"/>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194,836</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35"/>
        </w:trPr>
        <w:tc>
          <w:tcPr>
            <w:tcW w:w="232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Altamira Intermediate Company II, Inc. </w:t>
            </w:r>
            <w:r>
              <w:rPr>
                <w:rFonts w:ascii="Times New Roman" w:cs="Times New Roman" w:eastAsia="Times New Roman" w:hAnsi="Times New Roman"/>
                <w:sz w:val="14"/>
                <w:szCs w:val="14"/>
                <w:color w:val="auto"/>
                <w:vertAlign w:val="superscript"/>
              </w:rPr>
              <w:t>(7)</w:t>
            </w:r>
          </w:p>
        </w:tc>
        <w:tc>
          <w:tcPr>
            <w:tcW w:w="140" w:type="dxa"/>
            <w:vAlign w:val="bottom"/>
          </w:tcPr>
          <w:p>
            <w:pPr>
              <w:spacing w:after="0"/>
              <w:rPr>
                <w:sz w:val="11"/>
                <w:szCs w:val="11"/>
                <w:color w:val="auto"/>
              </w:rPr>
            </w:pPr>
          </w:p>
        </w:tc>
        <w:tc>
          <w:tcPr>
            <w:tcW w:w="720" w:type="dxa"/>
            <w:vAlign w:val="bottom"/>
          </w:tcPr>
          <w:p>
            <w:pPr>
              <w:ind w:left="600"/>
              <w:spacing w:after="0"/>
              <w:rPr>
                <w:sz w:val="20"/>
                <w:szCs w:val="20"/>
                <w:color w:val="auto"/>
              </w:rPr>
            </w:pPr>
            <w:r>
              <w:rPr>
                <w:rFonts w:ascii="Times New Roman" w:cs="Times New Roman" w:eastAsia="Times New Roman" w:hAnsi="Times New Roman"/>
                <w:sz w:val="11"/>
                <w:szCs w:val="11"/>
                <w:color w:val="auto"/>
                <w:w w:val="90"/>
              </w:rPr>
              <w:t>—</w:t>
            </w:r>
          </w:p>
        </w:tc>
        <w:tc>
          <w:tcPr>
            <w:tcW w:w="280" w:type="dxa"/>
            <w:vAlign w:val="bottom"/>
          </w:tcPr>
          <w:p>
            <w:pPr>
              <w:spacing w:after="0"/>
              <w:rPr>
                <w:sz w:val="11"/>
                <w:szCs w:val="11"/>
                <w:color w:val="auto"/>
              </w:rPr>
            </w:pPr>
          </w:p>
        </w:tc>
        <w:tc>
          <w:tcPr>
            <w:tcW w:w="25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IT Services</w:t>
            </w:r>
          </w:p>
        </w:tc>
        <w:tc>
          <w:tcPr>
            <w:tcW w:w="120" w:type="dxa"/>
            <w:vAlign w:val="bottom"/>
          </w:tcPr>
          <w:p>
            <w:pPr>
              <w:spacing w:after="0"/>
              <w:rPr>
                <w:sz w:val="11"/>
                <w:szCs w:val="11"/>
                <w:color w:val="auto"/>
              </w:rPr>
            </w:pPr>
          </w:p>
        </w:tc>
        <w:tc>
          <w:tcPr>
            <w:tcW w:w="1220" w:type="dxa"/>
            <w:vAlign w:val="bottom"/>
            <w:gridSpan w:val="2"/>
          </w:tcPr>
          <w:p>
            <w:pPr>
              <w:jc w:val="right"/>
              <w:ind w:right="206"/>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1,437,500</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1,438</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378</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32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By Light Investco LP </w:t>
            </w:r>
            <w:r>
              <w:rPr>
                <w:rFonts w:ascii="Times New Roman" w:cs="Times New Roman" w:eastAsia="Times New Roman" w:hAnsi="Times New Roman"/>
                <w:sz w:val="14"/>
                <w:szCs w:val="14"/>
                <w:color w:val="auto"/>
                <w:vertAlign w:val="superscript"/>
              </w:rPr>
              <w:t>(7), (8)</w:t>
            </w:r>
          </w:p>
        </w:tc>
        <w:tc>
          <w:tcPr>
            <w:tcW w:w="140" w:type="dxa"/>
            <w:vAlign w:val="bottom"/>
          </w:tcPr>
          <w:p>
            <w:pPr>
              <w:spacing w:after="0"/>
              <w:rPr>
                <w:sz w:val="11"/>
                <w:szCs w:val="11"/>
                <w:color w:val="auto"/>
              </w:rPr>
            </w:pPr>
          </w:p>
        </w:tc>
        <w:tc>
          <w:tcPr>
            <w:tcW w:w="720" w:type="dxa"/>
            <w:vAlign w:val="bottom"/>
          </w:tcPr>
          <w:p>
            <w:pPr>
              <w:ind w:left="600"/>
              <w:spacing w:after="0"/>
              <w:rPr>
                <w:sz w:val="20"/>
                <w:szCs w:val="20"/>
                <w:color w:val="auto"/>
              </w:rPr>
            </w:pPr>
            <w:r>
              <w:rPr>
                <w:rFonts w:ascii="Times New Roman" w:cs="Times New Roman" w:eastAsia="Times New Roman" w:hAnsi="Times New Roman"/>
                <w:sz w:val="11"/>
                <w:szCs w:val="11"/>
                <w:color w:val="auto"/>
                <w:w w:val="90"/>
              </w:rPr>
              <w:t>—</w:t>
            </w:r>
          </w:p>
        </w:tc>
        <w:tc>
          <w:tcPr>
            <w:tcW w:w="280" w:type="dxa"/>
            <w:vAlign w:val="bottom"/>
          </w:tcPr>
          <w:p>
            <w:pPr>
              <w:spacing w:after="0"/>
              <w:rPr>
                <w:sz w:val="11"/>
                <w:szCs w:val="11"/>
                <w:color w:val="auto"/>
              </w:rPr>
            </w:pPr>
          </w:p>
        </w:tc>
        <w:tc>
          <w:tcPr>
            <w:tcW w:w="25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6"/>
              </w:rPr>
              <w:t>High Tech Industries</w:t>
            </w:r>
          </w:p>
        </w:tc>
        <w:tc>
          <w:tcPr>
            <w:tcW w:w="120" w:type="dxa"/>
            <w:vAlign w:val="bottom"/>
          </w:tcPr>
          <w:p>
            <w:pPr>
              <w:spacing w:after="0"/>
              <w:rPr>
                <w:sz w:val="11"/>
                <w:szCs w:val="11"/>
                <w:color w:val="auto"/>
              </w:rPr>
            </w:pPr>
          </w:p>
        </w:tc>
        <w:tc>
          <w:tcPr>
            <w:tcW w:w="1220" w:type="dxa"/>
            <w:vAlign w:val="bottom"/>
            <w:gridSpan w:val="2"/>
          </w:tcPr>
          <w:p>
            <w:pPr>
              <w:jc w:val="right"/>
              <w:ind w:right="206"/>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21,908</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2,100</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12,799</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320" w:type="dxa"/>
            <w:vAlign w:val="bottom"/>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By Light Investco LP </w:t>
            </w:r>
            <w:r>
              <w:rPr>
                <w:rFonts w:ascii="Times New Roman" w:cs="Times New Roman" w:eastAsia="Times New Roman" w:hAnsi="Times New Roman"/>
                <w:sz w:val="14"/>
                <w:szCs w:val="14"/>
                <w:color w:val="auto"/>
                <w:vertAlign w:val="superscript"/>
              </w:rPr>
              <w:t>(7), (8), (9)</w:t>
            </w:r>
          </w:p>
        </w:tc>
        <w:tc>
          <w:tcPr>
            <w:tcW w:w="140" w:type="dxa"/>
            <w:vAlign w:val="bottom"/>
          </w:tcPr>
          <w:p>
            <w:pPr>
              <w:spacing w:after="0"/>
              <w:rPr>
                <w:sz w:val="13"/>
                <w:szCs w:val="13"/>
                <w:color w:val="auto"/>
              </w:rPr>
            </w:pPr>
          </w:p>
        </w:tc>
        <w:tc>
          <w:tcPr>
            <w:tcW w:w="720" w:type="dxa"/>
            <w:vAlign w:val="bottom"/>
          </w:tcPr>
          <w:p>
            <w:pPr>
              <w:ind w:left="600"/>
              <w:spacing w:after="0"/>
              <w:rPr>
                <w:sz w:val="20"/>
                <w:szCs w:val="20"/>
                <w:color w:val="auto"/>
              </w:rPr>
            </w:pPr>
            <w:r>
              <w:rPr>
                <w:rFonts w:ascii="Times New Roman" w:cs="Times New Roman" w:eastAsia="Times New Roman" w:hAnsi="Times New Roman"/>
                <w:sz w:val="11"/>
                <w:szCs w:val="11"/>
                <w:color w:val="auto"/>
                <w:w w:val="90"/>
              </w:rPr>
              <w:t>—</w:t>
            </w:r>
          </w:p>
        </w:tc>
        <w:tc>
          <w:tcPr>
            <w:tcW w:w="280" w:type="dxa"/>
            <w:vAlign w:val="bottom"/>
          </w:tcPr>
          <w:p>
            <w:pPr>
              <w:spacing w:after="0"/>
              <w:rPr>
                <w:sz w:val="13"/>
                <w:szCs w:val="13"/>
                <w:color w:val="auto"/>
              </w:rPr>
            </w:pPr>
          </w:p>
        </w:tc>
        <w:tc>
          <w:tcPr>
            <w:tcW w:w="25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6"/>
              </w:rPr>
              <w:t>High Tech Industries</w:t>
            </w:r>
          </w:p>
        </w:tc>
        <w:tc>
          <w:tcPr>
            <w:tcW w:w="120" w:type="dxa"/>
            <w:vAlign w:val="bottom"/>
          </w:tcPr>
          <w:p>
            <w:pPr>
              <w:spacing w:after="0"/>
              <w:rPr>
                <w:sz w:val="13"/>
                <w:szCs w:val="13"/>
                <w:color w:val="auto"/>
              </w:rPr>
            </w:pPr>
          </w:p>
        </w:tc>
        <w:tc>
          <w:tcPr>
            <w:tcW w:w="1220" w:type="dxa"/>
            <w:vAlign w:val="bottom"/>
            <w:gridSpan w:val="2"/>
          </w:tcPr>
          <w:p>
            <w:pPr>
              <w:jc w:val="right"/>
              <w:ind w:right="206"/>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7,401</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17"/>
        </w:trPr>
        <w:tc>
          <w:tcPr>
            <w:tcW w:w="2320" w:type="dxa"/>
            <w:vAlign w:val="bottom"/>
          </w:tcPr>
          <w:p>
            <w:pPr>
              <w:ind w:left="20"/>
              <w:spacing w:after="0" w:line="117" w:lineRule="exact"/>
              <w:rPr>
                <w:sz w:val="20"/>
                <w:szCs w:val="20"/>
                <w:color w:val="auto"/>
              </w:rPr>
            </w:pPr>
            <w:r>
              <w:rPr>
                <w:rFonts w:ascii="Times New Roman" w:cs="Times New Roman" w:eastAsia="Times New Roman" w:hAnsi="Times New Roman"/>
                <w:sz w:val="11"/>
                <w:szCs w:val="11"/>
                <w:color w:val="auto"/>
              </w:rPr>
              <w:t>CI (Allied) Investment Holdings, LLC</w:t>
            </w:r>
          </w:p>
        </w:tc>
        <w:tc>
          <w:tcPr>
            <w:tcW w:w="140" w:type="dxa"/>
            <w:vAlign w:val="bottom"/>
          </w:tcPr>
          <w:p>
            <w:pPr>
              <w:spacing w:after="0"/>
              <w:rPr>
                <w:sz w:val="10"/>
                <w:szCs w:val="10"/>
                <w:color w:val="auto"/>
              </w:rPr>
            </w:pPr>
          </w:p>
        </w:tc>
        <w:tc>
          <w:tcPr>
            <w:tcW w:w="720" w:type="dxa"/>
            <w:vAlign w:val="bottom"/>
          </w:tcPr>
          <w:p>
            <w:pPr>
              <w:ind w:left="600"/>
              <w:spacing w:after="0" w:line="117" w:lineRule="exact"/>
              <w:rPr>
                <w:sz w:val="20"/>
                <w:szCs w:val="20"/>
                <w:color w:val="auto"/>
              </w:rPr>
            </w:pPr>
            <w:r>
              <w:rPr>
                <w:rFonts w:ascii="Times New Roman" w:cs="Times New Roman" w:eastAsia="Times New Roman" w:hAnsi="Times New Roman"/>
                <w:sz w:val="11"/>
                <w:szCs w:val="11"/>
                <w:color w:val="auto"/>
                <w:w w:val="90"/>
              </w:rPr>
              <w:t>—</w:t>
            </w:r>
          </w:p>
        </w:tc>
        <w:tc>
          <w:tcPr>
            <w:tcW w:w="280" w:type="dxa"/>
            <w:vAlign w:val="bottom"/>
          </w:tcPr>
          <w:p>
            <w:pPr>
              <w:spacing w:after="0"/>
              <w:rPr>
                <w:sz w:val="10"/>
                <w:szCs w:val="10"/>
                <w:color w:val="auto"/>
              </w:rPr>
            </w:pPr>
          </w:p>
        </w:tc>
        <w:tc>
          <w:tcPr>
            <w:tcW w:w="256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color w:val="auto"/>
                <w:w w:val="98"/>
              </w:rPr>
              <w:t>Business Services</w:t>
            </w:r>
          </w:p>
        </w:tc>
        <w:tc>
          <w:tcPr>
            <w:tcW w:w="120" w:type="dxa"/>
            <w:vAlign w:val="bottom"/>
          </w:tcPr>
          <w:p>
            <w:pPr>
              <w:spacing w:after="0"/>
              <w:rPr>
                <w:sz w:val="10"/>
                <w:szCs w:val="10"/>
                <w:color w:val="auto"/>
              </w:rPr>
            </w:pPr>
          </w:p>
        </w:tc>
        <w:tc>
          <w:tcPr>
            <w:tcW w:w="1220" w:type="dxa"/>
            <w:vAlign w:val="bottom"/>
            <w:gridSpan w:val="2"/>
          </w:tcPr>
          <w:p>
            <w:pPr>
              <w:jc w:val="right"/>
              <w:ind w:right="206"/>
              <w:spacing w:after="0" w:line="117" w:lineRule="exact"/>
              <w:rPr>
                <w:sz w:val="20"/>
                <w:szCs w:val="20"/>
                <w:color w:val="auto"/>
              </w:rPr>
            </w:pPr>
            <w:r>
              <w:rPr>
                <w:rFonts w:ascii="Times New Roman" w:cs="Times New Roman" w:eastAsia="Times New Roman" w:hAnsi="Times New Roman"/>
                <w:sz w:val="11"/>
                <w:szCs w:val="11"/>
                <w:color w:val="auto"/>
              </w:rPr>
              <w:t>—</w:t>
            </w:r>
          </w:p>
        </w:tc>
        <w:tc>
          <w:tcPr>
            <w:tcW w:w="78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w:t>
            </w:r>
          </w:p>
        </w:tc>
        <w:tc>
          <w:tcPr>
            <w:tcW w:w="104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1"/>
                <w:szCs w:val="11"/>
                <w:color w:val="auto"/>
              </w:rPr>
              <w:t>120,962</w:t>
            </w: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1,243</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475</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320" w:type="dxa"/>
            <w:vAlign w:val="bottom"/>
          </w:tcPr>
          <w:p>
            <w:pPr>
              <w:ind w:left="100"/>
              <w:spacing w:after="0" w:line="153" w:lineRule="exact"/>
              <w:rPr>
                <w:sz w:val="20"/>
                <w:szCs w:val="20"/>
                <w:color w:val="auto"/>
              </w:rPr>
            </w:pPr>
            <w:r>
              <w:rPr>
                <w:rFonts w:ascii="Times New Roman" w:cs="Times New Roman" w:eastAsia="Times New Roman" w:hAnsi="Times New Roman"/>
                <w:sz w:val="11"/>
                <w:szCs w:val="11"/>
                <w:color w:val="auto"/>
              </w:rPr>
              <w:t xml:space="preserve">(PRA Events, Inc.) </w:t>
            </w:r>
            <w:r>
              <w:rPr>
                <w:rFonts w:ascii="Times New Roman" w:cs="Times New Roman" w:eastAsia="Times New Roman" w:hAnsi="Times New Roman"/>
                <w:sz w:val="14"/>
                <w:szCs w:val="14"/>
                <w:color w:val="auto"/>
                <w:vertAlign w:val="superscript"/>
              </w:rPr>
              <w:t>(7), (8)</w:t>
            </w: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2320" w:type="dxa"/>
            <w:vAlign w:val="bottom"/>
          </w:tcPr>
          <w:p>
            <w:pPr>
              <w:ind w:left="20"/>
              <w:spacing w:after="0" w:line="117" w:lineRule="exact"/>
              <w:rPr>
                <w:sz w:val="20"/>
                <w:szCs w:val="20"/>
                <w:color w:val="auto"/>
              </w:rPr>
            </w:pPr>
            <w:r>
              <w:rPr>
                <w:rFonts w:ascii="Times New Roman" w:cs="Times New Roman" w:eastAsia="Times New Roman" w:hAnsi="Times New Roman"/>
                <w:sz w:val="11"/>
                <w:szCs w:val="11"/>
                <w:color w:val="auto"/>
              </w:rPr>
              <w:t>CI (PTN) Investment Holdings II, LLC</w:t>
            </w:r>
          </w:p>
        </w:tc>
        <w:tc>
          <w:tcPr>
            <w:tcW w:w="140" w:type="dxa"/>
            <w:vAlign w:val="bottom"/>
          </w:tcPr>
          <w:p>
            <w:pPr>
              <w:spacing w:after="0"/>
              <w:rPr>
                <w:sz w:val="10"/>
                <w:szCs w:val="10"/>
                <w:color w:val="auto"/>
              </w:rPr>
            </w:pPr>
          </w:p>
        </w:tc>
        <w:tc>
          <w:tcPr>
            <w:tcW w:w="720" w:type="dxa"/>
            <w:vAlign w:val="bottom"/>
          </w:tcPr>
          <w:p>
            <w:pPr>
              <w:ind w:left="600"/>
              <w:spacing w:after="0" w:line="117" w:lineRule="exact"/>
              <w:rPr>
                <w:sz w:val="20"/>
                <w:szCs w:val="20"/>
                <w:color w:val="auto"/>
              </w:rPr>
            </w:pPr>
            <w:r>
              <w:rPr>
                <w:rFonts w:ascii="Times New Roman" w:cs="Times New Roman" w:eastAsia="Times New Roman" w:hAnsi="Times New Roman"/>
                <w:sz w:val="11"/>
                <w:szCs w:val="11"/>
                <w:color w:val="auto"/>
                <w:w w:val="90"/>
              </w:rPr>
              <w:t>—</w:t>
            </w:r>
          </w:p>
        </w:tc>
        <w:tc>
          <w:tcPr>
            <w:tcW w:w="280" w:type="dxa"/>
            <w:vAlign w:val="bottom"/>
          </w:tcPr>
          <w:p>
            <w:pPr>
              <w:spacing w:after="0"/>
              <w:rPr>
                <w:sz w:val="10"/>
                <w:szCs w:val="10"/>
                <w:color w:val="auto"/>
              </w:rPr>
            </w:pPr>
          </w:p>
        </w:tc>
        <w:tc>
          <w:tcPr>
            <w:tcW w:w="256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color w:val="auto"/>
                <w:w w:val="97"/>
              </w:rPr>
              <w:t>Healthcare and Pharmaceuticals</w:t>
            </w:r>
          </w:p>
        </w:tc>
        <w:tc>
          <w:tcPr>
            <w:tcW w:w="120" w:type="dxa"/>
            <w:vAlign w:val="bottom"/>
          </w:tcPr>
          <w:p>
            <w:pPr>
              <w:spacing w:after="0"/>
              <w:rPr>
                <w:sz w:val="10"/>
                <w:szCs w:val="10"/>
                <w:color w:val="auto"/>
              </w:rPr>
            </w:pPr>
          </w:p>
        </w:tc>
        <w:tc>
          <w:tcPr>
            <w:tcW w:w="1220" w:type="dxa"/>
            <w:vAlign w:val="bottom"/>
            <w:gridSpan w:val="2"/>
          </w:tcPr>
          <w:p>
            <w:pPr>
              <w:jc w:val="right"/>
              <w:ind w:right="206"/>
              <w:spacing w:after="0" w:line="117" w:lineRule="exact"/>
              <w:rPr>
                <w:sz w:val="20"/>
                <w:szCs w:val="20"/>
                <w:color w:val="auto"/>
              </w:rPr>
            </w:pPr>
            <w:r>
              <w:rPr>
                <w:rFonts w:ascii="Times New Roman" w:cs="Times New Roman" w:eastAsia="Times New Roman" w:hAnsi="Times New Roman"/>
                <w:sz w:val="11"/>
                <w:szCs w:val="11"/>
                <w:color w:val="auto"/>
              </w:rPr>
              <w:t>—</w:t>
            </w:r>
          </w:p>
        </w:tc>
        <w:tc>
          <w:tcPr>
            <w:tcW w:w="78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w:t>
            </w:r>
          </w:p>
        </w:tc>
        <w:tc>
          <w:tcPr>
            <w:tcW w:w="104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1"/>
                <w:szCs w:val="11"/>
                <w:color w:val="auto"/>
              </w:rPr>
              <w:t>13,333</w:t>
            </w: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200</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gridSpan w:val="2"/>
          </w:tcPr>
          <w:p>
            <w:pPr>
              <w:jc w:val="right"/>
              <w:ind w:right="120"/>
              <w:spacing w:after="0" w:line="117"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32"/>
        </w:trPr>
        <w:tc>
          <w:tcPr>
            <w:tcW w:w="2320" w:type="dxa"/>
            <w:vAlign w:val="bottom"/>
            <w:vMerge w:val="restart"/>
          </w:tcPr>
          <w:p>
            <w:pPr>
              <w:ind w:left="100"/>
              <w:spacing w:after="0" w:line="135" w:lineRule="exact"/>
              <w:rPr>
                <w:sz w:val="20"/>
                <w:szCs w:val="20"/>
                <w:color w:val="auto"/>
              </w:rPr>
            </w:pPr>
            <w:r>
              <w:rPr>
                <w:rFonts w:ascii="Times New Roman" w:cs="Times New Roman" w:eastAsia="Times New Roman" w:hAnsi="Times New Roman"/>
                <w:sz w:val="11"/>
                <w:szCs w:val="11"/>
                <w:color w:val="auto"/>
              </w:rPr>
              <w:t xml:space="preserve">(PT Network, LLC) </w:t>
            </w:r>
            <w:r>
              <w:rPr>
                <w:rFonts w:ascii="Times New Roman" w:cs="Times New Roman" w:eastAsia="Times New Roman" w:hAnsi="Times New Roman"/>
                <w:sz w:val="14"/>
                <w:szCs w:val="14"/>
                <w:color w:val="auto"/>
                <w:vertAlign w:val="superscript"/>
              </w:rPr>
              <w:t>(7), (8)</w:t>
            </w: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5"/>
        </w:trPr>
        <w:tc>
          <w:tcPr>
            <w:tcW w:w="2320" w:type="dxa"/>
            <w:vAlign w:val="bottom"/>
            <w:vMerge w:val="continue"/>
          </w:tcPr>
          <w:p>
            <w:pPr>
              <w:spacing w:after="0"/>
              <w:rPr>
                <w:sz w:val="10"/>
                <w:szCs w:val="10"/>
                <w:color w:val="auto"/>
              </w:rPr>
            </w:pPr>
          </w:p>
        </w:tc>
        <w:tc>
          <w:tcPr>
            <w:tcW w:w="140" w:type="dxa"/>
            <w:vAlign w:val="bottom"/>
            <w:tcBorders>
              <w:bottom w:val="single" w:sz="8" w:color="CCECFF"/>
            </w:tcBorders>
            <w:shd w:val="clear" w:color="auto" w:fill="CCECFF"/>
          </w:tcPr>
          <w:p>
            <w:pPr>
              <w:spacing w:after="0"/>
              <w:rPr>
                <w:sz w:val="10"/>
                <w:szCs w:val="10"/>
                <w:color w:val="auto"/>
              </w:rPr>
            </w:pPr>
          </w:p>
        </w:tc>
        <w:tc>
          <w:tcPr>
            <w:tcW w:w="720" w:type="dxa"/>
            <w:vAlign w:val="bottom"/>
            <w:tcBorders>
              <w:bottom w:val="single" w:sz="8" w:color="CCECFF"/>
            </w:tcBorders>
            <w:shd w:val="clear" w:color="auto" w:fill="CCECFF"/>
          </w:tcPr>
          <w:p>
            <w:pPr>
              <w:spacing w:after="0"/>
              <w:rPr>
                <w:sz w:val="10"/>
                <w:szCs w:val="10"/>
                <w:color w:val="auto"/>
              </w:rPr>
            </w:pPr>
          </w:p>
        </w:tc>
        <w:tc>
          <w:tcPr>
            <w:tcW w:w="280" w:type="dxa"/>
            <w:vAlign w:val="bottom"/>
            <w:tcBorders>
              <w:bottom w:val="single" w:sz="8" w:color="CCECFF"/>
            </w:tcBorders>
            <w:shd w:val="clear" w:color="auto" w:fill="CCECFF"/>
          </w:tcPr>
          <w:p>
            <w:pPr>
              <w:spacing w:after="0"/>
              <w:rPr>
                <w:sz w:val="10"/>
                <w:szCs w:val="10"/>
                <w:color w:val="auto"/>
              </w:rPr>
            </w:pPr>
          </w:p>
        </w:tc>
        <w:tc>
          <w:tcPr>
            <w:tcW w:w="2560" w:type="dxa"/>
            <w:vAlign w:val="bottom"/>
            <w:tcBorders>
              <w:bottom w:val="single" w:sz="8" w:color="CCECFF"/>
            </w:tcBorders>
            <w:shd w:val="clear" w:color="auto" w:fill="CCECFF"/>
          </w:tcPr>
          <w:p>
            <w:pPr>
              <w:spacing w:after="0"/>
              <w:rPr>
                <w:sz w:val="10"/>
                <w:szCs w:val="10"/>
                <w:color w:val="auto"/>
              </w:rPr>
            </w:pPr>
          </w:p>
        </w:tc>
        <w:tc>
          <w:tcPr>
            <w:tcW w:w="120" w:type="dxa"/>
            <w:vAlign w:val="bottom"/>
            <w:tcBorders>
              <w:bottom w:val="single" w:sz="8" w:color="CCECFF"/>
            </w:tcBorders>
            <w:shd w:val="clear" w:color="auto" w:fill="CCECFF"/>
          </w:tcPr>
          <w:p>
            <w:pPr>
              <w:spacing w:after="0"/>
              <w:rPr>
                <w:sz w:val="10"/>
                <w:szCs w:val="10"/>
                <w:color w:val="auto"/>
              </w:rPr>
            </w:pPr>
          </w:p>
        </w:tc>
        <w:tc>
          <w:tcPr>
            <w:tcW w:w="980" w:type="dxa"/>
            <w:vAlign w:val="bottom"/>
            <w:tcBorders>
              <w:bottom w:val="single" w:sz="8" w:color="CCECFF"/>
            </w:tcBorders>
            <w:shd w:val="clear" w:color="auto" w:fill="CCECFF"/>
          </w:tcPr>
          <w:p>
            <w:pPr>
              <w:spacing w:after="0"/>
              <w:rPr>
                <w:sz w:val="10"/>
                <w:szCs w:val="10"/>
                <w:color w:val="auto"/>
              </w:rPr>
            </w:pPr>
          </w:p>
        </w:tc>
        <w:tc>
          <w:tcPr>
            <w:tcW w:w="240" w:type="dxa"/>
            <w:vAlign w:val="bottom"/>
            <w:tcBorders>
              <w:bottom w:val="single" w:sz="8" w:color="CCECFF"/>
            </w:tcBorders>
            <w:shd w:val="clear" w:color="auto" w:fill="CCECFF"/>
          </w:tcPr>
          <w:p>
            <w:pPr>
              <w:spacing w:after="0"/>
              <w:rPr>
                <w:sz w:val="10"/>
                <w:szCs w:val="10"/>
                <w:color w:val="auto"/>
              </w:rPr>
            </w:pPr>
          </w:p>
        </w:tc>
        <w:tc>
          <w:tcPr>
            <w:tcW w:w="780" w:type="dxa"/>
            <w:vAlign w:val="bottom"/>
            <w:tcBorders>
              <w:bottom w:val="single" w:sz="8" w:color="CCECFF"/>
            </w:tcBorders>
            <w:shd w:val="clear" w:color="auto" w:fill="CCECFF"/>
          </w:tcPr>
          <w:p>
            <w:pPr>
              <w:spacing w:after="0"/>
              <w:rPr>
                <w:sz w:val="10"/>
                <w:szCs w:val="10"/>
                <w:color w:val="auto"/>
              </w:rPr>
            </w:pPr>
          </w:p>
        </w:tc>
        <w:tc>
          <w:tcPr>
            <w:tcW w:w="220" w:type="dxa"/>
            <w:vAlign w:val="bottom"/>
            <w:tcBorders>
              <w:bottom w:val="single" w:sz="8" w:color="CCECFF"/>
            </w:tcBorders>
            <w:shd w:val="clear" w:color="auto" w:fill="CCECFF"/>
          </w:tcPr>
          <w:p>
            <w:pPr>
              <w:spacing w:after="0"/>
              <w:rPr>
                <w:sz w:val="10"/>
                <w:szCs w:val="10"/>
                <w:color w:val="auto"/>
              </w:rPr>
            </w:pPr>
          </w:p>
        </w:tc>
        <w:tc>
          <w:tcPr>
            <w:tcW w:w="820" w:type="dxa"/>
            <w:vAlign w:val="bottom"/>
            <w:tcBorders>
              <w:bottom w:val="single" w:sz="8" w:color="CCECFF"/>
            </w:tcBorders>
            <w:shd w:val="clear" w:color="auto" w:fill="CCECFF"/>
          </w:tcPr>
          <w:p>
            <w:pPr>
              <w:spacing w:after="0"/>
              <w:rPr>
                <w:sz w:val="10"/>
                <w:szCs w:val="10"/>
                <w:color w:val="auto"/>
              </w:rPr>
            </w:pPr>
          </w:p>
        </w:tc>
        <w:tc>
          <w:tcPr>
            <w:tcW w:w="220" w:type="dxa"/>
            <w:vAlign w:val="bottom"/>
            <w:tcBorders>
              <w:bottom w:val="single" w:sz="8" w:color="CCECFF"/>
            </w:tcBorders>
            <w:shd w:val="clear" w:color="auto" w:fill="CCECFF"/>
          </w:tcPr>
          <w:p>
            <w:pPr>
              <w:spacing w:after="0"/>
              <w:rPr>
                <w:sz w:val="10"/>
                <w:szCs w:val="10"/>
                <w:color w:val="auto"/>
              </w:rPr>
            </w:pPr>
          </w:p>
        </w:tc>
        <w:tc>
          <w:tcPr>
            <w:tcW w:w="160" w:type="dxa"/>
            <w:vAlign w:val="bottom"/>
            <w:tcBorders>
              <w:bottom w:val="single" w:sz="8" w:color="CCECFF"/>
            </w:tcBorders>
            <w:shd w:val="clear" w:color="auto" w:fill="CCECFF"/>
          </w:tcPr>
          <w:p>
            <w:pPr>
              <w:spacing w:after="0"/>
              <w:rPr>
                <w:sz w:val="10"/>
                <w:szCs w:val="10"/>
                <w:color w:val="auto"/>
              </w:rPr>
            </w:pPr>
          </w:p>
        </w:tc>
        <w:tc>
          <w:tcPr>
            <w:tcW w:w="580" w:type="dxa"/>
            <w:vAlign w:val="bottom"/>
            <w:tcBorders>
              <w:bottom w:val="single" w:sz="8" w:color="CCECFF"/>
            </w:tcBorders>
            <w:shd w:val="clear" w:color="auto" w:fill="CCECFF"/>
          </w:tcPr>
          <w:p>
            <w:pPr>
              <w:spacing w:after="0"/>
              <w:rPr>
                <w:sz w:val="10"/>
                <w:szCs w:val="10"/>
                <w:color w:val="auto"/>
              </w:rPr>
            </w:pPr>
          </w:p>
        </w:tc>
        <w:tc>
          <w:tcPr>
            <w:tcW w:w="220" w:type="dxa"/>
            <w:vAlign w:val="bottom"/>
            <w:tcBorders>
              <w:bottom w:val="single" w:sz="8" w:color="CCECFF"/>
            </w:tcBorders>
            <w:shd w:val="clear" w:color="auto" w:fill="CCECFF"/>
          </w:tcPr>
          <w:p>
            <w:pPr>
              <w:spacing w:after="0"/>
              <w:rPr>
                <w:sz w:val="10"/>
                <w:szCs w:val="10"/>
                <w:color w:val="auto"/>
              </w:rPr>
            </w:pPr>
          </w:p>
        </w:tc>
        <w:tc>
          <w:tcPr>
            <w:tcW w:w="80" w:type="dxa"/>
            <w:vAlign w:val="bottom"/>
            <w:tcBorders>
              <w:bottom w:val="single" w:sz="8" w:color="CCECFF"/>
            </w:tcBorders>
            <w:shd w:val="clear" w:color="auto" w:fill="CCECFF"/>
          </w:tcPr>
          <w:p>
            <w:pPr>
              <w:spacing w:after="0"/>
              <w:rPr>
                <w:sz w:val="10"/>
                <w:szCs w:val="10"/>
                <w:color w:val="auto"/>
              </w:rPr>
            </w:pPr>
          </w:p>
        </w:tc>
        <w:tc>
          <w:tcPr>
            <w:tcW w:w="700" w:type="dxa"/>
            <w:vAlign w:val="bottom"/>
            <w:tcBorders>
              <w:bottom w:val="single" w:sz="8" w:color="CCECFF"/>
            </w:tcBorders>
            <w:shd w:val="clear" w:color="auto" w:fill="CCECFF"/>
          </w:tcPr>
          <w:p>
            <w:pPr>
              <w:spacing w:after="0"/>
              <w:rPr>
                <w:sz w:val="10"/>
                <w:szCs w:val="10"/>
                <w:color w:val="auto"/>
              </w:rPr>
            </w:pPr>
          </w:p>
        </w:tc>
        <w:tc>
          <w:tcPr>
            <w:tcW w:w="100" w:type="dxa"/>
            <w:vAlign w:val="bottom"/>
            <w:tcBorders>
              <w:bottom w:val="single" w:sz="8" w:color="CCECFF"/>
            </w:tcBorders>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03"/>
        </w:trPr>
        <w:tc>
          <w:tcPr>
            <w:tcW w:w="2320" w:type="dxa"/>
            <w:vAlign w:val="bottom"/>
          </w:tcPr>
          <w:p>
            <w:pPr>
              <w:ind w:left="20"/>
              <w:spacing w:after="0" w:line="103" w:lineRule="exact"/>
              <w:rPr>
                <w:sz w:val="20"/>
                <w:szCs w:val="20"/>
                <w:color w:val="auto"/>
              </w:rPr>
            </w:pPr>
            <w:r>
              <w:rPr>
                <w:rFonts w:ascii="Times New Roman" w:cs="Times New Roman" w:eastAsia="Times New Roman" w:hAnsi="Times New Roman"/>
                <w:sz w:val="9"/>
                <w:szCs w:val="9"/>
                <w:color w:val="auto"/>
              </w:rPr>
              <w:t xml:space="preserve">Connatix Parent, LLC </w:t>
            </w:r>
            <w:r>
              <w:rPr>
                <w:rFonts w:ascii="Times New Roman" w:cs="Times New Roman" w:eastAsia="Times New Roman" w:hAnsi="Times New Roman"/>
                <w:sz w:val="11"/>
                <w:szCs w:val="11"/>
                <w:color w:val="auto"/>
                <w:vertAlign w:val="superscript"/>
              </w:rPr>
              <w:t>(7)</w:t>
            </w:r>
          </w:p>
        </w:tc>
        <w:tc>
          <w:tcPr>
            <w:tcW w:w="140" w:type="dxa"/>
            <w:vAlign w:val="bottom"/>
          </w:tcPr>
          <w:p>
            <w:pPr>
              <w:spacing w:after="0"/>
              <w:rPr>
                <w:sz w:val="8"/>
                <w:szCs w:val="8"/>
                <w:color w:val="auto"/>
              </w:rPr>
            </w:pPr>
          </w:p>
        </w:tc>
        <w:tc>
          <w:tcPr>
            <w:tcW w:w="720" w:type="dxa"/>
            <w:vAlign w:val="bottom"/>
          </w:tcPr>
          <w:p>
            <w:pPr>
              <w:ind w:left="600"/>
              <w:spacing w:after="0" w:line="103" w:lineRule="exact"/>
              <w:rPr>
                <w:sz w:val="20"/>
                <w:szCs w:val="20"/>
                <w:color w:val="auto"/>
              </w:rPr>
            </w:pPr>
            <w:r>
              <w:rPr>
                <w:rFonts w:ascii="Times New Roman" w:cs="Times New Roman" w:eastAsia="Times New Roman" w:hAnsi="Times New Roman"/>
                <w:sz w:val="11"/>
                <w:szCs w:val="11"/>
                <w:color w:val="auto"/>
                <w:w w:val="90"/>
              </w:rPr>
              <w:t>—</w:t>
            </w:r>
          </w:p>
        </w:tc>
        <w:tc>
          <w:tcPr>
            <w:tcW w:w="280" w:type="dxa"/>
            <w:vAlign w:val="bottom"/>
          </w:tcPr>
          <w:p>
            <w:pPr>
              <w:spacing w:after="0"/>
              <w:rPr>
                <w:sz w:val="8"/>
                <w:szCs w:val="8"/>
                <w:color w:val="auto"/>
              </w:rPr>
            </w:pPr>
          </w:p>
        </w:tc>
        <w:tc>
          <w:tcPr>
            <w:tcW w:w="2560" w:type="dxa"/>
            <w:vAlign w:val="bottom"/>
          </w:tcPr>
          <w:p>
            <w:pPr>
              <w:jc w:val="center"/>
              <w:spacing w:after="0" w:line="103" w:lineRule="exact"/>
              <w:rPr>
                <w:sz w:val="20"/>
                <w:szCs w:val="20"/>
                <w:color w:val="auto"/>
              </w:rPr>
            </w:pPr>
            <w:r>
              <w:rPr>
                <w:rFonts w:ascii="Times New Roman" w:cs="Times New Roman" w:eastAsia="Times New Roman" w:hAnsi="Times New Roman"/>
                <w:sz w:val="11"/>
                <w:szCs w:val="11"/>
                <w:color w:val="auto"/>
                <w:w w:val="99"/>
              </w:rPr>
              <w:t>Media</w:t>
            </w:r>
          </w:p>
        </w:tc>
        <w:tc>
          <w:tcPr>
            <w:tcW w:w="120" w:type="dxa"/>
            <w:vAlign w:val="bottom"/>
          </w:tcPr>
          <w:p>
            <w:pPr>
              <w:spacing w:after="0"/>
              <w:rPr>
                <w:sz w:val="8"/>
                <w:szCs w:val="8"/>
                <w:color w:val="auto"/>
              </w:rPr>
            </w:pPr>
          </w:p>
        </w:tc>
        <w:tc>
          <w:tcPr>
            <w:tcW w:w="1220" w:type="dxa"/>
            <w:vAlign w:val="bottom"/>
            <w:gridSpan w:val="2"/>
          </w:tcPr>
          <w:p>
            <w:pPr>
              <w:jc w:val="right"/>
              <w:ind w:right="206"/>
              <w:spacing w:after="0" w:line="103" w:lineRule="exact"/>
              <w:rPr>
                <w:sz w:val="20"/>
                <w:szCs w:val="20"/>
                <w:color w:val="auto"/>
              </w:rPr>
            </w:pPr>
            <w:r>
              <w:rPr>
                <w:rFonts w:ascii="Times New Roman" w:cs="Times New Roman" w:eastAsia="Times New Roman" w:hAnsi="Times New Roman"/>
                <w:sz w:val="11"/>
                <w:szCs w:val="11"/>
                <w:color w:val="auto"/>
              </w:rPr>
              <w:t>—</w:t>
            </w:r>
          </w:p>
        </w:tc>
        <w:tc>
          <w:tcPr>
            <w:tcW w:w="780" w:type="dxa"/>
            <w:vAlign w:val="bottom"/>
          </w:tcPr>
          <w:p>
            <w:pPr>
              <w:jc w:val="right"/>
              <w:spacing w:after="0" w:line="103" w:lineRule="exact"/>
              <w:rPr>
                <w:sz w:val="20"/>
                <w:szCs w:val="20"/>
                <w:color w:val="auto"/>
              </w:rPr>
            </w:pPr>
            <w:r>
              <w:rPr>
                <w:rFonts w:ascii="Times New Roman" w:cs="Times New Roman" w:eastAsia="Times New Roman" w:hAnsi="Times New Roman"/>
                <w:sz w:val="11"/>
                <w:szCs w:val="11"/>
                <w:color w:val="auto"/>
              </w:rPr>
              <w:t>—</w:t>
            </w:r>
          </w:p>
        </w:tc>
        <w:tc>
          <w:tcPr>
            <w:tcW w:w="1040" w:type="dxa"/>
            <w:vAlign w:val="bottom"/>
            <w:gridSpan w:val="2"/>
          </w:tcPr>
          <w:p>
            <w:pPr>
              <w:jc w:val="right"/>
              <w:spacing w:after="0" w:line="103" w:lineRule="exact"/>
              <w:rPr>
                <w:sz w:val="20"/>
                <w:szCs w:val="20"/>
                <w:color w:val="auto"/>
              </w:rPr>
            </w:pPr>
            <w:r>
              <w:rPr>
                <w:rFonts w:ascii="Times New Roman" w:cs="Times New Roman" w:eastAsia="Times New Roman" w:hAnsi="Times New Roman"/>
                <w:sz w:val="11"/>
                <w:szCs w:val="11"/>
                <w:color w:val="auto"/>
              </w:rPr>
              <w:t>38,278</w:t>
            </w: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jc w:val="right"/>
              <w:spacing w:after="0" w:line="103" w:lineRule="exact"/>
              <w:rPr>
                <w:sz w:val="20"/>
                <w:szCs w:val="20"/>
                <w:color w:val="auto"/>
              </w:rPr>
            </w:pPr>
            <w:r>
              <w:rPr>
                <w:rFonts w:ascii="Times New Roman" w:cs="Times New Roman" w:eastAsia="Times New Roman" w:hAnsi="Times New Roman"/>
                <w:sz w:val="11"/>
                <w:szCs w:val="11"/>
                <w:color w:val="auto"/>
              </w:rPr>
              <w:t>421</w:t>
            </w: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jc w:val="right"/>
              <w:spacing w:after="0" w:line="103" w:lineRule="exact"/>
              <w:rPr>
                <w:sz w:val="20"/>
                <w:szCs w:val="20"/>
                <w:color w:val="auto"/>
              </w:rPr>
            </w:pPr>
            <w:r>
              <w:rPr>
                <w:rFonts w:ascii="Times New Roman" w:cs="Times New Roman" w:eastAsia="Times New Roman" w:hAnsi="Times New Roman"/>
                <w:sz w:val="11"/>
                <w:szCs w:val="11"/>
                <w:color w:val="auto"/>
              </w:rPr>
              <w:t>423</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232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Crane 1 Acquisition Parent Holdings, L.P. </w:t>
            </w:r>
            <w:r>
              <w:rPr>
                <w:rFonts w:ascii="Times New Roman" w:cs="Times New Roman" w:eastAsia="Times New Roman" w:hAnsi="Times New Roman"/>
                <w:sz w:val="14"/>
                <w:szCs w:val="14"/>
                <w:color w:val="auto"/>
                <w:vertAlign w:val="superscript"/>
              </w:rPr>
              <w:t>(7)</w:t>
            </w:r>
          </w:p>
        </w:tc>
        <w:tc>
          <w:tcPr>
            <w:tcW w:w="140" w:type="dxa"/>
            <w:vAlign w:val="bottom"/>
          </w:tcPr>
          <w:p>
            <w:pPr>
              <w:spacing w:after="0"/>
              <w:rPr>
                <w:sz w:val="11"/>
                <w:szCs w:val="11"/>
                <w:color w:val="auto"/>
              </w:rPr>
            </w:pPr>
          </w:p>
        </w:tc>
        <w:tc>
          <w:tcPr>
            <w:tcW w:w="720" w:type="dxa"/>
            <w:vAlign w:val="bottom"/>
          </w:tcPr>
          <w:p>
            <w:pPr>
              <w:ind w:left="600"/>
              <w:spacing w:after="0"/>
              <w:rPr>
                <w:sz w:val="20"/>
                <w:szCs w:val="20"/>
                <w:color w:val="auto"/>
              </w:rPr>
            </w:pPr>
            <w:r>
              <w:rPr>
                <w:rFonts w:ascii="Times New Roman" w:cs="Times New Roman" w:eastAsia="Times New Roman" w:hAnsi="Times New Roman"/>
                <w:sz w:val="11"/>
                <w:szCs w:val="11"/>
                <w:color w:val="auto"/>
                <w:w w:val="90"/>
              </w:rPr>
              <w:t>—</w:t>
            </w:r>
          </w:p>
        </w:tc>
        <w:tc>
          <w:tcPr>
            <w:tcW w:w="280" w:type="dxa"/>
            <w:vAlign w:val="bottom"/>
          </w:tcPr>
          <w:p>
            <w:pPr>
              <w:spacing w:after="0"/>
              <w:rPr>
                <w:sz w:val="11"/>
                <w:szCs w:val="11"/>
                <w:color w:val="auto"/>
              </w:rPr>
            </w:pPr>
          </w:p>
        </w:tc>
        <w:tc>
          <w:tcPr>
            <w:tcW w:w="25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Commercial Services &amp; Supplies</w:t>
            </w:r>
          </w:p>
        </w:tc>
        <w:tc>
          <w:tcPr>
            <w:tcW w:w="120" w:type="dxa"/>
            <w:vAlign w:val="bottom"/>
          </w:tcPr>
          <w:p>
            <w:pPr>
              <w:spacing w:after="0"/>
              <w:rPr>
                <w:sz w:val="11"/>
                <w:szCs w:val="11"/>
                <w:color w:val="auto"/>
              </w:rPr>
            </w:pPr>
          </w:p>
        </w:tc>
        <w:tc>
          <w:tcPr>
            <w:tcW w:w="1220" w:type="dxa"/>
            <w:vAlign w:val="bottom"/>
            <w:gridSpan w:val="2"/>
          </w:tcPr>
          <w:p>
            <w:pPr>
              <w:jc w:val="right"/>
              <w:ind w:right="206"/>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130</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120</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1"/>
        </w:trPr>
        <w:tc>
          <w:tcPr>
            <w:tcW w:w="23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 xml:space="preserve">Crash Champions Holdings, LLC </w:t>
            </w:r>
            <w:r>
              <w:rPr>
                <w:rFonts w:ascii="Times New Roman" w:cs="Times New Roman" w:eastAsia="Times New Roman" w:hAnsi="Times New Roman"/>
                <w:sz w:val="14"/>
                <w:szCs w:val="14"/>
                <w:color w:val="auto"/>
                <w:vertAlign w:val="superscript"/>
              </w:rPr>
              <w:t>(7),(8)</w:t>
            </w:r>
          </w:p>
        </w:tc>
        <w:tc>
          <w:tcPr>
            <w:tcW w:w="140" w:type="dxa"/>
            <w:vAlign w:val="bottom"/>
          </w:tcPr>
          <w:p>
            <w:pPr>
              <w:spacing w:after="0"/>
              <w:rPr>
                <w:sz w:val="16"/>
                <w:szCs w:val="16"/>
                <w:color w:val="auto"/>
              </w:rPr>
            </w:pPr>
          </w:p>
        </w:tc>
        <w:tc>
          <w:tcPr>
            <w:tcW w:w="720" w:type="dxa"/>
            <w:vAlign w:val="bottom"/>
          </w:tcPr>
          <w:p>
            <w:pPr>
              <w:ind w:left="600"/>
              <w:spacing w:after="0"/>
              <w:rPr>
                <w:sz w:val="20"/>
                <w:szCs w:val="20"/>
                <w:color w:val="auto"/>
              </w:rPr>
            </w:pPr>
            <w:r>
              <w:rPr>
                <w:rFonts w:ascii="Times New Roman" w:cs="Times New Roman" w:eastAsia="Times New Roman" w:hAnsi="Times New Roman"/>
                <w:sz w:val="11"/>
                <w:szCs w:val="11"/>
                <w:color w:val="auto"/>
                <w:w w:val="90"/>
              </w:rPr>
              <w:t>—</w:t>
            </w:r>
          </w:p>
        </w:tc>
        <w:tc>
          <w:tcPr>
            <w:tcW w:w="280" w:type="dxa"/>
            <w:vAlign w:val="bottom"/>
          </w:tcPr>
          <w:p>
            <w:pPr>
              <w:spacing w:after="0"/>
              <w:rPr>
                <w:sz w:val="16"/>
                <w:szCs w:val="16"/>
                <w:color w:val="auto"/>
              </w:rPr>
            </w:pPr>
          </w:p>
        </w:tc>
        <w:tc>
          <w:tcPr>
            <w:tcW w:w="25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Automobiles</w:t>
            </w:r>
          </w:p>
        </w:tc>
        <w:tc>
          <w:tcPr>
            <w:tcW w:w="120" w:type="dxa"/>
            <w:vAlign w:val="bottom"/>
          </w:tcPr>
          <w:p>
            <w:pPr>
              <w:spacing w:after="0"/>
              <w:rPr>
                <w:sz w:val="16"/>
                <w:szCs w:val="16"/>
                <w:color w:val="auto"/>
              </w:rPr>
            </w:pPr>
          </w:p>
        </w:tc>
        <w:tc>
          <w:tcPr>
            <w:tcW w:w="1220" w:type="dxa"/>
            <w:vAlign w:val="bottom"/>
            <w:gridSpan w:val="2"/>
          </w:tcPr>
          <w:p>
            <w:pPr>
              <w:jc w:val="right"/>
              <w:ind w:right="206"/>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75</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678</w:t>
            </w: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764</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09"/>
        </w:trPr>
        <w:tc>
          <w:tcPr>
            <w:tcW w:w="23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5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-7234555</wp:posOffset>
            </wp:positionV>
            <wp:extent cx="7132320" cy="8572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-7063105</wp:posOffset>
            </wp:positionV>
            <wp:extent cx="7132320" cy="8572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-6891655</wp:posOffset>
            </wp:positionV>
            <wp:extent cx="7132320" cy="8572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-6720205</wp:posOffset>
            </wp:positionV>
            <wp:extent cx="7132320" cy="8572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-6377305</wp:posOffset>
            </wp:positionV>
            <wp:extent cx="7132320" cy="8572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-5862955</wp:posOffset>
            </wp:positionV>
            <wp:extent cx="7132320" cy="8572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-5691505</wp:posOffset>
            </wp:positionV>
            <wp:extent cx="7132320" cy="8572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-5271135</wp:posOffset>
            </wp:positionV>
            <wp:extent cx="7132320" cy="8572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-5099685</wp:posOffset>
            </wp:positionV>
            <wp:extent cx="7132320" cy="8572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-4928235</wp:posOffset>
            </wp:positionV>
            <wp:extent cx="7132320" cy="8572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-4756785</wp:posOffset>
            </wp:positionV>
            <wp:extent cx="7132320" cy="8572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-4242435</wp:posOffset>
            </wp:positionV>
            <wp:extent cx="7132320" cy="8572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-3977005</wp:posOffset>
            </wp:positionV>
            <wp:extent cx="7132320" cy="18034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32320" cy="18034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-3710940</wp:posOffset>
            </wp:positionV>
            <wp:extent cx="7132320" cy="8572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-3368040</wp:posOffset>
            </wp:positionV>
            <wp:extent cx="7132320" cy="18859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32320" cy="1885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-3093720</wp:posOffset>
            </wp:positionV>
            <wp:extent cx="7132320" cy="17145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-2836545</wp:posOffset>
            </wp:positionV>
            <wp:extent cx="7132320" cy="8572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-2665095</wp:posOffset>
            </wp:positionV>
            <wp:extent cx="7132320" cy="8572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-2493645</wp:posOffset>
            </wp:positionV>
            <wp:extent cx="7132320" cy="8572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-1988185</wp:posOffset>
            </wp:positionV>
            <wp:extent cx="7132320" cy="16256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-1731010</wp:posOffset>
            </wp:positionV>
            <wp:extent cx="7132320" cy="26543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32320" cy="26543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-1379220</wp:posOffset>
            </wp:positionV>
            <wp:extent cx="7132320" cy="8572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-1207770</wp:posOffset>
            </wp:positionV>
            <wp:extent cx="7132320" cy="8572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-1036320</wp:posOffset>
            </wp:positionV>
            <wp:extent cx="7132320" cy="8572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-779145</wp:posOffset>
            </wp:positionV>
            <wp:extent cx="7132320" cy="17145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-521970</wp:posOffset>
            </wp:positionV>
            <wp:extent cx="7132320" cy="8572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1" w:name="page22"/>
    <w:bookmarkEnd w:id="21"/>
    <w:p>
      <w:pPr>
        <w:jc w:val="center"/>
        <w:spacing w:after="0"/>
        <w:rPr>
          <w:sz w:val="20"/>
          <w:szCs w:val="20"/>
          <w:color w:val="auto"/>
        </w:rPr>
      </w:pPr>
      <w:r>
        <w:rPr>
          <w:rFonts w:ascii="Times New Roman" w:cs="Times New Roman" w:eastAsia="Times New Roman" w:hAnsi="Times New Roman"/>
          <w:sz w:val="14"/>
          <w:szCs w:val="14"/>
          <w:b w:val="1"/>
          <w:bCs w:val="1"/>
          <w:color w:val="auto"/>
        </w:rPr>
        <w:t>PENNANTPARK FLOATING RATE CAPITAL LTD. AND SUBSIDIARIES</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CONSOLIDATED SCHEDULE OF INVESTMENTS—(Continued)</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SEPTEMBER 30, 2021</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(in thousands, except share data)</w:t>
      </w:r>
    </w:p>
    <w:tbl>
      <w:tblPr>
        <w:tblLayout w:type="fixed"/>
        <w:tblInd w:w="0" w:type="dxa"/>
        <w:tblCellMar>
          <w:top w:w="0" w:type="dxa"/>
          <w:left w:w="0" w:type="dxa"/>
          <w:bottom w:w="0" w:type="dxa"/>
          <w:right w:w="0" w:type="dxa"/>
        </w:tblCellMar>
      </w:tblPr>
      <w:tr>
        <w:trPr>
          <w:trHeight w:val="102"/>
        </w:trPr>
        <w:tc>
          <w:tcPr>
            <w:tcW w:w="2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980" w:type="dxa"/>
            <w:vAlign w:val="bottom"/>
          </w:tcPr>
          <w:p>
            <w:pPr>
              <w:spacing w:after="0"/>
              <w:rPr>
                <w:sz w:val="8"/>
                <w:szCs w:val="8"/>
                <w:color w:val="auto"/>
              </w:rPr>
            </w:pPr>
          </w:p>
        </w:tc>
        <w:tc>
          <w:tcPr>
            <w:tcW w:w="220" w:type="dxa"/>
            <w:vAlign w:val="bottom"/>
          </w:tcPr>
          <w:p>
            <w:pPr>
              <w:spacing w:after="0"/>
              <w:rPr>
                <w:sz w:val="8"/>
                <w:szCs w:val="8"/>
                <w:color w:val="auto"/>
              </w:rPr>
            </w:pPr>
          </w:p>
        </w:tc>
        <w:tc>
          <w:tcPr>
            <w:tcW w:w="780" w:type="dxa"/>
            <w:vAlign w:val="bottom"/>
          </w:tcPr>
          <w:p>
            <w:pPr>
              <w:jc w:val="center"/>
              <w:spacing w:after="0" w:line="102" w:lineRule="exact"/>
              <w:rPr>
                <w:sz w:val="20"/>
                <w:szCs w:val="20"/>
                <w:color w:val="auto"/>
              </w:rPr>
            </w:pPr>
            <w:r>
              <w:rPr>
                <w:rFonts w:ascii="Times New Roman" w:cs="Times New Roman" w:eastAsia="Times New Roman" w:hAnsi="Times New Roman"/>
                <w:sz w:val="11"/>
                <w:szCs w:val="11"/>
                <w:b w:val="1"/>
                <w:bCs w:val="1"/>
                <w:color w:val="auto"/>
                <w:w w:val="95"/>
              </w:rPr>
              <w:t>Basis Point</w:t>
            </w: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9"/>
        </w:trPr>
        <w:tc>
          <w:tcPr>
            <w:tcW w:w="2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80" w:type="dxa"/>
            <w:vAlign w:val="bottom"/>
          </w:tcPr>
          <w:p>
            <w:pPr>
              <w:jc w:val="center"/>
              <w:spacing w:after="0" w:line="120" w:lineRule="exact"/>
              <w:rPr>
                <w:sz w:val="20"/>
                <w:szCs w:val="20"/>
                <w:color w:val="auto"/>
              </w:rPr>
            </w:pPr>
            <w:r>
              <w:rPr>
                <w:rFonts w:ascii="Times New Roman" w:cs="Times New Roman" w:eastAsia="Times New Roman" w:hAnsi="Times New Roman"/>
                <w:sz w:val="11"/>
                <w:szCs w:val="11"/>
                <w:b w:val="1"/>
                <w:bCs w:val="1"/>
                <w:color w:val="auto"/>
                <w:w w:val="95"/>
              </w:rPr>
              <w:t>Spread</w:t>
            </w:r>
          </w:p>
        </w:tc>
        <w:tc>
          <w:tcPr>
            <w:tcW w:w="2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0"/>
        </w:trPr>
        <w:tc>
          <w:tcPr>
            <w:tcW w:w="2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0" w:type="dxa"/>
            <w:vAlign w:val="bottom"/>
            <w:gridSpan w:val="2"/>
          </w:tcPr>
          <w:p>
            <w:pPr>
              <w:jc w:val="right"/>
              <w:ind w:right="520"/>
              <w:spacing w:after="0" w:line="111" w:lineRule="exact"/>
              <w:rPr>
                <w:sz w:val="20"/>
                <w:szCs w:val="20"/>
                <w:color w:val="auto"/>
              </w:rPr>
            </w:pPr>
            <w:r>
              <w:rPr>
                <w:rFonts w:ascii="Times New Roman" w:cs="Times New Roman" w:eastAsia="Times New Roman" w:hAnsi="Times New Roman"/>
                <w:sz w:val="11"/>
                <w:szCs w:val="11"/>
                <w:b w:val="1"/>
                <w:bCs w:val="1"/>
                <w:color w:val="auto"/>
              </w:rPr>
              <w:t>Current</w:t>
            </w:r>
          </w:p>
        </w:tc>
        <w:tc>
          <w:tcPr>
            <w:tcW w:w="780" w:type="dxa"/>
            <w:vAlign w:val="bottom"/>
          </w:tcPr>
          <w:p>
            <w:pPr>
              <w:jc w:val="center"/>
              <w:spacing w:after="0" w:line="111" w:lineRule="exact"/>
              <w:rPr>
                <w:sz w:val="20"/>
                <w:szCs w:val="20"/>
                <w:color w:val="auto"/>
              </w:rPr>
            </w:pPr>
            <w:r>
              <w:rPr>
                <w:rFonts w:ascii="Times New Roman" w:cs="Times New Roman" w:eastAsia="Times New Roman" w:hAnsi="Times New Roman"/>
                <w:sz w:val="11"/>
                <w:szCs w:val="11"/>
                <w:b w:val="1"/>
                <w:bCs w:val="1"/>
                <w:color w:val="auto"/>
                <w:w w:val="93"/>
              </w:rPr>
              <w:t>Above</w:t>
            </w:r>
          </w:p>
        </w:tc>
        <w:tc>
          <w:tcPr>
            <w:tcW w:w="220" w:type="dxa"/>
            <w:vAlign w:val="bottom"/>
          </w:tcPr>
          <w:p>
            <w:pPr>
              <w:spacing w:after="0"/>
              <w:rPr>
                <w:sz w:val="9"/>
                <w:szCs w:val="9"/>
                <w:color w:val="auto"/>
              </w:rPr>
            </w:pPr>
          </w:p>
        </w:tc>
        <w:tc>
          <w:tcPr>
            <w:tcW w:w="820" w:type="dxa"/>
            <w:vAlign w:val="bottom"/>
          </w:tcPr>
          <w:p>
            <w:pPr>
              <w:jc w:val="right"/>
              <w:ind w:right="248"/>
              <w:spacing w:after="0" w:line="111" w:lineRule="exact"/>
              <w:rPr>
                <w:sz w:val="20"/>
                <w:szCs w:val="20"/>
                <w:color w:val="auto"/>
              </w:rPr>
            </w:pPr>
            <w:r>
              <w:rPr>
                <w:rFonts w:ascii="Times New Roman" w:cs="Times New Roman" w:eastAsia="Times New Roman" w:hAnsi="Times New Roman"/>
                <w:sz w:val="11"/>
                <w:szCs w:val="11"/>
                <w:b w:val="1"/>
                <w:bCs w:val="1"/>
                <w:color w:val="auto"/>
              </w:rPr>
              <w:t>Par /</w:t>
            </w: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1"/>
                <w:szCs w:val="11"/>
                <w:b w:val="1"/>
                <w:bCs w:val="1"/>
                <w:color w:val="auto"/>
                <w:w w:val="93"/>
              </w:rPr>
              <w:t xml:space="preserve">Fair Value </w:t>
            </w:r>
            <w:r>
              <w:rPr>
                <w:rFonts w:ascii="Times New Roman" w:cs="Times New Roman" w:eastAsia="Times New Roman" w:hAnsi="Times New Roman"/>
                <w:sz w:val="14"/>
                <w:szCs w:val="14"/>
                <w:b w:val="1"/>
                <w:bCs w:val="1"/>
                <w:color w:val="auto"/>
                <w:w w:val="93"/>
                <w:vertAlign w:val="superscript"/>
              </w:rPr>
              <w:t>(2)</w:t>
            </w:r>
          </w:p>
        </w:tc>
        <w:tc>
          <w:tcPr>
            <w:tcW w:w="0" w:type="dxa"/>
            <w:vAlign w:val="bottom"/>
          </w:tcPr>
          <w:p>
            <w:pPr>
              <w:spacing w:after="0"/>
              <w:rPr>
                <w:sz w:val="1"/>
                <w:szCs w:val="1"/>
                <w:color w:val="auto"/>
              </w:rPr>
            </w:pPr>
          </w:p>
        </w:tc>
      </w:tr>
      <w:tr>
        <w:trPr>
          <w:trHeight w:val="162"/>
        </w:trPr>
        <w:tc>
          <w:tcPr>
            <w:tcW w:w="232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Issuer Name</w:t>
            </w:r>
          </w:p>
        </w:tc>
        <w:tc>
          <w:tcPr>
            <w:tcW w:w="120" w:type="dxa"/>
            <w:vAlign w:val="bottom"/>
          </w:tcPr>
          <w:p>
            <w:pPr>
              <w:spacing w:after="0"/>
              <w:rPr>
                <w:sz w:val="14"/>
                <w:szCs w:val="14"/>
                <w:color w:val="auto"/>
              </w:rPr>
            </w:pPr>
          </w:p>
        </w:tc>
        <w:tc>
          <w:tcPr>
            <w:tcW w:w="1080" w:type="dxa"/>
            <w:vAlign w:val="bottom"/>
            <w:gridSpan w:val="3"/>
          </w:tcPr>
          <w:p>
            <w:pPr>
              <w:jc w:val="center"/>
              <w:ind w:right="380"/>
              <w:spacing w:after="0"/>
              <w:rPr>
                <w:sz w:val="20"/>
                <w:szCs w:val="20"/>
                <w:color w:val="auto"/>
              </w:rPr>
            </w:pPr>
            <w:r>
              <w:rPr>
                <w:rFonts w:ascii="Times New Roman" w:cs="Times New Roman" w:eastAsia="Times New Roman" w:hAnsi="Times New Roman"/>
                <w:sz w:val="11"/>
                <w:szCs w:val="11"/>
                <w:b w:val="1"/>
                <w:bCs w:val="1"/>
                <w:color w:val="auto"/>
                <w:w w:val="98"/>
              </w:rPr>
              <w:t>Maturity</w:t>
            </w:r>
          </w:p>
        </w:tc>
        <w:tc>
          <w:tcPr>
            <w:tcW w:w="2460" w:type="dxa"/>
            <w:vAlign w:val="bottom"/>
          </w:tcPr>
          <w:p>
            <w:pPr>
              <w:jc w:val="center"/>
              <w:ind w:right="46"/>
              <w:spacing w:after="0"/>
              <w:rPr>
                <w:sz w:val="20"/>
                <w:szCs w:val="20"/>
                <w:color w:val="auto"/>
              </w:rPr>
            </w:pPr>
            <w:r>
              <w:rPr>
                <w:rFonts w:ascii="Times New Roman" w:cs="Times New Roman" w:eastAsia="Times New Roman" w:hAnsi="Times New Roman"/>
                <w:sz w:val="11"/>
                <w:szCs w:val="11"/>
                <w:b w:val="1"/>
                <w:bCs w:val="1"/>
                <w:color w:val="auto"/>
                <w:w w:val="97"/>
              </w:rPr>
              <w:t>Industry</w:t>
            </w:r>
          </w:p>
        </w:tc>
        <w:tc>
          <w:tcPr>
            <w:tcW w:w="120" w:type="dxa"/>
            <w:vAlign w:val="bottom"/>
          </w:tcPr>
          <w:p>
            <w:pPr>
              <w:spacing w:after="0"/>
              <w:rPr>
                <w:sz w:val="14"/>
                <w:szCs w:val="14"/>
                <w:color w:val="auto"/>
              </w:rPr>
            </w:pPr>
          </w:p>
        </w:tc>
        <w:tc>
          <w:tcPr>
            <w:tcW w:w="1200" w:type="dxa"/>
            <w:vAlign w:val="bottom"/>
            <w:gridSpan w:val="2"/>
          </w:tcPr>
          <w:p>
            <w:pPr>
              <w:jc w:val="right"/>
              <w:ind w:right="520"/>
              <w:spacing w:after="0"/>
              <w:rPr>
                <w:sz w:val="20"/>
                <w:szCs w:val="20"/>
                <w:color w:val="auto"/>
              </w:rPr>
            </w:pPr>
            <w:r>
              <w:rPr>
                <w:rFonts w:ascii="Times New Roman" w:cs="Times New Roman" w:eastAsia="Times New Roman" w:hAnsi="Times New Roman"/>
                <w:sz w:val="11"/>
                <w:szCs w:val="11"/>
                <w:b w:val="1"/>
                <w:bCs w:val="1"/>
                <w:color w:val="auto"/>
              </w:rPr>
              <w:t>Coupon</w:t>
            </w:r>
          </w:p>
        </w:tc>
        <w:tc>
          <w:tcPr>
            <w:tcW w:w="7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3"/>
              </w:rPr>
              <w:t xml:space="preserve">Index </w:t>
            </w:r>
            <w:r>
              <w:rPr>
                <w:rFonts w:ascii="Times New Roman" w:cs="Times New Roman" w:eastAsia="Times New Roman" w:hAnsi="Times New Roman"/>
                <w:sz w:val="14"/>
                <w:szCs w:val="14"/>
                <w:b w:val="1"/>
                <w:bCs w:val="1"/>
                <w:color w:val="auto"/>
                <w:w w:val="93"/>
                <w:vertAlign w:val="superscript"/>
              </w:rPr>
              <w:t>(1)</w:t>
            </w:r>
          </w:p>
        </w:tc>
        <w:tc>
          <w:tcPr>
            <w:tcW w:w="220" w:type="dxa"/>
            <w:vAlign w:val="bottom"/>
          </w:tcPr>
          <w:p>
            <w:pPr>
              <w:spacing w:after="0"/>
              <w:rPr>
                <w:sz w:val="14"/>
                <w:szCs w:val="14"/>
                <w:color w:val="auto"/>
              </w:rPr>
            </w:pPr>
          </w:p>
        </w:tc>
        <w:tc>
          <w:tcPr>
            <w:tcW w:w="820" w:type="dxa"/>
            <w:vAlign w:val="bottom"/>
          </w:tcPr>
          <w:p>
            <w:pPr>
              <w:jc w:val="right"/>
              <w:ind w:right="188"/>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jc w:val="right"/>
              <w:ind w:right="226"/>
              <w:spacing w:after="0"/>
              <w:rPr>
                <w:sz w:val="20"/>
                <w:szCs w:val="20"/>
                <w:color w:val="auto"/>
              </w:rPr>
            </w:pPr>
            <w:r>
              <w:rPr>
                <w:rFonts w:ascii="Times New Roman" w:cs="Times New Roman" w:eastAsia="Times New Roman" w:hAnsi="Times New Roman"/>
                <w:sz w:val="11"/>
                <w:szCs w:val="11"/>
                <w:b w:val="1"/>
                <w:bCs w:val="1"/>
                <w:color w:val="auto"/>
              </w:rPr>
              <w:t>Cost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88"/>
        </w:trPr>
        <w:tc>
          <w:tcPr>
            <w:tcW w:w="2320" w:type="dxa"/>
            <w:vAlign w:val="bottom"/>
            <w:tcBorders>
              <w:top w:val="single" w:sz="8" w:color="auto"/>
            </w:tcBorders>
          </w:tcPr>
          <w:p>
            <w:pPr>
              <w:ind w:left="20"/>
              <w:spacing w:after="0" w:line="88" w:lineRule="exact"/>
              <w:rPr>
                <w:sz w:val="20"/>
                <w:szCs w:val="20"/>
                <w:color w:val="auto"/>
              </w:rPr>
            </w:pPr>
            <w:r>
              <w:rPr>
                <w:rFonts w:ascii="Times New Roman" w:cs="Times New Roman" w:eastAsia="Times New Roman" w:hAnsi="Times New Roman"/>
                <w:sz w:val="10"/>
                <w:szCs w:val="10"/>
                <w:color w:val="auto"/>
              </w:rPr>
              <w:t>Delta InvestCo LP (Sigma Defense Systems, LLC)</w:t>
            </w:r>
          </w:p>
        </w:tc>
        <w:tc>
          <w:tcPr>
            <w:tcW w:w="120" w:type="dxa"/>
            <w:vAlign w:val="bottom"/>
          </w:tcPr>
          <w:p>
            <w:pPr>
              <w:spacing w:after="0"/>
              <w:rPr>
                <w:sz w:val="7"/>
                <w:szCs w:val="7"/>
                <w:color w:val="auto"/>
              </w:rPr>
            </w:pPr>
          </w:p>
        </w:tc>
        <w:tc>
          <w:tcPr>
            <w:tcW w:w="720" w:type="dxa"/>
            <w:vAlign w:val="bottom"/>
            <w:tcBorders>
              <w:top w:val="single" w:sz="8" w:color="auto"/>
            </w:tcBorders>
          </w:tcPr>
          <w:p>
            <w:pPr>
              <w:ind w:left="600"/>
              <w:spacing w:after="0" w:line="88" w:lineRule="exact"/>
              <w:rPr>
                <w:sz w:val="20"/>
                <w:szCs w:val="20"/>
                <w:color w:val="auto"/>
              </w:rPr>
            </w:pPr>
            <w:r>
              <w:rPr>
                <w:rFonts w:ascii="Times New Roman" w:cs="Times New Roman" w:eastAsia="Times New Roman" w:hAnsi="Times New Roman"/>
                <w:sz w:val="10"/>
                <w:szCs w:val="10"/>
                <w:color w:val="auto"/>
                <w:w w:val="99"/>
              </w:rPr>
              <w:t>—</w:t>
            </w:r>
          </w:p>
        </w:tc>
        <w:tc>
          <w:tcPr>
            <w:tcW w:w="26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2460" w:type="dxa"/>
            <w:vAlign w:val="bottom"/>
            <w:tcBorders>
              <w:top w:val="single" w:sz="8" w:color="auto"/>
            </w:tcBorders>
          </w:tcPr>
          <w:p>
            <w:pPr>
              <w:jc w:val="center"/>
              <w:ind w:right="46"/>
              <w:spacing w:after="0" w:line="88" w:lineRule="exact"/>
              <w:rPr>
                <w:sz w:val="20"/>
                <w:szCs w:val="20"/>
                <w:color w:val="auto"/>
              </w:rPr>
            </w:pPr>
            <w:r>
              <w:rPr>
                <w:rFonts w:ascii="Times New Roman" w:cs="Times New Roman" w:eastAsia="Times New Roman" w:hAnsi="Times New Roman"/>
                <w:sz w:val="10"/>
                <w:szCs w:val="10"/>
                <w:color w:val="auto"/>
              </w:rPr>
              <w:t>IT Services</w:t>
            </w:r>
          </w:p>
        </w:tc>
        <w:tc>
          <w:tcPr>
            <w:tcW w:w="120" w:type="dxa"/>
            <w:vAlign w:val="bottom"/>
          </w:tcPr>
          <w:p>
            <w:pPr>
              <w:spacing w:after="0"/>
              <w:rPr>
                <w:sz w:val="7"/>
                <w:szCs w:val="7"/>
                <w:color w:val="auto"/>
              </w:rPr>
            </w:pPr>
          </w:p>
        </w:tc>
        <w:tc>
          <w:tcPr>
            <w:tcW w:w="980" w:type="dxa"/>
            <w:vAlign w:val="bottom"/>
            <w:tcBorders>
              <w:top w:val="single" w:sz="8" w:color="auto"/>
            </w:tcBorders>
          </w:tcPr>
          <w:p>
            <w:pPr>
              <w:jc w:val="right"/>
              <w:spacing w:after="0" w:line="88" w:lineRule="exact"/>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7"/>
                <w:szCs w:val="7"/>
                <w:color w:val="auto"/>
              </w:rPr>
            </w:pPr>
          </w:p>
        </w:tc>
        <w:tc>
          <w:tcPr>
            <w:tcW w:w="780" w:type="dxa"/>
            <w:vAlign w:val="bottom"/>
            <w:tcBorders>
              <w:top w:val="single" w:sz="8" w:color="auto"/>
            </w:tcBorders>
          </w:tcPr>
          <w:p>
            <w:pPr>
              <w:ind w:left="660"/>
              <w:spacing w:after="0" w:line="88" w:lineRule="exact"/>
              <w:rPr>
                <w:sz w:val="20"/>
                <w:szCs w:val="20"/>
                <w:color w:val="auto"/>
              </w:rPr>
            </w:pPr>
            <w:r>
              <w:rPr>
                <w:rFonts w:ascii="Times New Roman" w:cs="Times New Roman" w:eastAsia="Times New Roman" w:hAnsi="Times New Roman"/>
                <w:sz w:val="10"/>
                <w:szCs w:val="10"/>
                <w:color w:val="auto"/>
                <w:w w:val="99"/>
              </w:rPr>
              <w:t>—</w:t>
            </w:r>
          </w:p>
        </w:tc>
        <w:tc>
          <w:tcPr>
            <w:tcW w:w="220" w:type="dxa"/>
            <w:vAlign w:val="bottom"/>
          </w:tcPr>
          <w:p>
            <w:pPr>
              <w:spacing w:after="0"/>
              <w:rPr>
                <w:sz w:val="7"/>
                <w:szCs w:val="7"/>
                <w:color w:val="auto"/>
              </w:rPr>
            </w:pPr>
          </w:p>
        </w:tc>
        <w:tc>
          <w:tcPr>
            <w:tcW w:w="820" w:type="dxa"/>
            <w:vAlign w:val="bottom"/>
            <w:tcBorders>
              <w:top w:val="single" w:sz="8" w:color="auto"/>
            </w:tcBorders>
          </w:tcPr>
          <w:p>
            <w:pPr>
              <w:jc w:val="right"/>
              <w:spacing w:after="0" w:line="88" w:lineRule="exact"/>
              <w:rPr>
                <w:sz w:val="20"/>
                <w:szCs w:val="20"/>
                <w:color w:val="auto"/>
              </w:rPr>
            </w:pPr>
            <w:r>
              <w:rPr>
                <w:rFonts w:ascii="Times New Roman" w:cs="Times New Roman" w:eastAsia="Times New Roman" w:hAnsi="Times New Roman"/>
                <w:sz w:val="10"/>
                <w:szCs w:val="10"/>
                <w:color w:val="auto"/>
              </w:rPr>
              <w:t>502,435</w:t>
            </w:r>
          </w:p>
        </w:tc>
        <w:tc>
          <w:tcPr>
            <w:tcW w:w="220" w:type="dxa"/>
            <w:vAlign w:val="bottom"/>
          </w:tcPr>
          <w:p>
            <w:pPr>
              <w:spacing w:after="0"/>
              <w:rPr>
                <w:sz w:val="7"/>
                <w:szCs w:val="7"/>
                <w:color w:val="auto"/>
              </w:rPr>
            </w:pPr>
          </w:p>
        </w:tc>
        <w:tc>
          <w:tcPr>
            <w:tcW w:w="180" w:type="dxa"/>
            <w:vAlign w:val="bottom"/>
            <w:tcBorders>
              <w:top w:val="single" w:sz="8" w:color="auto"/>
            </w:tcBorders>
          </w:tcPr>
          <w:p>
            <w:pPr>
              <w:jc w:val="right"/>
              <w:ind w:right="71"/>
              <w:spacing w:after="0" w:line="88" w:lineRule="exact"/>
              <w:rPr>
                <w:sz w:val="20"/>
                <w:szCs w:val="20"/>
                <w:color w:val="auto"/>
              </w:rPr>
            </w:pPr>
            <w:r>
              <w:rPr>
                <w:rFonts w:ascii="Times New Roman" w:cs="Times New Roman" w:eastAsia="Times New Roman" w:hAnsi="Times New Roman"/>
                <w:sz w:val="10"/>
                <w:szCs w:val="10"/>
                <w:color w:val="auto"/>
                <w:w w:val="79"/>
              </w:rPr>
              <w:t>$</w:t>
            </w:r>
          </w:p>
        </w:tc>
        <w:tc>
          <w:tcPr>
            <w:tcW w:w="600" w:type="dxa"/>
            <w:vAlign w:val="bottom"/>
            <w:tcBorders>
              <w:top w:val="single" w:sz="8" w:color="auto"/>
            </w:tcBorders>
          </w:tcPr>
          <w:p>
            <w:pPr>
              <w:jc w:val="right"/>
              <w:spacing w:after="0" w:line="88" w:lineRule="exact"/>
              <w:rPr>
                <w:sz w:val="20"/>
                <w:szCs w:val="20"/>
                <w:color w:val="auto"/>
              </w:rPr>
            </w:pPr>
            <w:r>
              <w:rPr>
                <w:rFonts w:ascii="Times New Roman" w:cs="Times New Roman" w:eastAsia="Times New Roman" w:hAnsi="Times New Roman"/>
                <w:sz w:val="10"/>
                <w:szCs w:val="10"/>
                <w:color w:val="auto"/>
              </w:rPr>
              <w:t>502</w:t>
            </w:r>
          </w:p>
        </w:tc>
        <w:tc>
          <w:tcPr>
            <w:tcW w:w="220" w:type="dxa"/>
            <w:vAlign w:val="bottom"/>
          </w:tcPr>
          <w:p>
            <w:pPr>
              <w:spacing w:after="0"/>
              <w:rPr>
                <w:sz w:val="7"/>
                <w:szCs w:val="7"/>
                <w:color w:val="auto"/>
              </w:rPr>
            </w:pPr>
          </w:p>
        </w:tc>
        <w:tc>
          <w:tcPr>
            <w:tcW w:w="80" w:type="dxa"/>
            <w:vAlign w:val="bottom"/>
            <w:tcBorders>
              <w:top w:val="single" w:sz="8" w:color="auto"/>
            </w:tcBorders>
          </w:tcPr>
          <w:p>
            <w:pPr>
              <w:jc w:val="right"/>
              <w:spacing w:after="0" w:line="88" w:lineRule="exact"/>
              <w:rPr>
                <w:sz w:val="20"/>
                <w:szCs w:val="20"/>
                <w:color w:val="auto"/>
              </w:rPr>
            </w:pPr>
            <w:r>
              <w:rPr>
                <w:rFonts w:ascii="Times New Roman" w:cs="Times New Roman" w:eastAsia="Times New Roman" w:hAnsi="Times New Roman"/>
                <w:sz w:val="10"/>
                <w:szCs w:val="10"/>
                <w:color w:val="auto"/>
                <w:w w:val="79"/>
              </w:rPr>
              <w:t>$</w:t>
            </w:r>
          </w:p>
        </w:tc>
        <w:tc>
          <w:tcPr>
            <w:tcW w:w="720" w:type="dxa"/>
            <w:vAlign w:val="bottom"/>
            <w:tcBorders>
              <w:top w:val="single" w:sz="8" w:color="auto"/>
            </w:tcBorders>
          </w:tcPr>
          <w:p>
            <w:pPr>
              <w:jc w:val="right"/>
              <w:spacing w:after="0" w:line="88" w:lineRule="exact"/>
              <w:rPr>
                <w:sz w:val="20"/>
                <w:szCs w:val="20"/>
                <w:color w:val="auto"/>
              </w:rPr>
            </w:pPr>
            <w:r>
              <w:rPr>
                <w:rFonts w:ascii="Times New Roman" w:cs="Times New Roman" w:eastAsia="Times New Roman" w:hAnsi="Times New Roman"/>
                <w:sz w:val="10"/>
                <w:szCs w:val="10"/>
                <w:color w:val="auto"/>
              </w:rPr>
              <w:t>430</w:t>
            </w: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4"/>
        </w:trPr>
        <w:tc>
          <w:tcPr>
            <w:tcW w:w="2320" w:type="dxa"/>
            <w:vAlign w:val="bottom"/>
          </w:tcPr>
          <w:p>
            <w:pPr>
              <w:ind w:left="20"/>
              <w:spacing w:after="0"/>
              <w:rPr>
                <w:sz w:val="20"/>
                <w:szCs w:val="20"/>
                <w:color w:val="auto"/>
              </w:rPr>
            </w:pPr>
            <w:r>
              <w:rPr>
                <w:rFonts w:ascii="Times New Roman" w:cs="Times New Roman" w:eastAsia="Times New Roman" w:hAnsi="Times New Roman"/>
                <w:sz w:val="7"/>
                <w:szCs w:val="7"/>
                <w:color w:val="auto"/>
              </w:rPr>
              <w:t>(7), (8)</w:t>
            </w: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980" w:type="dxa"/>
            <w:vAlign w:val="bottom"/>
          </w:tcPr>
          <w:p>
            <w:pPr>
              <w:spacing w:after="0"/>
              <w:rPr>
                <w:sz w:val="8"/>
                <w:szCs w:val="8"/>
                <w:color w:val="auto"/>
              </w:rPr>
            </w:pPr>
          </w:p>
        </w:tc>
        <w:tc>
          <w:tcPr>
            <w:tcW w:w="2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2320" w:type="dxa"/>
            <w:vAlign w:val="bottom"/>
          </w:tcPr>
          <w:p>
            <w:pPr>
              <w:ind w:left="20"/>
              <w:spacing w:after="0" w:line="122" w:lineRule="exact"/>
              <w:rPr>
                <w:sz w:val="20"/>
                <w:szCs w:val="20"/>
                <w:color w:val="auto"/>
              </w:rPr>
            </w:pPr>
            <w:r>
              <w:rPr>
                <w:rFonts w:ascii="Times New Roman" w:cs="Times New Roman" w:eastAsia="Times New Roman" w:hAnsi="Times New Roman"/>
                <w:sz w:val="11"/>
                <w:szCs w:val="11"/>
                <w:color w:val="auto"/>
              </w:rPr>
              <w:t>Delta InvestCo LP (Sigma Defense Systems, LLC)</w:t>
            </w:r>
          </w:p>
        </w:tc>
        <w:tc>
          <w:tcPr>
            <w:tcW w:w="120" w:type="dxa"/>
            <w:vAlign w:val="bottom"/>
          </w:tcPr>
          <w:p>
            <w:pPr>
              <w:spacing w:after="0"/>
              <w:rPr>
                <w:sz w:val="10"/>
                <w:szCs w:val="10"/>
                <w:color w:val="auto"/>
              </w:rPr>
            </w:pPr>
          </w:p>
        </w:tc>
        <w:tc>
          <w:tcPr>
            <w:tcW w:w="1080" w:type="dxa"/>
            <w:vAlign w:val="bottom"/>
            <w:gridSpan w:val="3"/>
          </w:tcPr>
          <w:p>
            <w:pPr>
              <w:ind w:left="600"/>
              <w:spacing w:after="0" w:line="122" w:lineRule="exact"/>
              <w:rPr>
                <w:sz w:val="20"/>
                <w:szCs w:val="20"/>
                <w:color w:val="auto"/>
              </w:rPr>
            </w:pPr>
            <w:r>
              <w:rPr>
                <w:rFonts w:ascii="Times New Roman" w:cs="Times New Roman" w:eastAsia="Times New Roman" w:hAnsi="Times New Roman"/>
                <w:sz w:val="11"/>
                <w:szCs w:val="11"/>
                <w:color w:val="auto"/>
              </w:rPr>
              <w:t>—</w:t>
            </w:r>
          </w:p>
        </w:tc>
        <w:tc>
          <w:tcPr>
            <w:tcW w:w="2460" w:type="dxa"/>
            <w:vAlign w:val="bottom"/>
          </w:tcPr>
          <w:p>
            <w:pPr>
              <w:jc w:val="center"/>
              <w:ind w:right="46"/>
              <w:spacing w:after="0" w:line="122" w:lineRule="exact"/>
              <w:rPr>
                <w:sz w:val="20"/>
                <w:szCs w:val="20"/>
                <w:color w:val="auto"/>
              </w:rPr>
            </w:pPr>
            <w:r>
              <w:rPr>
                <w:rFonts w:ascii="Times New Roman" w:cs="Times New Roman" w:eastAsia="Times New Roman" w:hAnsi="Times New Roman"/>
                <w:sz w:val="11"/>
                <w:szCs w:val="11"/>
                <w:color w:val="auto"/>
                <w:w w:val="95"/>
              </w:rPr>
              <w:t>IT Services</w:t>
            </w:r>
          </w:p>
        </w:tc>
        <w:tc>
          <w:tcPr>
            <w:tcW w:w="120" w:type="dxa"/>
            <w:vAlign w:val="bottom"/>
          </w:tcPr>
          <w:p>
            <w:pPr>
              <w:spacing w:after="0"/>
              <w:rPr>
                <w:sz w:val="10"/>
                <w:szCs w:val="10"/>
                <w:color w:val="auto"/>
              </w:rPr>
            </w:pPr>
          </w:p>
        </w:tc>
        <w:tc>
          <w:tcPr>
            <w:tcW w:w="1200" w:type="dxa"/>
            <w:vAlign w:val="bottom"/>
            <w:gridSpan w:val="2"/>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780" w:type="dxa"/>
            <w:vAlign w:val="bottom"/>
          </w:tcPr>
          <w:p>
            <w:pPr>
              <w:ind w:left="660"/>
              <w:spacing w:after="0" w:line="122" w:lineRule="exact"/>
              <w:rPr>
                <w:sz w:val="20"/>
                <w:szCs w:val="20"/>
                <w:color w:val="auto"/>
              </w:rPr>
            </w:pPr>
            <w:r>
              <w:rPr>
                <w:rFonts w:ascii="Times New Roman" w:cs="Times New Roman" w:eastAsia="Times New Roman" w:hAnsi="Times New Roman"/>
                <w:sz w:val="11"/>
                <w:szCs w:val="11"/>
                <w:color w:val="auto"/>
                <w:w w:val="90"/>
              </w:rPr>
              <w:t>—</w:t>
            </w:r>
          </w:p>
        </w:tc>
        <w:tc>
          <w:tcPr>
            <w:tcW w:w="104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502,435</w:t>
            </w: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gridSpan w:val="2"/>
          </w:tcPr>
          <w:p>
            <w:pPr>
              <w:jc w:val="right"/>
              <w:ind w:right="60"/>
              <w:spacing w:after="0" w:line="122" w:lineRule="exact"/>
              <w:rPr>
                <w:sz w:val="20"/>
                <w:szCs w:val="20"/>
                <w:color w:val="auto"/>
              </w:rPr>
            </w:pPr>
            <w:r>
              <w:rPr>
                <w:rFonts w:ascii="Times New Roman" w:cs="Times New Roman" w:eastAsia="Times New Roman" w:hAnsi="Times New Roman"/>
                <w:sz w:val="11"/>
                <w:szCs w:val="11"/>
                <w:color w:val="auto"/>
              </w:rPr>
              <w:t>(73 )</w:t>
            </w:r>
          </w:p>
        </w:tc>
        <w:tc>
          <w:tcPr>
            <w:tcW w:w="0" w:type="dxa"/>
            <w:vAlign w:val="bottom"/>
          </w:tcPr>
          <w:p>
            <w:pPr>
              <w:spacing w:after="0"/>
              <w:rPr>
                <w:sz w:val="1"/>
                <w:szCs w:val="1"/>
                <w:color w:val="auto"/>
              </w:rPr>
            </w:pPr>
          </w:p>
        </w:tc>
      </w:tr>
      <w:tr>
        <w:trPr>
          <w:trHeight w:val="90"/>
        </w:trPr>
        <w:tc>
          <w:tcPr>
            <w:tcW w:w="2320" w:type="dxa"/>
            <w:vAlign w:val="bottom"/>
          </w:tcPr>
          <w:p>
            <w:pPr>
              <w:ind w:left="20"/>
              <w:spacing w:after="0"/>
              <w:rPr>
                <w:sz w:val="20"/>
                <w:szCs w:val="20"/>
                <w:color w:val="auto"/>
              </w:rPr>
            </w:pPr>
            <w:r>
              <w:rPr>
                <w:rFonts w:ascii="Times New Roman" w:cs="Times New Roman" w:eastAsia="Times New Roman" w:hAnsi="Times New Roman"/>
                <w:sz w:val="7"/>
                <w:szCs w:val="7"/>
                <w:color w:val="auto"/>
              </w:rPr>
              <w:t>(7), (8),(9)</w:t>
            </w:r>
          </w:p>
        </w:tc>
        <w:tc>
          <w:tcPr>
            <w:tcW w:w="120" w:type="dxa"/>
            <w:vAlign w:val="bottom"/>
          </w:tcPr>
          <w:p>
            <w:pPr>
              <w:spacing w:after="0"/>
              <w:rPr>
                <w:sz w:val="7"/>
                <w:szCs w:val="7"/>
                <w:color w:val="auto"/>
              </w:rPr>
            </w:pPr>
          </w:p>
        </w:tc>
        <w:tc>
          <w:tcPr>
            <w:tcW w:w="720" w:type="dxa"/>
            <w:vAlign w:val="bottom"/>
          </w:tcPr>
          <w:p>
            <w:pPr>
              <w:spacing w:after="0"/>
              <w:rPr>
                <w:sz w:val="7"/>
                <w:szCs w:val="7"/>
                <w:color w:val="auto"/>
              </w:rPr>
            </w:pPr>
          </w:p>
        </w:tc>
        <w:tc>
          <w:tcPr>
            <w:tcW w:w="2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460" w:type="dxa"/>
            <w:vAlign w:val="bottom"/>
          </w:tcPr>
          <w:p>
            <w:pPr>
              <w:spacing w:after="0"/>
              <w:rPr>
                <w:sz w:val="7"/>
                <w:szCs w:val="7"/>
                <w:color w:val="auto"/>
              </w:rPr>
            </w:pPr>
          </w:p>
        </w:tc>
        <w:tc>
          <w:tcPr>
            <w:tcW w:w="120" w:type="dxa"/>
            <w:vAlign w:val="bottom"/>
          </w:tcPr>
          <w:p>
            <w:pPr>
              <w:spacing w:after="0"/>
              <w:rPr>
                <w:sz w:val="7"/>
                <w:szCs w:val="7"/>
                <w:color w:val="auto"/>
              </w:rPr>
            </w:pPr>
          </w:p>
        </w:tc>
        <w:tc>
          <w:tcPr>
            <w:tcW w:w="980" w:type="dxa"/>
            <w:vAlign w:val="bottom"/>
          </w:tcPr>
          <w:p>
            <w:pPr>
              <w:spacing w:after="0"/>
              <w:rPr>
                <w:sz w:val="7"/>
                <w:szCs w:val="7"/>
                <w:color w:val="auto"/>
              </w:rPr>
            </w:pPr>
          </w:p>
        </w:tc>
        <w:tc>
          <w:tcPr>
            <w:tcW w:w="220" w:type="dxa"/>
            <w:vAlign w:val="bottom"/>
          </w:tcPr>
          <w:p>
            <w:pPr>
              <w:spacing w:after="0"/>
              <w:rPr>
                <w:sz w:val="7"/>
                <w:szCs w:val="7"/>
                <w:color w:val="auto"/>
              </w:rPr>
            </w:pPr>
          </w:p>
        </w:tc>
        <w:tc>
          <w:tcPr>
            <w:tcW w:w="780" w:type="dxa"/>
            <w:vAlign w:val="bottom"/>
          </w:tcPr>
          <w:p>
            <w:pPr>
              <w:spacing w:after="0"/>
              <w:rPr>
                <w:sz w:val="7"/>
                <w:szCs w:val="7"/>
                <w:color w:val="auto"/>
              </w:rPr>
            </w:pPr>
          </w:p>
        </w:tc>
        <w:tc>
          <w:tcPr>
            <w:tcW w:w="220" w:type="dxa"/>
            <w:vAlign w:val="bottom"/>
          </w:tcPr>
          <w:p>
            <w:pPr>
              <w:spacing w:after="0"/>
              <w:rPr>
                <w:sz w:val="7"/>
                <w:szCs w:val="7"/>
                <w:color w:val="auto"/>
              </w:rPr>
            </w:pPr>
          </w:p>
        </w:tc>
        <w:tc>
          <w:tcPr>
            <w:tcW w:w="8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7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232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ECM Investors, LLC </w:t>
            </w:r>
            <w:r>
              <w:rPr>
                <w:rFonts w:ascii="Times New Roman" w:cs="Times New Roman" w:eastAsia="Times New Roman" w:hAnsi="Times New Roman"/>
                <w:sz w:val="14"/>
                <w:szCs w:val="14"/>
                <w:color w:val="auto"/>
                <w:vertAlign w:val="superscript"/>
              </w:rPr>
              <w:t>(7), (8)</w:t>
            </w:r>
          </w:p>
        </w:tc>
        <w:tc>
          <w:tcPr>
            <w:tcW w:w="120" w:type="dxa"/>
            <w:vAlign w:val="bottom"/>
          </w:tcPr>
          <w:p>
            <w:pPr>
              <w:spacing w:after="0"/>
              <w:rPr>
                <w:sz w:val="11"/>
                <w:szCs w:val="11"/>
                <w:color w:val="auto"/>
              </w:rPr>
            </w:pPr>
          </w:p>
        </w:tc>
        <w:tc>
          <w:tcPr>
            <w:tcW w:w="1080" w:type="dxa"/>
            <w:vAlign w:val="bottom"/>
            <w:gridSpan w:val="3"/>
          </w:tcPr>
          <w:p>
            <w:pPr>
              <w:ind w:left="600"/>
              <w:spacing w:after="0"/>
              <w:rPr>
                <w:sz w:val="20"/>
                <w:szCs w:val="20"/>
                <w:color w:val="auto"/>
              </w:rPr>
            </w:pPr>
            <w:r>
              <w:rPr>
                <w:rFonts w:ascii="Times New Roman" w:cs="Times New Roman" w:eastAsia="Times New Roman" w:hAnsi="Times New Roman"/>
                <w:sz w:val="11"/>
                <w:szCs w:val="11"/>
                <w:color w:val="auto"/>
              </w:rPr>
              <w:t>—</w:t>
            </w:r>
          </w:p>
        </w:tc>
        <w:tc>
          <w:tcPr>
            <w:tcW w:w="2460" w:type="dxa"/>
            <w:vAlign w:val="bottom"/>
          </w:tcPr>
          <w:p>
            <w:pPr>
              <w:jc w:val="center"/>
              <w:ind w:right="46"/>
              <w:spacing w:after="0"/>
              <w:rPr>
                <w:sz w:val="20"/>
                <w:szCs w:val="20"/>
                <w:color w:val="auto"/>
              </w:rPr>
            </w:pPr>
            <w:r>
              <w:rPr>
                <w:rFonts w:ascii="Times New Roman" w:cs="Times New Roman" w:eastAsia="Times New Roman" w:hAnsi="Times New Roman"/>
                <w:sz w:val="11"/>
                <w:szCs w:val="11"/>
                <w:color w:val="auto"/>
                <w:w w:val="97"/>
              </w:rPr>
              <w:t>Electronic Equipment, Instruments, and Components</w:t>
            </w:r>
          </w:p>
        </w:tc>
        <w:tc>
          <w:tcPr>
            <w:tcW w:w="120" w:type="dxa"/>
            <w:vAlign w:val="bottom"/>
          </w:tcPr>
          <w:p>
            <w:pPr>
              <w:spacing w:after="0"/>
              <w:rPr>
                <w:sz w:val="11"/>
                <w:szCs w:val="11"/>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Pr>
          <w:p>
            <w:pPr>
              <w:ind w:left="660"/>
              <w:spacing w:after="0"/>
              <w:rPr>
                <w:sz w:val="20"/>
                <w:szCs w:val="20"/>
                <w:color w:val="auto"/>
              </w:rPr>
            </w:pPr>
            <w:r>
              <w:rPr>
                <w:rFonts w:ascii="Times New Roman" w:cs="Times New Roman" w:eastAsia="Times New Roman" w:hAnsi="Times New Roman"/>
                <w:sz w:val="11"/>
                <w:szCs w:val="11"/>
                <w:color w:val="auto"/>
                <w:w w:val="90"/>
              </w:rPr>
              <w:t>—</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295,982</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72</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997</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32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eCommission Holding Corporation </w:t>
            </w:r>
            <w:r>
              <w:rPr>
                <w:rFonts w:ascii="Times New Roman" w:cs="Times New Roman" w:eastAsia="Times New Roman" w:hAnsi="Times New Roman"/>
                <w:sz w:val="14"/>
                <w:szCs w:val="14"/>
                <w:color w:val="auto"/>
                <w:vertAlign w:val="superscript"/>
              </w:rPr>
              <w:t>(7), (10)</w:t>
            </w:r>
          </w:p>
        </w:tc>
        <w:tc>
          <w:tcPr>
            <w:tcW w:w="120" w:type="dxa"/>
            <w:vAlign w:val="bottom"/>
          </w:tcPr>
          <w:p>
            <w:pPr>
              <w:spacing w:after="0"/>
              <w:rPr>
                <w:sz w:val="11"/>
                <w:szCs w:val="11"/>
                <w:color w:val="auto"/>
              </w:rPr>
            </w:pPr>
          </w:p>
        </w:tc>
        <w:tc>
          <w:tcPr>
            <w:tcW w:w="1080" w:type="dxa"/>
            <w:vAlign w:val="bottom"/>
            <w:gridSpan w:val="3"/>
          </w:tcPr>
          <w:p>
            <w:pPr>
              <w:ind w:left="600"/>
              <w:spacing w:after="0"/>
              <w:rPr>
                <w:sz w:val="20"/>
                <w:szCs w:val="20"/>
                <w:color w:val="auto"/>
              </w:rPr>
            </w:pPr>
            <w:r>
              <w:rPr>
                <w:rFonts w:ascii="Times New Roman" w:cs="Times New Roman" w:eastAsia="Times New Roman" w:hAnsi="Times New Roman"/>
                <w:sz w:val="11"/>
                <w:szCs w:val="11"/>
                <w:color w:val="auto"/>
              </w:rPr>
              <w:t>—</w:t>
            </w:r>
          </w:p>
        </w:tc>
        <w:tc>
          <w:tcPr>
            <w:tcW w:w="2460" w:type="dxa"/>
            <w:vAlign w:val="bottom"/>
          </w:tcPr>
          <w:p>
            <w:pPr>
              <w:jc w:val="center"/>
              <w:ind w:right="46"/>
              <w:spacing w:after="0"/>
              <w:rPr>
                <w:sz w:val="20"/>
                <w:szCs w:val="20"/>
                <w:color w:val="auto"/>
              </w:rPr>
            </w:pPr>
            <w:r>
              <w:rPr>
                <w:rFonts w:ascii="Times New Roman" w:cs="Times New Roman" w:eastAsia="Times New Roman" w:hAnsi="Times New Roman"/>
                <w:sz w:val="11"/>
                <w:szCs w:val="11"/>
                <w:color w:val="auto"/>
                <w:w w:val="99"/>
              </w:rPr>
              <w:t>Banking, Finance, Insurance &amp; Real Estate</w:t>
            </w:r>
          </w:p>
        </w:tc>
        <w:tc>
          <w:tcPr>
            <w:tcW w:w="120" w:type="dxa"/>
            <w:vAlign w:val="bottom"/>
          </w:tcPr>
          <w:p>
            <w:pPr>
              <w:spacing w:after="0"/>
              <w:rPr>
                <w:sz w:val="11"/>
                <w:szCs w:val="11"/>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Pr>
          <w:p>
            <w:pPr>
              <w:ind w:left="660"/>
              <w:spacing w:after="0"/>
              <w:rPr>
                <w:sz w:val="20"/>
                <w:szCs w:val="20"/>
                <w:color w:val="auto"/>
              </w:rPr>
            </w:pPr>
            <w:r>
              <w:rPr>
                <w:rFonts w:ascii="Times New Roman" w:cs="Times New Roman" w:eastAsia="Times New Roman" w:hAnsi="Times New Roman"/>
                <w:sz w:val="11"/>
                <w:szCs w:val="11"/>
                <w:color w:val="auto"/>
                <w:w w:val="90"/>
              </w:rPr>
              <w:t>—</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20</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251</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288</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32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FedHC InvestCo LP </w:t>
            </w:r>
            <w:r>
              <w:rPr>
                <w:rFonts w:ascii="Times New Roman" w:cs="Times New Roman" w:eastAsia="Times New Roman" w:hAnsi="Times New Roman"/>
                <w:sz w:val="14"/>
                <w:szCs w:val="14"/>
                <w:color w:val="auto"/>
                <w:vertAlign w:val="superscript"/>
              </w:rPr>
              <w:t>(7),(8)</w:t>
            </w:r>
          </w:p>
        </w:tc>
        <w:tc>
          <w:tcPr>
            <w:tcW w:w="120" w:type="dxa"/>
            <w:vAlign w:val="bottom"/>
          </w:tcPr>
          <w:p>
            <w:pPr>
              <w:spacing w:after="0"/>
              <w:rPr>
                <w:sz w:val="11"/>
                <w:szCs w:val="11"/>
                <w:color w:val="auto"/>
              </w:rPr>
            </w:pPr>
          </w:p>
        </w:tc>
        <w:tc>
          <w:tcPr>
            <w:tcW w:w="1080" w:type="dxa"/>
            <w:vAlign w:val="bottom"/>
            <w:gridSpan w:val="3"/>
          </w:tcPr>
          <w:p>
            <w:pPr>
              <w:ind w:left="600"/>
              <w:spacing w:after="0"/>
              <w:rPr>
                <w:sz w:val="20"/>
                <w:szCs w:val="20"/>
                <w:color w:val="auto"/>
              </w:rPr>
            </w:pPr>
            <w:r>
              <w:rPr>
                <w:rFonts w:ascii="Times New Roman" w:cs="Times New Roman" w:eastAsia="Times New Roman" w:hAnsi="Times New Roman"/>
                <w:sz w:val="11"/>
                <w:szCs w:val="11"/>
                <w:color w:val="auto"/>
              </w:rPr>
              <w:t>—</w:t>
            </w:r>
          </w:p>
        </w:tc>
        <w:tc>
          <w:tcPr>
            <w:tcW w:w="2460" w:type="dxa"/>
            <w:vAlign w:val="bottom"/>
          </w:tcPr>
          <w:p>
            <w:pPr>
              <w:jc w:val="center"/>
              <w:ind w:right="66"/>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120" w:type="dxa"/>
            <w:vAlign w:val="bottom"/>
          </w:tcPr>
          <w:p>
            <w:pPr>
              <w:spacing w:after="0"/>
              <w:rPr>
                <w:sz w:val="11"/>
                <w:szCs w:val="11"/>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Pr>
          <w:p>
            <w:pPr>
              <w:ind w:left="660"/>
              <w:spacing w:after="0"/>
              <w:rPr>
                <w:sz w:val="20"/>
                <w:szCs w:val="20"/>
                <w:color w:val="auto"/>
              </w:rPr>
            </w:pPr>
            <w:r>
              <w:rPr>
                <w:rFonts w:ascii="Times New Roman" w:cs="Times New Roman" w:eastAsia="Times New Roman" w:hAnsi="Times New Roman"/>
                <w:sz w:val="11"/>
                <w:szCs w:val="11"/>
                <w:color w:val="auto"/>
                <w:w w:val="90"/>
              </w:rPr>
              <w:t>—</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4,951</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495</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504</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320" w:type="dxa"/>
            <w:vAlign w:val="bottom"/>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FedHC InvestCo LP </w:t>
            </w:r>
            <w:r>
              <w:rPr>
                <w:rFonts w:ascii="Times New Roman" w:cs="Times New Roman" w:eastAsia="Times New Roman" w:hAnsi="Times New Roman"/>
                <w:sz w:val="14"/>
                <w:szCs w:val="14"/>
                <w:color w:val="auto"/>
                <w:vertAlign w:val="superscript"/>
              </w:rPr>
              <w:t>(7),(8),(9)</w:t>
            </w:r>
          </w:p>
        </w:tc>
        <w:tc>
          <w:tcPr>
            <w:tcW w:w="120" w:type="dxa"/>
            <w:vAlign w:val="bottom"/>
          </w:tcPr>
          <w:p>
            <w:pPr>
              <w:spacing w:after="0"/>
              <w:rPr>
                <w:sz w:val="13"/>
                <w:szCs w:val="13"/>
                <w:color w:val="auto"/>
              </w:rPr>
            </w:pPr>
          </w:p>
        </w:tc>
        <w:tc>
          <w:tcPr>
            <w:tcW w:w="1080" w:type="dxa"/>
            <w:vAlign w:val="bottom"/>
            <w:gridSpan w:val="3"/>
          </w:tcPr>
          <w:p>
            <w:pPr>
              <w:ind w:left="600"/>
              <w:spacing w:after="0"/>
              <w:rPr>
                <w:sz w:val="20"/>
                <w:szCs w:val="20"/>
                <w:color w:val="auto"/>
              </w:rPr>
            </w:pPr>
            <w:r>
              <w:rPr>
                <w:rFonts w:ascii="Times New Roman" w:cs="Times New Roman" w:eastAsia="Times New Roman" w:hAnsi="Times New Roman"/>
                <w:sz w:val="11"/>
                <w:szCs w:val="11"/>
                <w:color w:val="auto"/>
              </w:rPr>
              <w:t>—</w:t>
            </w:r>
          </w:p>
        </w:tc>
        <w:tc>
          <w:tcPr>
            <w:tcW w:w="2460" w:type="dxa"/>
            <w:vAlign w:val="bottom"/>
          </w:tcPr>
          <w:p>
            <w:pPr>
              <w:jc w:val="center"/>
              <w:ind w:right="66"/>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120" w:type="dxa"/>
            <w:vAlign w:val="bottom"/>
          </w:tcPr>
          <w:p>
            <w:pPr>
              <w:spacing w:after="0"/>
              <w:rPr>
                <w:sz w:val="13"/>
                <w:szCs w:val="13"/>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Pr>
          <w:p>
            <w:pPr>
              <w:ind w:left="660"/>
              <w:spacing w:after="0"/>
              <w:rPr>
                <w:sz w:val="20"/>
                <w:szCs w:val="20"/>
                <w:color w:val="auto"/>
              </w:rPr>
            </w:pPr>
            <w:r>
              <w:rPr>
                <w:rFonts w:ascii="Times New Roman" w:cs="Times New Roman" w:eastAsia="Times New Roman" w:hAnsi="Times New Roman"/>
                <w:sz w:val="11"/>
                <w:szCs w:val="11"/>
                <w:color w:val="auto"/>
                <w:w w:val="90"/>
              </w:rPr>
              <w:t>—</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6,051</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17"/>
        </w:trPr>
        <w:tc>
          <w:tcPr>
            <w:tcW w:w="2320" w:type="dxa"/>
            <w:vAlign w:val="bottom"/>
          </w:tcPr>
          <w:p>
            <w:pPr>
              <w:ind w:left="20"/>
              <w:spacing w:after="0" w:line="117" w:lineRule="exact"/>
              <w:rPr>
                <w:sz w:val="20"/>
                <w:szCs w:val="20"/>
                <w:color w:val="auto"/>
              </w:rPr>
            </w:pPr>
            <w:r>
              <w:rPr>
                <w:rFonts w:ascii="Times New Roman" w:cs="Times New Roman" w:eastAsia="Times New Roman" w:hAnsi="Times New Roman"/>
                <w:sz w:val="11"/>
                <w:szCs w:val="11"/>
                <w:color w:val="auto"/>
              </w:rPr>
              <w:t>Gauge InfosoftCoInvest, LLC</w:t>
            </w:r>
          </w:p>
        </w:tc>
        <w:tc>
          <w:tcPr>
            <w:tcW w:w="120" w:type="dxa"/>
            <w:vAlign w:val="bottom"/>
          </w:tcPr>
          <w:p>
            <w:pPr>
              <w:spacing w:after="0"/>
              <w:rPr>
                <w:sz w:val="10"/>
                <w:szCs w:val="10"/>
                <w:color w:val="auto"/>
              </w:rPr>
            </w:pPr>
          </w:p>
        </w:tc>
        <w:tc>
          <w:tcPr>
            <w:tcW w:w="1080" w:type="dxa"/>
            <w:vAlign w:val="bottom"/>
            <w:gridSpan w:val="3"/>
          </w:tcPr>
          <w:p>
            <w:pPr>
              <w:ind w:left="600"/>
              <w:spacing w:after="0" w:line="117" w:lineRule="exact"/>
              <w:rPr>
                <w:sz w:val="20"/>
                <w:szCs w:val="20"/>
                <w:color w:val="auto"/>
              </w:rPr>
            </w:pPr>
            <w:r>
              <w:rPr>
                <w:rFonts w:ascii="Times New Roman" w:cs="Times New Roman" w:eastAsia="Times New Roman" w:hAnsi="Times New Roman"/>
                <w:sz w:val="11"/>
                <w:szCs w:val="11"/>
                <w:color w:val="auto"/>
              </w:rPr>
              <w:t>—</w:t>
            </w:r>
          </w:p>
        </w:tc>
        <w:tc>
          <w:tcPr>
            <w:tcW w:w="2460" w:type="dxa"/>
            <w:vAlign w:val="bottom"/>
          </w:tcPr>
          <w:p>
            <w:pPr>
              <w:jc w:val="center"/>
              <w:ind w:right="66"/>
              <w:spacing w:after="0" w:line="117" w:lineRule="exact"/>
              <w:rPr>
                <w:sz w:val="20"/>
                <w:szCs w:val="20"/>
                <w:color w:val="auto"/>
              </w:rPr>
            </w:pPr>
            <w:r>
              <w:rPr>
                <w:rFonts w:ascii="Times New Roman" w:cs="Times New Roman" w:eastAsia="Times New Roman" w:hAnsi="Times New Roman"/>
                <w:sz w:val="11"/>
                <w:szCs w:val="11"/>
                <w:color w:val="auto"/>
                <w:w w:val="98"/>
              </w:rPr>
              <w:t>Media: Broadcasting and Subscription</w:t>
            </w:r>
          </w:p>
        </w:tc>
        <w:tc>
          <w:tcPr>
            <w:tcW w:w="120" w:type="dxa"/>
            <w:vAlign w:val="bottom"/>
          </w:tcPr>
          <w:p>
            <w:pPr>
              <w:spacing w:after="0"/>
              <w:rPr>
                <w:sz w:val="10"/>
                <w:szCs w:val="10"/>
                <w:color w:val="auto"/>
              </w:rPr>
            </w:pPr>
          </w:p>
        </w:tc>
        <w:tc>
          <w:tcPr>
            <w:tcW w:w="1200" w:type="dxa"/>
            <w:vAlign w:val="bottom"/>
            <w:gridSpan w:val="2"/>
          </w:tcPr>
          <w:p>
            <w:pPr>
              <w:jc w:val="right"/>
              <w:ind w:right="240"/>
              <w:spacing w:after="0" w:line="117" w:lineRule="exact"/>
              <w:rPr>
                <w:sz w:val="20"/>
                <w:szCs w:val="20"/>
                <w:color w:val="auto"/>
              </w:rPr>
            </w:pPr>
            <w:r>
              <w:rPr>
                <w:rFonts w:ascii="Times New Roman" w:cs="Times New Roman" w:eastAsia="Times New Roman" w:hAnsi="Times New Roman"/>
                <w:sz w:val="11"/>
                <w:szCs w:val="11"/>
                <w:color w:val="auto"/>
              </w:rPr>
              <w:t>—</w:t>
            </w:r>
          </w:p>
        </w:tc>
        <w:tc>
          <w:tcPr>
            <w:tcW w:w="780" w:type="dxa"/>
            <w:vAlign w:val="bottom"/>
          </w:tcPr>
          <w:p>
            <w:pPr>
              <w:ind w:left="660"/>
              <w:spacing w:after="0" w:line="117" w:lineRule="exact"/>
              <w:rPr>
                <w:sz w:val="20"/>
                <w:szCs w:val="20"/>
                <w:color w:val="auto"/>
              </w:rPr>
            </w:pPr>
            <w:r>
              <w:rPr>
                <w:rFonts w:ascii="Times New Roman" w:cs="Times New Roman" w:eastAsia="Times New Roman" w:hAnsi="Times New Roman"/>
                <w:sz w:val="11"/>
                <w:szCs w:val="11"/>
                <w:color w:val="auto"/>
                <w:w w:val="90"/>
              </w:rPr>
              <w:t>—</w:t>
            </w:r>
          </w:p>
        </w:tc>
        <w:tc>
          <w:tcPr>
            <w:tcW w:w="104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1"/>
                <w:szCs w:val="11"/>
                <w:color w:val="auto"/>
              </w:rPr>
              <w:t>500</w:t>
            </w: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144</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2,217</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320" w:type="dxa"/>
            <w:vAlign w:val="bottom"/>
          </w:tcPr>
          <w:p>
            <w:pPr>
              <w:ind w:left="100"/>
              <w:spacing w:after="0" w:line="135" w:lineRule="exact"/>
              <w:rPr>
                <w:sz w:val="20"/>
                <w:szCs w:val="20"/>
                <w:color w:val="auto"/>
              </w:rPr>
            </w:pPr>
            <w:r>
              <w:rPr>
                <w:rFonts w:ascii="Times New Roman" w:cs="Times New Roman" w:eastAsia="Times New Roman" w:hAnsi="Times New Roman"/>
                <w:sz w:val="11"/>
                <w:szCs w:val="11"/>
                <w:color w:val="auto"/>
              </w:rPr>
              <w:t xml:space="preserve">(The Infosoft Group, LLC) </w:t>
            </w:r>
            <w:r>
              <w:rPr>
                <w:rFonts w:ascii="Times New Roman" w:cs="Times New Roman" w:eastAsia="Times New Roman" w:hAnsi="Times New Roman"/>
                <w:sz w:val="14"/>
                <w:szCs w:val="14"/>
                <w:color w:val="auto"/>
                <w:vertAlign w:val="superscript"/>
              </w:rPr>
              <w:t>(7)</w:t>
            </w: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32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Gauge Lash Coinvest LLC </w:t>
            </w:r>
            <w:r>
              <w:rPr>
                <w:rFonts w:ascii="Times New Roman" w:cs="Times New Roman" w:eastAsia="Times New Roman" w:hAnsi="Times New Roman"/>
                <w:sz w:val="14"/>
                <w:szCs w:val="14"/>
                <w:color w:val="auto"/>
                <w:vertAlign w:val="superscript"/>
              </w:rPr>
              <w:t>(7)</w:t>
            </w:r>
          </w:p>
        </w:tc>
        <w:tc>
          <w:tcPr>
            <w:tcW w:w="120" w:type="dxa"/>
            <w:vAlign w:val="bottom"/>
          </w:tcPr>
          <w:p>
            <w:pPr>
              <w:spacing w:after="0"/>
              <w:rPr>
                <w:sz w:val="11"/>
                <w:szCs w:val="11"/>
                <w:color w:val="auto"/>
              </w:rPr>
            </w:pPr>
          </w:p>
        </w:tc>
        <w:tc>
          <w:tcPr>
            <w:tcW w:w="1080" w:type="dxa"/>
            <w:vAlign w:val="bottom"/>
            <w:gridSpan w:val="3"/>
          </w:tcPr>
          <w:p>
            <w:pPr>
              <w:ind w:left="600"/>
              <w:spacing w:after="0"/>
              <w:rPr>
                <w:sz w:val="20"/>
                <w:szCs w:val="20"/>
                <w:color w:val="auto"/>
              </w:rPr>
            </w:pPr>
            <w:r>
              <w:rPr>
                <w:rFonts w:ascii="Times New Roman" w:cs="Times New Roman" w:eastAsia="Times New Roman" w:hAnsi="Times New Roman"/>
                <w:sz w:val="11"/>
                <w:szCs w:val="11"/>
                <w:color w:val="auto"/>
              </w:rPr>
              <w:t>—</w:t>
            </w:r>
          </w:p>
        </w:tc>
        <w:tc>
          <w:tcPr>
            <w:tcW w:w="2460" w:type="dxa"/>
            <w:vAlign w:val="bottom"/>
          </w:tcPr>
          <w:p>
            <w:pPr>
              <w:jc w:val="center"/>
              <w:ind w:right="46"/>
              <w:spacing w:after="0"/>
              <w:rPr>
                <w:sz w:val="20"/>
                <w:szCs w:val="20"/>
                <w:color w:val="auto"/>
              </w:rPr>
            </w:pPr>
            <w:r>
              <w:rPr>
                <w:rFonts w:ascii="Times New Roman" w:cs="Times New Roman" w:eastAsia="Times New Roman" w:hAnsi="Times New Roman"/>
                <w:sz w:val="11"/>
                <w:szCs w:val="11"/>
                <w:color w:val="auto"/>
                <w:w w:val="95"/>
              </w:rPr>
              <w:t>Personal Products</w:t>
            </w:r>
          </w:p>
        </w:tc>
        <w:tc>
          <w:tcPr>
            <w:tcW w:w="120" w:type="dxa"/>
            <w:vAlign w:val="bottom"/>
          </w:tcPr>
          <w:p>
            <w:pPr>
              <w:spacing w:after="0"/>
              <w:rPr>
                <w:sz w:val="11"/>
                <w:szCs w:val="11"/>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Pr>
          <w:p>
            <w:pPr>
              <w:ind w:left="660"/>
              <w:spacing w:after="0"/>
              <w:rPr>
                <w:sz w:val="20"/>
                <w:szCs w:val="20"/>
                <w:color w:val="auto"/>
              </w:rPr>
            </w:pPr>
            <w:r>
              <w:rPr>
                <w:rFonts w:ascii="Times New Roman" w:cs="Times New Roman" w:eastAsia="Times New Roman" w:hAnsi="Times New Roman"/>
                <w:sz w:val="11"/>
                <w:szCs w:val="11"/>
                <w:color w:val="auto"/>
                <w:w w:val="90"/>
              </w:rPr>
              <w:t>—</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1,485,953</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227</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5,944</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320" w:type="dxa"/>
            <w:vAlign w:val="bottom"/>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Gauge Schlesinger Coinvest LLC </w:t>
            </w:r>
            <w:r>
              <w:rPr>
                <w:rFonts w:ascii="Times New Roman" w:cs="Times New Roman" w:eastAsia="Times New Roman" w:hAnsi="Times New Roman"/>
                <w:sz w:val="14"/>
                <w:szCs w:val="14"/>
                <w:color w:val="auto"/>
                <w:vertAlign w:val="superscript"/>
              </w:rPr>
              <w:t>(7)</w:t>
            </w:r>
          </w:p>
        </w:tc>
        <w:tc>
          <w:tcPr>
            <w:tcW w:w="120" w:type="dxa"/>
            <w:vAlign w:val="bottom"/>
          </w:tcPr>
          <w:p>
            <w:pPr>
              <w:spacing w:after="0"/>
              <w:rPr>
                <w:sz w:val="13"/>
                <w:szCs w:val="13"/>
                <w:color w:val="auto"/>
              </w:rPr>
            </w:pPr>
          </w:p>
        </w:tc>
        <w:tc>
          <w:tcPr>
            <w:tcW w:w="1080" w:type="dxa"/>
            <w:vAlign w:val="bottom"/>
            <w:gridSpan w:val="3"/>
          </w:tcPr>
          <w:p>
            <w:pPr>
              <w:ind w:left="600"/>
              <w:spacing w:after="0"/>
              <w:rPr>
                <w:sz w:val="20"/>
                <w:szCs w:val="20"/>
                <w:color w:val="auto"/>
              </w:rPr>
            </w:pPr>
            <w:r>
              <w:rPr>
                <w:rFonts w:ascii="Times New Roman" w:cs="Times New Roman" w:eastAsia="Times New Roman" w:hAnsi="Times New Roman"/>
                <w:sz w:val="11"/>
                <w:szCs w:val="11"/>
                <w:color w:val="auto"/>
              </w:rPr>
              <w:t>—</w:t>
            </w:r>
          </w:p>
        </w:tc>
        <w:tc>
          <w:tcPr>
            <w:tcW w:w="2460" w:type="dxa"/>
            <w:vAlign w:val="bottom"/>
          </w:tcPr>
          <w:p>
            <w:pPr>
              <w:jc w:val="center"/>
              <w:ind w:right="46"/>
              <w:spacing w:after="0"/>
              <w:rPr>
                <w:sz w:val="20"/>
                <w:szCs w:val="20"/>
                <w:color w:val="auto"/>
              </w:rPr>
            </w:pPr>
            <w:r>
              <w:rPr>
                <w:rFonts w:ascii="Times New Roman" w:cs="Times New Roman" w:eastAsia="Times New Roman" w:hAnsi="Times New Roman"/>
                <w:sz w:val="11"/>
                <w:szCs w:val="11"/>
                <w:color w:val="auto"/>
                <w:w w:val="97"/>
              </w:rPr>
              <w:t>Professional Services</w:t>
            </w:r>
          </w:p>
        </w:tc>
        <w:tc>
          <w:tcPr>
            <w:tcW w:w="120" w:type="dxa"/>
            <w:vAlign w:val="bottom"/>
          </w:tcPr>
          <w:p>
            <w:pPr>
              <w:spacing w:after="0"/>
              <w:rPr>
                <w:sz w:val="13"/>
                <w:szCs w:val="13"/>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Pr>
          <w:p>
            <w:pPr>
              <w:ind w:left="660"/>
              <w:spacing w:after="0"/>
              <w:rPr>
                <w:sz w:val="20"/>
                <w:szCs w:val="20"/>
                <w:color w:val="auto"/>
              </w:rPr>
            </w:pPr>
            <w:r>
              <w:rPr>
                <w:rFonts w:ascii="Times New Roman" w:cs="Times New Roman" w:eastAsia="Times New Roman" w:hAnsi="Times New Roman"/>
                <w:sz w:val="11"/>
                <w:szCs w:val="11"/>
                <w:color w:val="auto"/>
                <w:w w:val="90"/>
              </w:rPr>
              <w:t>—</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437</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437</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440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2320" w:type="dxa"/>
            <w:vAlign w:val="bottom"/>
          </w:tcPr>
          <w:p>
            <w:pPr>
              <w:ind w:left="20"/>
              <w:spacing w:after="0" w:line="109" w:lineRule="exact"/>
              <w:rPr>
                <w:sz w:val="20"/>
                <w:szCs w:val="20"/>
                <w:color w:val="auto"/>
              </w:rPr>
            </w:pPr>
            <w:r>
              <w:rPr>
                <w:rFonts w:ascii="Times New Roman" w:cs="Times New Roman" w:eastAsia="Times New Roman" w:hAnsi="Times New Roman"/>
                <w:sz w:val="11"/>
                <w:szCs w:val="11"/>
                <w:color w:val="auto"/>
                <w:w w:val="98"/>
              </w:rPr>
              <w:t>Gauge TVC Coinvest, LLC (TVC Enterprises, LLC)</w:t>
            </w:r>
          </w:p>
        </w:tc>
        <w:tc>
          <w:tcPr>
            <w:tcW w:w="120" w:type="dxa"/>
            <w:vAlign w:val="bottom"/>
          </w:tcPr>
          <w:p>
            <w:pPr>
              <w:spacing w:after="0"/>
              <w:rPr>
                <w:sz w:val="9"/>
                <w:szCs w:val="9"/>
                <w:color w:val="auto"/>
              </w:rPr>
            </w:pPr>
          </w:p>
        </w:tc>
        <w:tc>
          <w:tcPr>
            <w:tcW w:w="1080" w:type="dxa"/>
            <w:vAlign w:val="bottom"/>
            <w:gridSpan w:val="3"/>
          </w:tcPr>
          <w:p>
            <w:pPr>
              <w:ind w:left="600"/>
              <w:spacing w:after="0" w:line="109" w:lineRule="exact"/>
              <w:rPr>
                <w:sz w:val="20"/>
                <w:szCs w:val="20"/>
                <w:color w:val="auto"/>
              </w:rPr>
            </w:pPr>
            <w:r>
              <w:rPr>
                <w:rFonts w:ascii="Times New Roman" w:cs="Times New Roman" w:eastAsia="Times New Roman" w:hAnsi="Times New Roman"/>
                <w:sz w:val="11"/>
                <w:szCs w:val="11"/>
                <w:color w:val="auto"/>
              </w:rPr>
              <w:t>—</w:t>
            </w:r>
          </w:p>
        </w:tc>
        <w:tc>
          <w:tcPr>
            <w:tcW w:w="2460" w:type="dxa"/>
            <w:vAlign w:val="bottom"/>
          </w:tcPr>
          <w:p>
            <w:pPr>
              <w:jc w:val="center"/>
              <w:ind w:right="46"/>
              <w:spacing w:after="0" w:line="109" w:lineRule="exact"/>
              <w:rPr>
                <w:sz w:val="20"/>
                <w:szCs w:val="20"/>
                <w:color w:val="auto"/>
              </w:rPr>
            </w:pPr>
            <w:r>
              <w:rPr>
                <w:rFonts w:ascii="Times New Roman" w:cs="Times New Roman" w:eastAsia="Times New Roman" w:hAnsi="Times New Roman"/>
                <w:sz w:val="11"/>
                <w:szCs w:val="11"/>
                <w:color w:val="auto"/>
                <w:w w:val="97"/>
              </w:rPr>
              <w:t>Professional Services</w:t>
            </w:r>
          </w:p>
        </w:tc>
        <w:tc>
          <w:tcPr>
            <w:tcW w:w="120" w:type="dxa"/>
            <w:vAlign w:val="bottom"/>
          </w:tcPr>
          <w:p>
            <w:pPr>
              <w:spacing w:after="0"/>
              <w:rPr>
                <w:sz w:val="9"/>
                <w:szCs w:val="9"/>
                <w:color w:val="auto"/>
              </w:rPr>
            </w:pPr>
          </w:p>
        </w:tc>
        <w:tc>
          <w:tcPr>
            <w:tcW w:w="1200" w:type="dxa"/>
            <w:vAlign w:val="bottom"/>
            <w:gridSpan w:val="2"/>
          </w:tcPr>
          <w:p>
            <w:pPr>
              <w:jc w:val="right"/>
              <w:ind w:right="240"/>
              <w:spacing w:after="0" w:line="109" w:lineRule="exact"/>
              <w:rPr>
                <w:sz w:val="20"/>
                <w:szCs w:val="20"/>
                <w:color w:val="auto"/>
              </w:rPr>
            </w:pPr>
            <w:r>
              <w:rPr>
                <w:rFonts w:ascii="Times New Roman" w:cs="Times New Roman" w:eastAsia="Times New Roman" w:hAnsi="Times New Roman"/>
                <w:sz w:val="11"/>
                <w:szCs w:val="11"/>
                <w:color w:val="auto"/>
              </w:rPr>
              <w:t>—</w:t>
            </w:r>
          </w:p>
        </w:tc>
        <w:tc>
          <w:tcPr>
            <w:tcW w:w="780" w:type="dxa"/>
            <w:vAlign w:val="bottom"/>
          </w:tcPr>
          <w:p>
            <w:pPr>
              <w:ind w:left="660"/>
              <w:spacing w:after="0" w:line="109" w:lineRule="exact"/>
              <w:rPr>
                <w:sz w:val="20"/>
                <w:szCs w:val="20"/>
                <w:color w:val="auto"/>
              </w:rPr>
            </w:pPr>
            <w:r>
              <w:rPr>
                <w:rFonts w:ascii="Times New Roman" w:cs="Times New Roman" w:eastAsia="Times New Roman" w:hAnsi="Times New Roman"/>
                <w:sz w:val="11"/>
                <w:szCs w:val="11"/>
                <w:color w:val="auto"/>
                <w:w w:val="90"/>
              </w:rPr>
              <w:t>—</w:t>
            </w:r>
          </w:p>
        </w:tc>
        <w:tc>
          <w:tcPr>
            <w:tcW w:w="1040" w:type="dxa"/>
            <w:vAlign w:val="bottom"/>
            <w:gridSpan w:val="2"/>
          </w:tcPr>
          <w:p>
            <w:pPr>
              <w:jc w:val="right"/>
              <w:spacing w:after="0" w:line="109" w:lineRule="exact"/>
              <w:rPr>
                <w:sz w:val="20"/>
                <w:szCs w:val="20"/>
                <w:color w:val="auto"/>
              </w:rPr>
            </w:pPr>
            <w:r>
              <w:rPr>
                <w:rFonts w:ascii="Times New Roman" w:cs="Times New Roman" w:eastAsia="Times New Roman" w:hAnsi="Times New Roman"/>
                <w:sz w:val="11"/>
                <w:szCs w:val="11"/>
                <w:color w:val="auto"/>
              </w:rPr>
              <w:t>391,144</w:t>
            </w: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tcPr>
          <w:p>
            <w:pPr>
              <w:jc w:val="right"/>
              <w:spacing w:after="0" w:line="109"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jc w:val="right"/>
              <w:spacing w:after="0" w:line="109" w:lineRule="exact"/>
              <w:rPr>
                <w:sz w:val="20"/>
                <w:szCs w:val="20"/>
                <w:color w:val="auto"/>
              </w:rPr>
            </w:pPr>
            <w:r>
              <w:rPr>
                <w:rFonts w:ascii="Times New Roman" w:cs="Times New Roman" w:eastAsia="Times New Roman" w:hAnsi="Times New Roman"/>
                <w:sz w:val="11"/>
                <w:szCs w:val="11"/>
                <w:color w:val="auto"/>
              </w:rPr>
              <w:t>1,285</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2320" w:type="dxa"/>
            <w:vAlign w:val="bottom"/>
          </w:tcPr>
          <w:p>
            <w:pPr>
              <w:ind w:left="20"/>
              <w:spacing w:after="0"/>
              <w:rPr>
                <w:sz w:val="20"/>
                <w:szCs w:val="20"/>
                <w:color w:val="auto"/>
              </w:rPr>
            </w:pPr>
            <w:r>
              <w:rPr>
                <w:rFonts w:ascii="Times New Roman" w:cs="Times New Roman" w:eastAsia="Times New Roman" w:hAnsi="Times New Roman"/>
                <w:sz w:val="7"/>
                <w:szCs w:val="7"/>
                <w:color w:val="auto"/>
              </w:rPr>
              <w:t>(7)</w:t>
            </w:r>
          </w:p>
        </w:tc>
        <w:tc>
          <w:tcPr>
            <w:tcW w:w="120" w:type="dxa"/>
            <w:vAlign w:val="bottom"/>
          </w:tcPr>
          <w:p>
            <w:pPr>
              <w:spacing w:after="0"/>
              <w:rPr>
                <w:sz w:val="7"/>
                <w:szCs w:val="7"/>
                <w:color w:val="auto"/>
              </w:rPr>
            </w:pPr>
          </w:p>
        </w:tc>
        <w:tc>
          <w:tcPr>
            <w:tcW w:w="720" w:type="dxa"/>
            <w:vAlign w:val="bottom"/>
          </w:tcPr>
          <w:p>
            <w:pPr>
              <w:spacing w:after="0"/>
              <w:rPr>
                <w:sz w:val="7"/>
                <w:szCs w:val="7"/>
                <w:color w:val="auto"/>
              </w:rPr>
            </w:pPr>
          </w:p>
        </w:tc>
        <w:tc>
          <w:tcPr>
            <w:tcW w:w="2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460" w:type="dxa"/>
            <w:vAlign w:val="bottom"/>
          </w:tcPr>
          <w:p>
            <w:pPr>
              <w:spacing w:after="0"/>
              <w:rPr>
                <w:sz w:val="7"/>
                <w:szCs w:val="7"/>
                <w:color w:val="auto"/>
              </w:rPr>
            </w:pPr>
          </w:p>
        </w:tc>
        <w:tc>
          <w:tcPr>
            <w:tcW w:w="120" w:type="dxa"/>
            <w:vAlign w:val="bottom"/>
          </w:tcPr>
          <w:p>
            <w:pPr>
              <w:spacing w:after="0"/>
              <w:rPr>
                <w:sz w:val="7"/>
                <w:szCs w:val="7"/>
                <w:color w:val="auto"/>
              </w:rPr>
            </w:pPr>
          </w:p>
        </w:tc>
        <w:tc>
          <w:tcPr>
            <w:tcW w:w="980" w:type="dxa"/>
            <w:vAlign w:val="bottom"/>
          </w:tcPr>
          <w:p>
            <w:pPr>
              <w:spacing w:after="0"/>
              <w:rPr>
                <w:sz w:val="7"/>
                <w:szCs w:val="7"/>
                <w:color w:val="auto"/>
              </w:rPr>
            </w:pPr>
          </w:p>
        </w:tc>
        <w:tc>
          <w:tcPr>
            <w:tcW w:w="220" w:type="dxa"/>
            <w:vAlign w:val="bottom"/>
          </w:tcPr>
          <w:p>
            <w:pPr>
              <w:spacing w:after="0"/>
              <w:rPr>
                <w:sz w:val="7"/>
                <w:szCs w:val="7"/>
                <w:color w:val="auto"/>
              </w:rPr>
            </w:pPr>
          </w:p>
        </w:tc>
        <w:tc>
          <w:tcPr>
            <w:tcW w:w="780" w:type="dxa"/>
            <w:vAlign w:val="bottom"/>
          </w:tcPr>
          <w:p>
            <w:pPr>
              <w:spacing w:after="0"/>
              <w:rPr>
                <w:sz w:val="7"/>
                <w:szCs w:val="7"/>
                <w:color w:val="auto"/>
              </w:rPr>
            </w:pPr>
          </w:p>
        </w:tc>
        <w:tc>
          <w:tcPr>
            <w:tcW w:w="220" w:type="dxa"/>
            <w:vAlign w:val="bottom"/>
          </w:tcPr>
          <w:p>
            <w:pPr>
              <w:spacing w:after="0"/>
              <w:rPr>
                <w:sz w:val="7"/>
                <w:szCs w:val="7"/>
                <w:color w:val="auto"/>
              </w:rPr>
            </w:pPr>
          </w:p>
        </w:tc>
        <w:tc>
          <w:tcPr>
            <w:tcW w:w="8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7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232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GCOM InvestCo LP </w:t>
            </w:r>
            <w:r>
              <w:rPr>
                <w:rFonts w:ascii="Times New Roman" w:cs="Times New Roman" w:eastAsia="Times New Roman" w:hAnsi="Times New Roman"/>
                <w:sz w:val="14"/>
                <w:szCs w:val="14"/>
                <w:color w:val="auto"/>
                <w:vertAlign w:val="superscript"/>
              </w:rPr>
              <w:t>(7),(8)</w:t>
            </w:r>
          </w:p>
        </w:tc>
        <w:tc>
          <w:tcPr>
            <w:tcW w:w="120" w:type="dxa"/>
            <w:vAlign w:val="bottom"/>
          </w:tcPr>
          <w:p>
            <w:pPr>
              <w:spacing w:after="0"/>
              <w:rPr>
                <w:sz w:val="11"/>
                <w:szCs w:val="11"/>
                <w:color w:val="auto"/>
              </w:rPr>
            </w:pPr>
          </w:p>
        </w:tc>
        <w:tc>
          <w:tcPr>
            <w:tcW w:w="1080" w:type="dxa"/>
            <w:vAlign w:val="bottom"/>
            <w:gridSpan w:val="3"/>
          </w:tcPr>
          <w:p>
            <w:pPr>
              <w:ind w:left="600"/>
              <w:spacing w:after="0"/>
              <w:rPr>
                <w:sz w:val="20"/>
                <w:szCs w:val="20"/>
                <w:color w:val="auto"/>
              </w:rPr>
            </w:pPr>
            <w:r>
              <w:rPr>
                <w:rFonts w:ascii="Times New Roman" w:cs="Times New Roman" w:eastAsia="Times New Roman" w:hAnsi="Times New Roman"/>
                <w:sz w:val="11"/>
                <w:szCs w:val="11"/>
                <w:color w:val="auto"/>
              </w:rPr>
              <w:t>—</w:t>
            </w:r>
          </w:p>
        </w:tc>
        <w:tc>
          <w:tcPr>
            <w:tcW w:w="2460" w:type="dxa"/>
            <w:vAlign w:val="bottom"/>
          </w:tcPr>
          <w:p>
            <w:pPr>
              <w:jc w:val="center"/>
              <w:ind w:right="46"/>
              <w:spacing w:after="0"/>
              <w:rPr>
                <w:sz w:val="20"/>
                <w:szCs w:val="20"/>
                <w:color w:val="auto"/>
              </w:rPr>
            </w:pPr>
            <w:r>
              <w:rPr>
                <w:rFonts w:ascii="Times New Roman" w:cs="Times New Roman" w:eastAsia="Times New Roman" w:hAnsi="Times New Roman"/>
                <w:sz w:val="11"/>
                <w:szCs w:val="11"/>
                <w:color w:val="auto"/>
                <w:w w:val="95"/>
              </w:rPr>
              <w:t>IT Services</w:t>
            </w:r>
          </w:p>
        </w:tc>
        <w:tc>
          <w:tcPr>
            <w:tcW w:w="120" w:type="dxa"/>
            <w:vAlign w:val="bottom"/>
          </w:tcPr>
          <w:p>
            <w:pPr>
              <w:spacing w:after="0"/>
              <w:rPr>
                <w:sz w:val="11"/>
                <w:szCs w:val="11"/>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Pr>
          <w:p>
            <w:pPr>
              <w:ind w:left="660"/>
              <w:spacing w:after="0"/>
              <w:rPr>
                <w:sz w:val="20"/>
                <w:szCs w:val="20"/>
                <w:color w:val="auto"/>
              </w:rPr>
            </w:pPr>
            <w:r>
              <w:rPr>
                <w:rFonts w:ascii="Times New Roman" w:cs="Times New Roman" w:eastAsia="Times New Roman" w:hAnsi="Times New Roman"/>
                <w:sz w:val="11"/>
                <w:szCs w:val="11"/>
                <w:color w:val="auto"/>
                <w:w w:val="90"/>
              </w:rPr>
              <w:t>—</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17,951</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2,930</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3,404</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320" w:type="dxa"/>
            <w:vAlign w:val="bottom"/>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GCOM InvestCo LP </w:t>
            </w:r>
            <w:r>
              <w:rPr>
                <w:rFonts w:ascii="Times New Roman" w:cs="Times New Roman" w:eastAsia="Times New Roman" w:hAnsi="Times New Roman"/>
                <w:sz w:val="14"/>
                <w:szCs w:val="14"/>
                <w:color w:val="auto"/>
                <w:vertAlign w:val="superscript"/>
              </w:rPr>
              <w:t>(7), (8), (9)</w:t>
            </w:r>
          </w:p>
        </w:tc>
        <w:tc>
          <w:tcPr>
            <w:tcW w:w="120" w:type="dxa"/>
            <w:vAlign w:val="bottom"/>
          </w:tcPr>
          <w:p>
            <w:pPr>
              <w:spacing w:after="0"/>
              <w:rPr>
                <w:sz w:val="13"/>
                <w:szCs w:val="13"/>
                <w:color w:val="auto"/>
              </w:rPr>
            </w:pPr>
          </w:p>
        </w:tc>
        <w:tc>
          <w:tcPr>
            <w:tcW w:w="1080" w:type="dxa"/>
            <w:vAlign w:val="bottom"/>
            <w:gridSpan w:val="3"/>
          </w:tcPr>
          <w:p>
            <w:pPr>
              <w:ind w:left="600"/>
              <w:spacing w:after="0"/>
              <w:rPr>
                <w:sz w:val="20"/>
                <w:szCs w:val="20"/>
                <w:color w:val="auto"/>
              </w:rPr>
            </w:pPr>
            <w:r>
              <w:rPr>
                <w:rFonts w:ascii="Times New Roman" w:cs="Times New Roman" w:eastAsia="Times New Roman" w:hAnsi="Times New Roman"/>
                <w:sz w:val="11"/>
                <w:szCs w:val="11"/>
                <w:color w:val="auto"/>
              </w:rPr>
              <w:t>—</w:t>
            </w:r>
          </w:p>
        </w:tc>
        <w:tc>
          <w:tcPr>
            <w:tcW w:w="2460" w:type="dxa"/>
            <w:vAlign w:val="bottom"/>
          </w:tcPr>
          <w:p>
            <w:pPr>
              <w:jc w:val="center"/>
              <w:ind w:right="46"/>
              <w:spacing w:after="0"/>
              <w:rPr>
                <w:sz w:val="20"/>
                <w:szCs w:val="20"/>
                <w:color w:val="auto"/>
              </w:rPr>
            </w:pPr>
            <w:r>
              <w:rPr>
                <w:rFonts w:ascii="Times New Roman" w:cs="Times New Roman" w:eastAsia="Times New Roman" w:hAnsi="Times New Roman"/>
                <w:sz w:val="11"/>
                <w:szCs w:val="11"/>
                <w:color w:val="auto"/>
                <w:w w:val="95"/>
              </w:rPr>
              <w:t>IT Services</w:t>
            </w:r>
          </w:p>
        </w:tc>
        <w:tc>
          <w:tcPr>
            <w:tcW w:w="120" w:type="dxa"/>
            <w:vAlign w:val="bottom"/>
          </w:tcPr>
          <w:p>
            <w:pPr>
              <w:spacing w:after="0"/>
              <w:rPr>
                <w:sz w:val="13"/>
                <w:szCs w:val="13"/>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Pr>
          <w:p>
            <w:pPr>
              <w:ind w:left="660"/>
              <w:spacing w:after="0"/>
              <w:rPr>
                <w:sz w:val="20"/>
                <w:szCs w:val="20"/>
                <w:color w:val="auto"/>
              </w:rPr>
            </w:pPr>
            <w:r>
              <w:rPr>
                <w:rFonts w:ascii="Times New Roman" w:cs="Times New Roman" w:eastAsia="Times New Roman" w:hAnsi="Times New Roman"/>
                <w:sz w:val="11"/>
                <w:szCs w:val="11"/>
                <w:color w:val="auto"/>
                <w:w w:val="90"/>
              </w:rPr>
              <w:t>—</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2,398</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17"/>
        </w:trPr>
        <w:tc>
          <w:tcPr>
            <w:tcW w:w="2320" w:type="dxa"/>
            <w:vAlign w:val="bottom"/>
          </w:tcPr>
          <w:p>
            <w:pPr>
              <w:ind w:left="20"/>
              <w:spacing w:after="0" w:line="117" w:lineRule="exact"/>
              <w:rPr>
                <w:sz w:val="20"/>
                <w:szCs w:val="20"/>
                <w:color w:val="auto"/>
              </w:rPr>
            </w:pPr>
            <w:r>
              <w:rPr>
                <w:rFonts w:ascii="Times New Roman" w:cs="Times New Roman" w:eastAsia="Times New Roman" w:hAnsi="Times New Roman"/>
                <w:sz w:val="11"/>
                <w:szCs w:val="11"/>
                <w:color w:val="auto"/>
              </w:rPr>
              <w:t>Go Dawgs Capital III, LP</w:t>
            </w:r>
          </w:p>
        </w:tc>
        <w:tc>
          <w:tcPr>
            <w:tcW w:w="120" w:type="dxa"/>
            <w:vAlign w:val="bottom"/>
          </w:tcPr>
          <w:p>
            <w:pPr>
              <w:spacing w:after="0"/>
              <w:rPr>
                <w:sz w:val="10"/>
                <w:szCs w:val="10"/>
                <w:color w:val="auto"/>
              </w:rPr>
            </w:pPr>
          </w:p>
        </w:tc>
        <w:tc>
          <w:tcPr>
            <w:tcW w:w="1080" w:type="dxa"/>
            <w:vAlign w:val="bottom"/>
            <w:gridSpan w:val="3"/>
          </w:tcPr>
          <w:p>
            <w:pPr>
              <w:ind w:left="600"/>
              <w:spacing w:after="0" w:line="117" w:lineRule="exact"/>
              <w:rPr>
                <w:sz w:val="20"/>
                <w:szCs w:val="20"/>
                <w:color w:val="auto"/>
              </w:rPr>
            </w:pPr>
            <w:r>
              <w:rPr>
                <w:rFonts w:ascii="Times New Roman" w:cs="Times New Roman" w:eastAsia="Times New Roman" w:hAnsi="Times New Roman"/>
                <w:sz w:val="11"/>
                <w:szCs w:val="11"/>
                <w:color w:val="auto"/>
              </w:rPr>
              <w:t>—</w:t>
            </w:r>
          </w:p>
        </w:tc>
        <w:tc>
          <w:tcPr>
            <w:tcW w:w="2460" w:type="dxa"/>
            <w:vAlign w:val="bottom"/>
          </w:tcPr>
          <w:p>
            <w:pPr>
              <w:jc w:val="center"/>
              <w:ind w:right="46"/>
              <w:spacing w:after="0" w:line="117" w:lineRule="exact"/>
              <w:rPr>
                <w:sz w:val="20"/>
                <w:szCs w:val="20"/>
                <w:color w:val="auto"/>
              </w:rPr>
            </w:pPr>
            <w:r>
              <w:rPr>
                <w:rFonts w:ascii="Times New Roman" w:cs="Times New Roman" w:eastAsia="Times New Roman" w:hAnsi="Times New Roman"/>
                <w:sz w:val="11"/>
                <w:szCs w:val="11"/>
                <w:color w:val="auto"/>
              </w:rPr>
              <w:t>Building Products</w:t>
            </w:r>
          </w:p>
        </w:tc>
        <w:tc>
          <w:tcPr>
            <w:tcW w:w="120" w:type="dxa"/>
            <w:vAlign w:val="bottom"/>
          </w:tcPr>
          <w:p>
            <w:pPr>
              <w:spacing w:after="0"/>
              <w:rPr>
                <w:sz w:val="10"/>
                <w:szCs w:val="10"/>
                <w:color w:val="auto"/>
              </w:rPr>
            </w:pPr>
          </w:p>
        </w:tc>
        <w:tc>
          <w:tcPr>
            <w:tcW w:w="1200" w:type="dxa"/>
            <w:vAlign w:val="bottom"/>
            <w:gridSpan w:val="2"/>
          </w:tcPr>
          <w:p>
            <w:pPr>
              <w:jc w:val="right"/>
              <w:ind w:right="240"/>
              <w:spacing w:after="0" w:line="117" w:lineRule="exact"/>
              <w:rPr>
                <w:sz w:val="20"/>
                <w:szCs w:val="20"/>
                <w:color w:val="auto"/>
              </w:rPr>
            </w:pPr>
            <w:r>
              <w:rPr>
                <w:rFonts w:ascii="Times New Roman" w:cs="Times New Roman" w:eastAsia="Times New Roman" w:hAnsi="Times New Roman"/>
                <w:sz w:val="11"/>
                <w:szCs w:val="11"/>
                <w:color w:val="auto"/>
              </w:rPr>
              <w:t>—</w:t>
            </w:r>
          </w:p>
        </w:tc>
        <w:tc>
          <w:tcPr>
            <w:tcW w:w="780" w:type="dxa"/>
            <w:vAlign w:val="bottom"/>
          </w:tcPr>
          <w:p>
            <w:pPr>
              <w:ind w:left="660"/>
              <w:spacing w:after="0" w:line="117" w:lineRule="exact"/>
              <w:rPr>
                <w:sz w:val="20"/>
                <w:szCs w:val="20"/>
                <w:color w:val="auto"/>
              </w:rPr>
            </w:pPr>
            <w:r>
              <w:rPr>
                <w:rFonts w:ascii="Times New Roman" w:cs="Times New Roman" w:eastAsia="Times New Roman" w:hAnsi="Times New Roman"/>
                <w:sz w:val="11"/>
                <w:szCs w:val="11"/>
                <w:color w:val="auto"/>
                <w:w w:val="90"/>
              </w:rPr>
              <w:t>—</w:t>
            </w:r>
          </w:p>
        </w:tc>
        <w:tc>
          <w:tcPr>
            <w:tcW w:w="104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1"/>
                <w:szCs w:val="11"/>
                <w:color w:val="auto"/>
              </w:rPr>
              <w:t>324,675</w:t>
            </w: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325</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406</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320" w:type="dxa"/>
            <w:vAlign w:val="bottom"/>
          </w:tcPr>
          <w:p>
            <w:pPr>
              <w:ind w:left="100"/>
              <w:spacing w:after="0" w:line="135" w:lineRule="exact"/>
              <w:rPr>
                <w:sz w:val="20"/>
                <w:szCs w:val="20"/>
                <w:color w:val="auto"/>
              </w:rPr>
            </w:pPr>
            <w:r>
              <w:rPr>
                <w:rFonts w:ascii="Times New Roman" w:cs="Times New Roman" w:eastAsia="Times New Roman" w:hAnsi="Times New Roman"/>
                <w:sz w:val="11"/>
                <w:szCs w:val="11"/>
                <w:color w:val="auto"/>
              </w:rPr>
              <w:t xml:space="preserve">(American Insulated Glass, LLC) </w:t>
            </w:r>
            <w:r>
              <w:rPr>
                <w:rFonts w:ascii="Times New Roman" w:cs="Times New Roman" w:eastAsia="Times New Roman" w:hAnsi="Times New Roman"/>
                <w:sz w:val="14"/>
                <w:szCs w:val="14"/>
                <w:color w:val="auto"/>
                <w:vertAlign w:val="superscript"/>
              </w:rPr>
              <w:t>(7), (8)</w:t>
            </w: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320" w:type="dxa"/>
            <w:vAlign w:val="bottom"/>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Hancock Claims Consultants Investors, LLC </w:t>
            </w:r>
            <w:r>
              <w:rPr>
                <w:rFonts w:ascii="Times New Roman" w:cs="Times New Roman" w:eastAsia="Times New Roman" w:hAnsi="Times New Roman"/>
                <w:sz w:val="14"/>
                <w:szCs w:val="14"/>
                <w:color w:val="auto"/>
                <w:vertAlign w:val="superscript"/>
              </w:rPr>
              <w:t>(7), (8)</w:t>
            </w:r>
          </w:p>
        </w:tc>
        <w:tc>
          <w:tcPr>
            <w:tcW w:w="120" w:type="dxa"/>
            <w:vAlign w:val="bottom"/>
          </w:tcPr>
          <w:p>
            <w:pPr>
              <w:spacing w:after="0"/>
              <w:rPr>
                <w:sz w:val="13"/>
                <w:szCs w:val="13"/>
                <w:color w:val="auto"/>
              </w:rPr>
            </w:pPr>
          </w:p>
        </w:tc>
        <w:tc>
          <w:tcPr>
            <w:tcW w:w="1080" w:type="dxa"/>
            <w:vAlign w:val="bottom"/>
            <w:gridSpan w:val="3"/>
          </w:tcPr>
          <w:p>
            <w:pPr>
              <w:ind w:left="600"/>
              <w:spacing w:after="0"/>
              <w:rPr>
                <w:sz w:val="20"/>
                <w:szCs w:val="20"/>
                <w:color w:val="auto"/>
              </w:rPr>
            </w:pPr>
            <w:r>
              <w:rPr>
                <w:rFonts w:ascii="Times New Roman" w:cs="Times New Roman" w:eastAsia="Times New Roman" w:hAnsi="Times New Roman"/>
                <w:sz w:val="11"/>
                <w:szCs w:val="11"/>
                <w:color w:val="auto"/>
              </w:rPr>
              <w:t>—</w:t>
            </w:r>
          </w:p>
        </w:tc>
        <w:tc>
          <w:tcPr>
            <w:tcW w:w="2460" w:type="dxa"/>
            <w:vAlign w:val="bottom"/>
          </w:tcPr>
          <w:p>
            <w:pPr>
              <w:jc w:val="center"/>
              <w:ind w:right="66"/>
              <w:spacing w:after="0"/>
              <w:rPr>
                <w:sz w:val="20"/>
                <w:szCs w:val="20"/>
                <w:color w:val="auto"/>
              </w:rPr>
            </w:pPr>
            <w:r>
              <w:rPr>
                <w:rFonts w:ascii="Times New Roman" w:cs="Times New Roman" w:eastAsia="Times New Roman" w:hAnsi="Times New Roman"/>
                <w:sz w:val="11"/>
                <w:szCs w:val="11"/>
                <w:color w:val="auto"/>
                <w:w w:val="98"/>
              </w:rPr>
              <w:t>Insurance</w:t>
            </w:r>
          </w:p>
        </w:tc>
        <w:tc>
          <w:tcPr>
            <w:tcW w:w="120" w:type="dxa"/>
            <w:vAlign w:val="bottom"/>
          </w:tcPr>
          <w:p>
            <w:pPr>
              <w:spacing w:after="0"/>
              <w:rPr>
                <w:sz w:val="13"/>
                <w:szCs w:val="13"/>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Pr>
          <w:p>
            <w:pPr>
              <w:ind w:left="660"/>
              <w:spacing w:after="0"/>
              <w:rPr>
                <w:sz w:val="20"/>
                <w:szCs w:val="20"/>
                <w:color w:val="auto"/>
              </w:rPr>
            </w:pPr>
            <w:r>
              <w:rPr>
                <w:rFonts w:ascii="Times New Roman" w:cs="Times New Roman" w:eastAsia="Times New Roman" w:hAnsi="Times New Roman"/>
                <w:sz w:val="11"/>
                <w:szCs w:val="11"/>
                <w:color w:val="auto"/>
                <w:w w:val="90"/>
              </w:rPr>
              <w:t>—</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450,000</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450</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613</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2320" w:type="dxa"/>
            <w:vAlign w:val="bottom"/>
          </w:tcPr>
          <w:p>
            <w:pPr>
              <w:ind w:left="20"/>
              <w:spacing w:after="0" w:line="117" w:lineRule="exact"/>
              <w:rPr>
                <w:sz w:val="20"/>
                <w:szCs w:val="20"/>
                <w:color w:val="auto"/>
              </w:rPr>
            </w:pPr>
            <w:r>
              <w:rPr>
                <w:rFonts w:ascii="Times New Roman" w:cs="Times New Roman" w:eastAsia="Times New Roman" w:hAnsi="Times New Roman"/>
                <w:sz w:val="11"/>
                <w:szCs w:val="11"/>
                <w:color w:val="auto"/>
              </w:rPr>
              <w:t>IIN Group Holdings, LLC</w:t>
            </w:r>
          </w:p>
        </w:tc>
        <w:tc>
          <w:tcPr>
            <w:tcW w:w="120" w:type="dxa"/>
            <w:vAlign w:val="bottom"/>
          </w:tcPr>
          <w:p>
            <w:pPr>
              <w:spacing w:after="0"/>
              <w:rPr>
                <w:sz w:val="10"/>
                <w:szCs w:val="10"/>
                <w:color w:val="auto"/>
              </w:rPr>
            </w:pPr>
          </w:p>
        </w:tc>
        <w:tc>
          <w:tcPr>
            <w:tcW w:w="1080" w:type="dxa"/>
            <w:vAlign w:val="bottom"/>
            <w:gridSpan w:val="3"/>
          </w:tcPr>
          <w:p>
            <w:pPr>
              <w:ind w:left="600"/>
              <w:spacing w:after="0" w:line="117" w:lineRule="exact"/>
              <w:rPr>
                <w:sz w:val="20"/>
                <w:szCs w:val="20"/>
                <w:color w:val="auto"/>
              </w:rPr>
            </w:pPr>
            <w:r>
              <w:rPr>
                <w:rFonts w:ascii="Times New Roman" w:cs="Times New Roman" w:eastAsia="Times New Roman" w:hAnsi="Times New Roman"/>
                <w:sz w:val="11"/>
                <w:szCs w:val="11"/>
                <w:color w:val="auto"/>
              </w:rPr>
              <w:t>—</w:t>
            </w:r>
          </w:p>
        </w:tc>
        <w:tc>
          <w:tcPr>
            <w:tcW w:w="2460" w:type="dxa"/>
            <w:vAlign w:val="bottom"/>
          </w:tcPr>
          <w:p>
            <w:pPr>
              <w:jc w:val="center"/>
              <w:ind w:right="46"/>
              <w:spacing w:after="0" w:line="117" w:lineRule="exact"/>
              <w:rPr>
                <w:sz w:val="20"/>
                <w:szCs w:val="20"/>
                <w:color w:val="auto"/>
              </w:rPr>
            </w:pPr>
            <w:r>
              <w:rPr>
                <w:rFonts w:ascii="Times New Roman" w:cs="Times New Roman" w:eastAsia="Times New Roman" w:hAnsi="Times New Roman"/>
                <w:sz w:val="11"/>
                <w:szCs w:val="11"/>
                <w:color w:val="auto"/>
                <w:w w:val="98"/>
              </w:rPr>
              <w:t>Consumer Services</w:t>
            </w:r>
          </w:p>
        </w:tc>
        <w:tc>
          <w:tcPr>
            <w:tcW w:w="120" w:type="dxa"/>
            <w:vAlign w:val="bottom"/>
          </w:tcPr>
          <w:p>
            <w:pPr>
              <w:spacing w:after="0"/>
              <w:rPr>
                <w:sz w:val="10"/>
                <w:szCs w:val="10"/>
                <w:color w:val="auto"/>
              </w:rPr>
            </w:pPr>
          </w:p>
        </w:tc>
        <w:tc>
          <w:tcPr>
            <w:tcW w:w="1200" w:type="dxa"/>
            <w:vAlign w:val="bottom"/>
            <w:gridSpan w:val="2"/>
          </w:tcPr>
          <w:p>
            <w:pPr>
              <w:jc w:val="right"/>
              <w:ind w:right="240"/>
              <w:spacing w:after="0" w:line="117" w:lineRule="exact"/>
              <w:rPr>
                <w:sz w:val="20"/>
                <w:szCs w:val="20"/>
                <w:color w:val="auto"/>
              </w:rPr>
            </w:pPr>
            <w:r>
              <w:rPr>
                <w:rFonts w:ascii="Times New Roman" w:cs="Times New Roman" w:eastAsia="Times New Roman" w:hAnsi="Times New Roman"/>
                <w:sz w:val="11"/>
                <w:szCs w:val="11"/>
                <w:color w:val="auto"/>
              </w:rPr>
              <w:t>—</w:t>
            </w:r>
          </w:p>
        </w:tc>
        <w:tc>
          <w:tcPr>
            <w:tcW w:w="780" w:type="dxa"/>
            <w:vAlign w:val="bottom"/>
          </w:tcPr>
          <w:p>
            <w:pPr>
              <w:ind w:left="660"/>
              <w:spacing w:after="0" w:line="117" w:lineRule="exact"/>
              <w:rPr>
                <w:sz w:val="20"/>
                <w:szCs w:val="20"/>
                <w:color w:val="auto"/>
              </w:rPr>
            </w:pPr>
            <w:r>
              <w:rPr>
                <w:rFonts w:ascii="Times New Roman" w:cs="Times New Roman" w:eastAsia="Times New Roman" w:hAnsi="Times New Roman"/>
                <w:sz w:val="11"/>
                <w:szCs w:val="11"/>
                <w:color w:val="auto"/>
                <w:w w:val="90"/>
              </w:rPr>
              <w:t>—</w:t>
            </w:r>
          </w:p>
        </w:tc>
        <w:tc>
          <w:tcPr>
            <w:tcW w:w="104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1"/>
                <w:szCs w:val="11"/>
                <w:color w:val="auto"/>
              </w:rPr>
              <w:t>1,000</w:t>
            </w: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1,000</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1,950</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320" w:type="dxa"/>
            <w:vAlign w:val="bottom"/>
          </w:tcPr>
          <w:p>
            <w:pPr>
              <w:ind w:left="100"/>
              <w:spacing w:after="0" w:line="153" w:lineRule="exact"/>
              <w:rPr>
                <w:sz w:val="20"/>
                <w:szCs w:val="20"/>
                <w:color w:val="auto"/>
              </w:rPr>
            </w:pPr>
            <w:r>
              <w:rPr>
                <w:rFonts w:ascii="Times New Roman" w:cs="Times New Roman" w:eastAsia="Times New Roman" w:hAnsi="Times New Roman"/>
                <w:sz w:val="11"/>
                <w:szCs w:val="11"/>
                <w:color w:val="auto"/>
              </w:rPr>
              <w:t xml:space="preserve">(Integrative Nutrition, LLC) </w:t>
            </w:r>
            <w:r>
              <w:rPr>
                <w:rFonts w:ascii="Times New Roman" w:cs="Times New Roman" w:eastAsia="Times New Roman" w:hAnsi="Times New Roman"/>
                <w:sz w:val="14"/>
                <w:szCs w:val="14"/>
                <w:color w:val="auto"/>
                <w:vertAlign w:val="superscript"/>
              </w:rPr>
              <w:t>(7), (8)</w:t>
            </w: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2320" w:type="dxa"/>
            <w:vAlign w:val="bottom"/>
          </w:tcPr>
          <w:p>
            <w:pPr>
              <w:ind w:left="20"/>
              <w:spacing w:after="0" w:line="109" w:lineRule="exact"/>
              <w:rPr>
                <w:sz w:val="20"/>
                <w:szCs w:val="20"/>
                <w:color w:val="auto"/>
              </w:rPr>
            </w:pPr>
            <w:r>
              <w:rPr>
                <w:rFonts w:ascii="Times New Roman" w:cs="Times New Roman" w:eastAsia="Times New Roman" w:hAnsi="Times New Roman"/>
                <w:sz w:val="11"/>
                <w:szCs w:val="11"/>
                <w:color w:val="auto"/>
                <w:w w:val="99"/>
              </w:rPr>
              <w:t>Ironclad Holdco, LLC (Applied Technical Services,</w:t>
            </w:r>
          </w:p>
        </w:tc>
        <w:tc>
          <w:tcPr>
            <w:tcW w:w="120" w:type="dxa"/>
            <w:vAlign w:val="bottom"/>
          </w:tcPr>
          <w:p>
            <w:pPr>
              <w:spacing w:after="0"/>
              <w:rPr>
                <w:sz w:val="9"/>
                <w:szCs w:val="9"/>
                <w:color w:val="auto"/>
              </w:rPr>
            </w:pPr>
          </w:p>
        </w:tc>
        <w:tc>
          <w:tcPr>
            <w:tcW w:w="1080" w:type="dxa"/>
            <w:vAlign w:val="bottom"/>
            <w:gridSpan w:val="3"/>
          </w:tcPr>
          <w:p>
            <w:pPr>
              <w:ind w:left="600"/>
              <w:spacing w:after="0" w:line="109" w:lineRule="exact"/>
              <w:rPr>
                <w:sz w:val="20"/>
                <w:szCs w:val="20"/>
                <w:color w:val="auto"/>
              </w:rPr>
            </w:pPr>
            <w:r>
              <w:rPr>
                <w:rFonts w:ascii="Times New Roman" w:cs="Times New Roman" w:eastAsia="Times New Roman" w:hAnsi="Times New Roman"/>
                <w:sz w:val="11"/>
                <w:szCs w:val="11"/>
                <w:color w:val="auto"/>
              </w:rPr>
              <w:t>—</w:t>
            </w:r>
          </w:p>
        </w:tc>
        <w:tc>
          <w:tcPr>
            <w:tcW w:w="2460" w:type="dxa"/>
            <w:vAlign w:val="bottom"/>
          </w:tcPr>
          <w:p>
            <w:pPr>
              <w:jc w:val="center"/>
              <w:ind w:right="46"/>
              <w:spacing w:after="0" w:line="109" w:lineRule="exact"/>
              <w:rPr>
                <w:sz w:val="20"/>
                <w:szCs w:val="20"/>
                <w:color w:val="auto"/>
              </w:rPr>
            </w:pPr>
            <w:r>
              <w:rPr>
                <w:rFonts w:ascii="Times New Roman" w:cs="Times New Roman" w:eastAsia="Times New Roman" w:hAnsi="Times New Roman"/>
                <w:sz w:val="11"/>
                <w:szCs w:val="11"/>
                <w:color w:val="auto"/>
                <w:w w:val="98"/>
              </w:rPr>
              <w:t>Commercial Services &amp; Supplies</w:t>
            </w:r>
          </w:p>
        </w:tc>
        <w:tc>
          <w:tcPr>
            <w:tcW w:w="120" w:type="dxa"/>
            <w:vAlign w:val="bottom"/>
          </w:tcPr>
          <w:p>
            <w:pPr>
              <w:spacing w:after="0"/>
              <w:rPr>
                <w:sz w:val="9"/>
                <w:szCs w:val="9"/>
                <w:color w:val="auto"/>
              </w:rPr>
            </w:pPr>
          </w:p>
        </w:tc>
        <w:tc>
          <w:tcPr>
            <w:tcW w:w="1200" w:type="dxa"/>
            <w:vAlign w:val="bottom"/>
            <w:gridSpan w:val="2"/>
          </w:tcPr>
          <w:p>
            <w:pPr>
              <w:jc w:val="right"/>
              <w:ind w:right="240"/>
              <w:spacing w:after="0" w:line="109" w:lineRule="exact"/>
              <w:rPr>
                <w:sz w:val="20"/>
                <w:szCs w:val="20"/>
                <w:color w:val="auto"/>
              </w:rPr>
            </w:pPr>
            <w:r>
              <w:rPr>
                <w:rFonts w:ascii="Times New Roman" w:cs="Times New Roman" w:eastAsia="Times New Roman" w:hAnsi="Times New Roman"/>
                <w:sz w:val="11"/>
                <w:szCs w:val="11"/>
                <w:color w:val="auto"/>
              </w:rPr>
              <w:t>—</w:t>
            </w:r>
          </w:p>
        </w:tc>
        <w:tc>
          <w:tcPr>
            <w:tcW w:w="780" w:type="dxa"/>
            <w:vAlign w:val="bottom"/>
          </w:tcPr>
          <w:p>
            <w:pPr>
              <w:ind w:left="660"/>
              <w:spacing w:after="0" w:line="109" w:lineRule="exact"/>
              <w:rPr>
                <w:sz w:val="20"/>
                <w:szCs w:val="20"/>
                <w:color w:val="auto"/>
              </w:rPr>
            </w:pPr>
            <w:r>
              <w:rPr>
                <w:rFonts w:ascii="Times New Roman" w:cs="Times New Roman" w:eastAsia="Times New Roman" w:hAnsi="Times New Roman"/>
                <w:sz w:val="11"/>
                <w:szCs w:val="11"/>
                <w:color w:val="auto"/>
                <w:w w:val="90"/>
              </w:rPr>
              <w:t>—</w:t>
            </w:r>
          </w:p>
        </w:tc>
        <w:tc>
          <w:tcPr>
            <w:tcW w:w="1040" w:type="dxa"/>
            <w:vAlign w:val="bottom"/>
            <w:gridSpan w:val="2"/>
          </w:tcPr>
          <w:p>
            <w:pPr>
              <w:jc w:val="right"/>
              <w:spacing w:after="0" w:line="109" w:lineRule="exact"/>
              <w:rPr>
                <w:sz w:val="20"/>
                <w:szCs w:val="20"/>
                <w:color w:val="auto"/>
              </w:rPr>
            </w:pPr>
            <w:r>
              <w:rPr>
                <w:rFonts w:ascii="Times New Roman" w:cs="Times New Roman" w:eastAsia="Times New Roman" w:hAnsi="Times New Roman"/>
                <w:sz w:val="11"/>
                <w:szCs w:val="11"/>
                <w:color w:val="auto"/>
              </w:rPr>
              <w:t>5,040</w:t>
            </w: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tcPr>
          <w:p>
            <w:pPr>
              <w:jc w:val="right"/>
              <w:spacing w:after="0" w:line="109" w:lineRule="exact"/>
              <w:rPr>
                <w:sz w:val="20"/>
                <w:szCs w:val="20"/>
                <w:color w:val="auto"/>
              </w:rPr>
            </w:pPr>
            <w:r>
              <w:rPr>
                <w:rFonts w:ascii="Times New Roman" w:cs="Times New Roman" w:eastAsia="Times New Roman" w:hAnsi="Times New Roman"/>
                <w:sz w:val="11"/>
                <w:szCs w:val="11"/>
                <w:color w:val="auto"/>
              </w:rPr>
              <w:t>496</w:t>
            </w: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jc w:val="right"/>
              <w:spacing w:after="0" w:line="109" w:lineRule="exact"/>
              <w:rPr>
                <w:sz w:val="20"/>
                <w:szCs w:val="20"/>
                <w:color w:val="auto"/>
              </w:rPr>
            </w:pPr>
            <w:r>
              <w:rPr>
                <w:rFonts w:ascii="Times New Roman" w:cs="Times New Roman" w:eastAsia="Times New Roman" w:hAnsi="Times New Roman"/>
                <w:sz w:val="11"/>
                <w:szCs w:val="11"/>
                <w:color w:val="auto"/>
              </w:rPr>
              <w:t>552</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320" w:type="dxa"/>
            <w:vAlign w:val="bottom"/>
          </w:tcPr>
          <w:p>
            <w:pPr>
              <w:ind w:left="20"/>
              <w:spacing w:after="0" w:line="130" w:lineRule="exact"/>
              <w:rPr>
                <w:sz w:val="20"/>
                <w:szCs w:val="20"/>
                <w:color w:val="auto"/>
              </w:rPr>
            </w:pPr>
            <w:r>
              <w:rPr>
                <w:rFonts w:ascii="Times New Roman" w:cs="Times New Roman" w:eastAsia="Times New Roman" w:hAnsi="Times New Roman"/>
                <w:sz w:val="15"/>
                <w:szCs w:val="15"/>
                <w:color w:val="auto"/>
                <w:vertAlign w:val="subscript"/>
              </w:rPr>
              <w:t>LLC)</w:t>
            </w:r>
            <w:r>
              <w:rPr>
                <w:rFonts w:ascii="Times New Roman" w:cs="Times New Roman" w:eastAsia="Times New Roman" w:hAnsi="Times New Roman"/>
                <w:sz w:val="6"/>
                <w:szCs w:val="6"/>
                <w:color w:val="auto"/>
              </w:rPr>
              <w:t xml:space="preserve"> (7), (8)</w:t>
            </w: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3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 xml:space="preserve">ITC Rumba, LLC (Cano Health, LLC) </w:t>
            </w:r>
            <w:r>
              <w:rPr>
                <w:rFonts w:ascii="Times New Roman" w:cs="Times New Roman" w:eastAsia="Times New Roman" w:hAnsi="Times New Roman"/>
                <w:sz w:val="14"/>
                <w:szCs w:val="14"/>
                <w:color w:val="auto"/>
                <w:vertAlign w:val="superscript"/>
              </w:rPr>
              <w:t>(7),(8)</w:t>
            </w:r>
          </w:p>
        </w:tc>
        <w:tc>
          <w:tcPr>
            <w:tcW w:w="120" w:type="dxa"/>
            <w:vAlign w:val="bottom"/>
          </w:tcPr>
          <w:p>
            <w:pPr>
              <w:spacing w:after="0"/>
              <w:rPr>
                <w:sz w:val="14"/>
                <w:szCs w:val="14"/>
                <w:color w:val="auto"/>
              </w:rPr>
            </w:pPr>
          </w:p>
        </w:tc>
        <w:tc>
          <w:tcPr>
            <w:tcW w:w="1080" w:type="dxa"/>
            <w:vAlign w:val="bottom"/>
            <w:gridSpan w:val="3"/>
          </w:tcPr>
          <w:p>
            <w:pPr>
              <w:ind w:left="600"/>
              <w:spacing w:after="0"/>
              <w:rPr>
                <w:sz w:val="20"/>
                <w:szCs w:val="20"/>
                <w:color w:val="auto"/>
              </w:rPr>
            </w:pPr>
            <w:r>
              <w:rPr>
                <w:rFonts w:ascii="Times New Roman" w:cs="Times New Roman" w:eastAsia="Times New Roman" w:hAnsi="Times New Roman"/>
                <w:sz w:val="11"/>
                <w:szCs w:val="11"/>
                <w:color w:val="auto"/>
              </w:rPr>
              <w:t>—</w:t>
            </w:r>
          </w:p>
        </w:tc>
        <w:tc>
          <w:tcPr>
            <w:tcW w:w="2460" w:type="dxa"/>
            <w:vAlign w:val="bottom"/>
          </w:tcPr>
          <w:p>
            <w:pPr>
              <w:jc w:val="center"/>
              <w:ind w:right="46"/>
              <w:spacing w:after="0"/>
              <w:rPr>
                <w:sz w:val="20"/>
                <w:szCs w:val="20"/>
                <w:color w:val="auto"/>
              </w:rPr>
            </w:pPr>
            <w:r>
              <w:rPr>
                <w:rFonts w:ascii="Times New Roman" w:cs="Times New Roman" w:eastAsia="Times New Roman" w:hAnsi="Times New Roman"/>
                <w:sz w:val="11"/>
                <w:szCs w:val="11"/>
                <w:color w:val="auto"/>
                <w:w w:val="99"/>
              </w:rPr>
              <w:t>Healthcare and Pharmaceuticals</w:t>
            </w:r>
          </w:p>
        </w:tc>
        <w:tc>
          <w:tcPr>
            <w:tcW w:w="120" w:type="dxa"/>
            <w:vAlign w:val="bottom"/>
          </w:tcPr>
          <w:p>
            <w:pPr>
              <w:spacing w:after="0"/>
              <w:rPr>
                <w:sz w:val="14"/>
                <w:szCs w:val="14"/>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Pr>
          <w:p>
            <w:pPr>
              <w:ind w:left="660"/>
              <w:spacing w:after="0"/>
              <w:rPr>
                <w:sz w:val="20"/>
                <w:szCs w:val="20"/>
                <w:color w:val="auto"/>
              </w:rPr>
            </w:pPr>
            <w:r>
              <w:rPr>
                <w:rFonts w:ascii="Times New Roman" w:cs="Times New Roman" w:eastAsia="Times New Roman" w:hAnsi="Times New Roman"/>
                <w:sz w:val="11"/>
                <w:szCs w:val="11"/>
                <w:color w:val="auto"/>
                <w:w w:val="90"/>
              </w:rPr>
              <w:t>—</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46,763</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110</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7,569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4"/>
        </w:trPr>
        <w:tc>
          <w:tcPr>
            <w:tcW w:w="2320" w:type="dxa"/>
            <w:vAlign w:val="bottom"/>
            <w:shd w:val="clear" w:color="auto" w:fill="CCECFF"/>
          </w:tcPr>
          <w:p>
            <w:pPr>
              <w:ind w:left="20"/>
              <w:spacing w:after="0" w:line="95" w:lineRule="exact"/>
              <w:rPr>
                <w:sz w:val="20"/>
                <w:szCs w:val="20"/>
                <w:color w:val="auto"/>
              </w:rPr>
            </w:pPr>
            <w:r>
              <w:rPr>
                <w:rFonts w:ascii="Times New Roman" w:cs="Times New Roman" w:eastAsia="Times New Roman" w:hAnsi="Times New Roman"/>
                <w:sz w:val="10"/>
                <w:szCs w:val="10"/>
                <w:color w:val="auto"/>
              </w:rPr>
              <w:t>JWC/UMA Holdings, L.P. (Urology Management</w:t>
            </w:r>
          </w:p>
        </w:tc>
        <w:tc>
          <w:tcPr>
            <w:tcW w:w="120" w:type="dxa"/>
            <w:vAlign w:val="bottom"/>
            <w:shd w:val="clear" w:color="auto" w:fill="CCECFF"/>
          </w:tcPr>
          <w:p>
            <w:pPr>
              <w:spacing w:after="0"/>
              <w:rPr>
                <w:sz w:val="8"/>
                <w:szCs w:val="8"/>
                <w:color w:val="auto"/>
              </w:rPr>
            </w:pPr>
          </w:p>
        </w:tc>
        <w:tc>
          <w:tcPr>
            <w:tcW w:w="1080" w:type="dxa"/>
            <w:vAlign w:val="bottom"/>
            <w:gridSpan w:val="3"/>
            <w:shd w:val="clear" w:color="auto" w:fill="CCECFF"/>
          </w:tcPr>
          <w:p>
            <w:pPr>
              <w:ind w:left="600"/>
              <w:spacing w:after="0" w:line="95" w:lineRule="exact"/>
              <w:rPr>
                <w:sz w:val="20"/>
                <w:szCs w:val="20"/>
                <w:color w:val="auto"/>
              </w:rPr>
            </w:pPr>
            <w:r>
              <w:rPr>
                <w:rFonts w:ascii="Times New Roman" w:cs="Times New Roman" w:eastAsia="Times New Roman" w:hAnsi="Times New Roman"/>
                <w:sz w:val="10"/>
                <w:szCs w:val="10"/>
                <w:color w:val="auto"/>
              </w:rPr>
              <w:t>—</w:t>
            </w:r>
          </w:p>
        </w:tc>
        <w:tc>
          <w:tcPr>
            <w:tcW w:w="2460" w:type="dxa"/>
            <w:vAlign w:val="bottom"/>
            <w:shd w:val="clear" w:color="auto" w:fill="CCECFF"/>
          </w:tcPr>
          <w:p>
            <w:pPr>
              <w:jc w:val="center"/>
              <w:ind w:right="46"/>
              <w:spacing w:after="0" w:line="95" w:lineRule="exact"/>
              <w:rPr>
                <w:sz w:val="20"/>
                <w:szCs w:val="20"/>
                <w:color w:val="auto"/>
              </w:rPr>
            </w:pPr>
            <w:r>
              <w:rPr>
                <w:rFonts w:ascii="Times New Roman" w:cs="Times New Roman" w:eastAsia="Times New Roman" w:hAnsi="Times New Roman"/>
                <w:sz w:val="10"/>
                <w:szCs w:val="10"/>
                <w:color w:val="auto"/>
              </w:rPr>
              <w:t>Healthcare and Pharmaceuticals</w:t>
            </w:r>
          </w:p>
        </w:tc>
        <w:tc>
          <w:tcPr>
            <w:tcW w:w="120" w:type="dxa"/>
            <w:vAlign w:val="bottom"/>
            <w:shd w:val="clear" w:color="auto" w:fill="CCECFF"/>
          </w:tcPr>
          <w:p>
            <w:pPr>
              <w:spacing w:after="0"/>
              <w:rPr>
                <w:sz w:val="8"/>
                <w:szCs w:val="8"/>
                <w:color w:val="auto"/>
              </w:rPr>
            </w:pPr>
          </w:p>
        </w:tc>
        <w:tc>
          <w:tcPr>
            <w:tcW w:w="1200" w:type="dxa"/>
            <w:vAlign w:val="bottom"/>
            <w:gridSpan w:val="2"/>
            <w:shd w:val="clear" w:color="auto" w:fill="CCECFF"/>
          </w:tcPr>
          <w:p>
            <w:pPr>
              <w:jc w:val="right"/>
              <w:ind w:right="240"/>
              <w:spacing w:after="0" w:line="95" w:lineRule="exact"/>
              <w:rPr>
                <w:sz w:val="20"/>
                <w:szCs w:val="20"/>
                <w:color w:val="auto"/>
              </w:rPr>
            </w:pPr>
            <w:r>
              <w:rPr>
                <w:rFonts w:ascii="Times New Roman" w:cs="Times New Roman" w:eastAsia="Times New Roman" w:hAnsi="Times New Roman"/>
                <w:sz w:val="10"/>
                <w:szCs w:val="10"/>
                <w:color w:val="auto"/>
              </w:rPr>
              <w:t>—</w:t>
            </w:r>
          </w:p>
        </w:tc>
        <w:tc>
          <w:tcPr>
            <w:tcW w:w="780" w:type="dxa"/>
            <w:vAlign w:val="bottom"/>
            <w:shd w:val="clear" w:color="auto" w:fill="CCECFF"/>
          </w:tcPr>
          <w:p>
            <w:pPr>
              <w:ind w:left="660"/>
              <w:spacing w:after="0" w:line="95" w:lineRule="exact"/>
              <w:rPr>
                <w:sz w:val="20"/>
                <w:szCs w:val="20"/>
                <w:color w:val="auto"/>
              </w:rPr>
            </w:pPr>
            <w:r>
              <w:rPr>
                <w:rFonts w:ascii="Times New Roman" w:cs="Times New Roman" w:eastAsia="Times New Roman" w:hAnsi="Times New Roman"/>
                <w:sz w:val="10"/>
                <w:szCs w:val="10"/>
                <w:color w:val="auto"/>
                <w:w w:val="99"/>
              </w:rPr>
              <w:t>—</w:t>
            </w:r>
          </w:p>
        </w:tc>
        <w:tc>
          <w:tcPr>
            <w:tcW w:w="1040" w:type="dxa"/>
            <w:vAlign w:val="bottom"/>
            <w:gridSpan w:val="2"/>
            <w:shd w:val="clear" w:color="auto" w:fill="CCECFF"/>
          </w:tcPr>
          <w:p>
            <w:pPr>
              <w:jc w:val="right"/>
              <w:spacing w:after="0" w:line="95" w:lineRule="exact"/>
              <w:rPr>
                <w:sz w:val="20"/>
                <w:szCs w:val="20"/>
                <w:color w:val="auto"/>
              </w:rPr>
            </w:pPr>
            <w:r>
              <w:rPr>
                <w:rFonts w:ascii="Times New Roman" w:cs="Times New Roman" w:eastAsia="Times New Roman" w:hAnsi="Times New Roman"/>
                <w:sz w:val="10"/>
                <w:szCs w:val="10"/>
                <w:color w:val="auto"/>
              </w:rPr>
              <w:t>1,000</w:t>
            </w:r>
          </w:p>
        </w:tc>
        <w:tc>
          <w:tcPr>
            <w:tcW w:w="220" w:type="dxa"/>
            <w:vAlign w:val="bottom"/>
            <w:shd w:val="clear" w:color="auto" w:fill="CCECFF"/>
          </w:tcPr>
          <w:p>
            <w:pPr>
              <w:spacing w:after="0"/>
              <w:rPr>
                <w:sz w:val="8"/>
                <w:szCs w:val="8"/>
                <w:color w:val="auto"/>
              </w:rPr>
            </w:pPr>
          </w:p>
        </w:tc>
        <w:tc>
          <w:tcPr>
            <w:tcW w:w="180" w:type="dxa"/>
            <w:vAlign w:val="bottom"/>
            <w:shd w:val="clear" w:color="auto" w:fill="CCECFF"/>
          </w:tcPr>
          <w:p>
            <w:pPr>
              <w:spacing w:after="0"/>
              <w:rPr>
                <w:sz w:val="8"/>
                <w:szCs w:val="8"/>
                <w:color w:val="auto"/>
              </w:rPr>
            </w:pPr>
          </w:p>
        </w:tc>
        <w:tc>
          <w:tcPr>
            <w:tcW w:w="600" w:type="dxa"/>
            <w:vAlign w:val="bottom"/>
            <w:shd w:val="clear" w:color="auto" w:fill="CCECFF"/>
          </w:tcPr>
          <w:p>
            <w:pPr>
              <w:jc w:val="right"/>
              <w:spacing w:after="0" w:line="95" w:lineRule="exact"/>
              <w:rPr>
                <w:sz w:val="20"/>
                <w:szCs w:val="20"/>
                <w:color w:val="auto"/>
              </w:rPr>
            </w:pPr>
            <w:r>
              <w:rPr>
                <w:rFonts w:ascii="Times New Roman" w:cs="Times New Roman" w:eastAsia="Times New Roman" w:hAnsi="Times New Roman"/>
                <w:sz w:val="10"/>
                <w:szCs w:val="10"/>
                <w:color w:val="auto"/>
              </w:rPr>
              <w:t>1,000</w:t>
            </w:r>
          </w:p>
        </w:tc>
        <w:tc>
          <w:tcPr>
            <w:tcW w:w="220" w:type="dxa"/>
            <w:vAlign w:val="bottom"/>
            <w:shd w:val="clear" w:color="auto" w:fill="CCECFF"/>
          </w:tcPr>
          <w:p>
            <w:pPr>
              <w:spacing w:after="0"/>
              <w:rPr>
                <w:sz w:val="8"/>
                <w:szCs w:val="8"/>
                <w:color w:val="auto"/>
              </w:rPr>
            </w:pPr>
          </w:p>
        </w:tc>
        <w:tc>
          <w:tcPr>
            <w:tcW w:w="80" w:type="dxa"/>
            <w:vAlign w:val="bottom"/>
            <w:shd w:val="clear" w:color="auto" w:fill="CCECFF"/>
          </w:tcPr>
          <w:p>
            <w:pPr>
              <w:spacing w:after="0"/>
              <w:rPr>
                <w:sz w:val="8"/>
                <w:szCs w:val="8"/>
                <w:color w:val="auto"/>
              </w:rPr>
            </w:pPr>
          </w:p>
        </w:tc>
        <w:tc>
          <w:tcPr>
            <w:tcW w:w="720" w:type="dxa"/>
            <w:vAlign w:val="bottom"/>
            <w:shd w:val="clear" w:color="auto" w:fill="CCECFF"/>
          </w:tcPr>
          <w:p>
            <w:pPr>
              <w:jc w:val="right"/>
              <w:spacing w:after="0" w:line="95" w:lineRule="exact"/>
              <w:rPr>
                <w:sz w:val="20"/>
                <w:szCs w:val="20"/>
                <w:color w:val="auto"/>
              </w:rPr>
            </w:pPr>
            <w:r>
              <w:rPr>
                <w:rFonts w:ascii="Times New Roman" w:cs="Times New Roman" w:eastAsia="Times New Roman" w:hAnsi="Times New Roman"/>
                <w:sz w:val="10"/>
                <w:szCs w:val="10"/>
                <w:color w:val="auto"/>
              </w:rPr>
              <w:t>1,667</w:t>
            </w:r>
          </w:p>
        </w:tc>
        <w:tc>
          <w:tcPr>
            <w:tcW w:w="100" w:type="dxa"/>
            <w:vAlign w:val="bottom"/>
            <w:shd w:val="clear" w:color="auto" w:fill="CCECFF"/>
          </w:tcPr>
          <w:p>
            <w:pPr>
              <w:spacing w:after="0"/>
              <w:rPr>
                <w:sz w:val="8"/>
                <w:szCs w:val="8"/>
                <w:color w:val="auto"/>
              </w:rPr>
            </w:pPr>
          </w:p>
        </w:tc>
        <w:tc>
          <w:tcPr>
            <w:tcW w:w="0" w:type="dxa"/>
            <w:vAlign w:val="bottom"/>
          </w:tcPr>
          <w:p>
            <w:pPr>
              <w:spacing w:after="0"/>
              <w:rPr>
                <w:sz w:val="1"/>
                <w:szCs w:val="1"/>
                <w:color w:val="auto"/>
              </w:rPr>
            </w:pPr>
          </w:p>
        </w:tc>
      </w:tr>
      <w:tr>
        <w:trPr>
          <w:trHeight w:val="162"/>
        </w:trPr>
        <w:tc>
          <w:tcPr>
            <w:tcW w:w="23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 xml:space="preserve">Associates, LLC) </w:t>
            </w:r>
            <w:r>
              <w:rPr>
                <w:rFonts w:ascii="Times New Roman" w:cs="Times New Roman" w:eastAsia="Times New Roman" w:hAnsi="Times New Roman"/>
                <w:sz w:val="14"/>
                <w:szCs w:val="14"/>
                <w:color w:val="auto"/>
                <w:vertAlign w:val="superscript"/>
              </w:rPr>
              <w:t>(7)</w:t>
            </w:r>
          </w:p>
        </w:tc>
        <w:tc>
          <w:tcPr>
            <w:tcW w:w="120" w:type="dxa"/>
            <w:vAlign w:val="bottom"/>
            <w:shd w:val="clear" w:color="auto" w:fill="CCECFF"/>
          </w:tcPr>
          <w:p>
            <w:pPr>
              <w:spacing w:after="0"/>
              <w:rPr>
                <w:sz w:val="14"/>
                <w:szCs w:val="14"/>
                <w:color w:val="auto"/>
              </w:rPr>
            </w:pPr>
          </w:p>
        </w:tc>
        <w:tc>
          <w:tcPr>
            <w:tcW w:w="720" w:type="dxa"/>
            <w:vAlign w:val="bottom"/>
            <w:shd w:val="clear" w:color="auto" w:fill="CCECFF"/>
          </w:tcPr>
          <w:p>
            <w:pPr>
              <w:spacing w:after="0"/>
              <w:rPr>
                <w:sz w:val="14"/>
                <w:szCs w:val="14"/>
                <w:color w:val="auto"/>
              </w:rPr>
            </w:pPr>
          </w:p>
        </w:tc>
        <w:tc>
          <w:tcPr>
            <w:tcW w:w="26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246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98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78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82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180" w:type="dxa"/>
            <w:vAlign w:val="bottom"/>
            <w:shd w:val="clear" w:color="auto" w:fill="CCECFF"/>
          </w:tcPr>
          <w:p>
            <w:pPr>
              <w:spacing w:after="0"/>
              <w:rPr>
                <w:sz w:val="14"/>
                <w:szCs w:val="14"/>
                <w:color w:val="auto"/>
              </w:rPr>
            </w:pPr>
          </w:p>
        </w:tc>
        <w:tc>
          <w:tcPr>
            <w:tcW w:w="60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80" w:type="dxa"/>
            <w:vAlign w:val="bottom"/>
            <w:shd w:val="clear" w:color="auto" w:fill="CCECFF"/>
          </w:tcPr>
          <w:p>
            <w:pPr>
              <w:spacing w:after="0"/>
              <w:rPr>
                <w:sz w:val="14"/>
                <w:szCs w:val="14"/>
                <w:color w:val="auto"/>
              </w:rPr>
            </w:pPr>
          </w:p>
        </w:tc>
        <w:tc>
          <w:tcPr>
            <w:tcW w:w="72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03"/>
        </w:trPr>
        <w:tc>
          <w:tcPr>
            <w:tcW w:w="2320" w:type="dxa"/>
            <w:vAlign w:val="bottom"/>
          </w:tcPr>
          <w:p>
            <w:pPr>
              <w:ind w:left="20"/>
              <w:spacing w:after="0" w:line="103" w:lineRule="exact"/>
              <w:rPr>
                <w:sz w:val="20"/>
                <w:szCs w:val="20"/>
                <w:color w:val="auto"/>
              </w:rPr>
            </w:pPr>
            <w:r>
              <w:rPr>
                <w:rFonts w:ascii="Times New Roman" w:cs="Times New Roman" w:eastAsia="Times New Roman" w:hAnsi="Times New Roman"/>
                <w:sz w:val="11"/>
                <w:szCs w:val="11"/>
                <w:color w:val="auto"/>
              </w:rPr>
              <w:t>JWC-WE Holdings, L.P.</w:t>
            </w:r>
          </w:p>
        </w:tc>
        <w:tc>
          <w:tcPr>
            <w:tcW w:w="120" w:type="dxa"/>
            <w:vAlign w:val="bottom"/>
          </w:tcPr>
          <w:p>
            <w:pPr>
              <w:spacing w:after="0"/>
              <w:rPr>
                <w:sz w:val="8"/>
                <w:szCs w:val="8"/>
                <w:color w:val="auto"/>
              </w:rPr>
            </w:pPr>
          </w:p>
        </w:tc>
        <w:tc>
          <w:tcPr>
            <w:tcW w:w="1080" w:type="dxa"/>
            <w:vAlign w:val="bottom"/>
            <w:gridSpan w:val="3"/>
          </w:tcPr>
          <w:p>
            <w:pPr>
              <w:ind w:left="600"/>
              <w:spacing w:after="0" w:line="103" w:lineRule="exact"/>
              <w:rPr>
                <w:sz w:val="20"/>
                <w:szCs w:val="20"/>
                <w:color w:val="auto"/>
              </w:rPr>
            </w:pPr>
            <w:r>
              <w:rPr>
                <w:rFonts w:ascii="Times New Roman" w:cs="Times New Roman" w:eastAsia="Times New Roman" w:hAnsi="Times New Roman"/>
                <w:sz w:val="11"/>
                <w:szCs w:val="11"/>
                <w:color w:val="auto"/>
              </w:rPr>
              <w:t>—</w:t>
            </w:r>
          </w:p>
        </w:tc>
        <w:tc>
          <w:tcPr>
            <w:tcW w:w="2460" w:type="dxa"/>
            <w:vAlign w:val="bottom"/>
          </w:tcPr>
          <w:p>
            <w:pPr>
              <w:jc w:val="center"/>
              <w:ind w:right="46"/>
              <w:spacing w:after="0" w:line="103" w:lineRule="exact"/>
              <w:rPr>
                <w:sz w:val="20"/>
                <w:szCs w:val="20"/>
                <w:color w:val="auto"/>
              </w:rPr>
            </w:pPr>
            <w:r>
              <w:rPr>
                <w:rFonts w:ascii="Times New Roman" w:cs="Times New Roman" w:eastAsia="Times New Roman" w:hAnsi="Times New Roman"/>
                <w:sz w:val="11"/>
                <w:szCs w:val="11"/>
                <w:color w:val="auto"/>
                <w:w w:val="94"/>
              </w:rPr>
              <w:t>Wholesale</w:t>
            </w:r>
          </w:p>
        </w:tc>
        <w:tc>
          <w:tcPr>
            <w:tcW w:w="120" w:type="dxa"/>
            <w:vAlign w:val="bottom"/>
          </w:tcPr>
          <w:p>
            <w:pPr>
              <w:spacing w:after="0"/>
              <w:rPr>
                <w:sz w:val="8"/>
                <w:szCs w:val="8"/>
                <w:color w:val="auto"/>
              </w:rPr>
            </w:pPr>
          </w:p>
        </w:tc>
        <w:tc>
          <w:tcPr>
            <w:tcW w:w="1200" w:type="dxa"/>
            <w:vAlign w:val="bottom"/>
            <w:gridSpan w:val="2"/>
          </w:tcPr>
          <w:p>
            <w:pPr>
              <w:jc w:val="right"/>
              <w:ind w:right="240"/>
              <w:spacing w:after="0" w:line="103" w:lineRule="exact"/>
              <w:rPr>
                <w:sz w:val="20"/>
                <w:szCs w:val="20"/>
                <w:color w:val="auto"/>
              </w:rPr>
            </w:pPr>
            <w:r>
              <w:rPr>
                <w:rFonts w:ascii="Times New Roman" w:cs="Times New Roman" w:eastAsia="Times New Roman" w:hAnsi="Times New Roman"/>
                <w:sz w:val="11"/>
                <w:szCs w:val="11"/>
                <w:color w:val="auto"/>
              </w:rPr>
              <w:t>—</w:t>
            </w:r>
          </w:p>
        </w:tc>
        <w:tc>
          <w:tcPr>
            <w:tcW w:w="780" w:type="dxa"/>
            <w:vAlign w:val="bottom"/>
          </w:tcPr>
          <w:p>
            <w:pPr>
              <w:ind w:left="660"/>
              <w:spacing w:after="0" w:line="103" w:lineRule="exact"/>
              <w:rPr>
                <w:sz w:val="20"/>
                <w:szCs w:val="20"/>
                <w:color w:val="auto"/>
              </w:rPr>
            </w:pPr>
            <w:r>
              <w:rPr>
                <w:rFonts w:ascii="Times New Roman" w:cs="Times New Roman" w:eastAsia="Times New Roman" w:hAnsi="Times New Roman"/>
                <w:sz w:val="11"/>
                <w:szCs w:val="11"/>
                <w:color w:val="auto"/>
                <w:w w:val="90"/>
              </w:rPr>
              <w:t>—</w:t>
            </w:r>
          </w:p>
        </w:tc>
        <w:tc>
          <w:tcPr>
            <w:tcW w:w="1040" w:type="dxa"/>
            <w:vAlign w:val="bottom"/>
            <w:gridSpan w:val="2"/>
          </w:tcPr>
          <w:p>
            <w:pPr>
              <w:jc w:val="right"/>
              <w:spacing w:after="0" w:line="103" w:lineRule="exact"/>
              <w:rPr>
                <w:sz w:val="20"/>
                <w:szCs w:val="20"/>
                <w:color w:val="auto"/>
              </w:rPr>
            </w:pPr>
            <w:r>
              <w:rPr>
                <w:rFonts w:ascii="Times New Roman" w:cs="Times New Roman" w:eastAsia="Times New Roman" w:hAnsi="Times New Roman"/>
                <w:sz w:val="11"/>
                <w:szCs w:val="11"/>
                <w:color w:val="auto"/>
              </w:rPr>
              <w:t>1,381,741</w:t>
            </w: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tcPr>
          <w:p>
            <w:pPr>
              <w:jc w:val="right"/>
              <w:spacing w:after="0" w:line="103"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jc w:val="right"/>
              <w:spacing w:after="0" w:line="103" w:lineRule="exact"/>
              <w:rPr>
                <w:sz w:val="20"/>
                <w:szCs w:val="20"/>
                <w:color w:val="auto"/>
              </w:rPr>
            </w:pPr>
            <w:r>
              <w:rPr>
                <w:rFonts w:ascii="Times New Roman" w:cs="Times New Roman" w:eastAsia="Times New Roman" w:hAnsi="Times New Roman"/>
                <w:sz w:val="11"/>
                <w:szCs w:val="11"/>
                <w:color w:val="auto"/>
              </w:rPr>
              <w:t>4,795</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2320" w:type="dxa"/>
            <w:vAlign w:val="bottom"/>
          </w:tcPr>
          <w:p>
            <w:pPr>
              <w:ind w:left="100"/>
              <w:spacing w:after="0" w:line="135" w:lineRule="exact"/>
              <w:rPr>
                <w:sz w:val="20"/>
                <w:szCs w:val="20"/>
                <w:color w:val="auto"/>
              </w:rPr>
            </w:pPr>
            <w:r>
              <w:rPr>
                <w:rFonts w:ascii="Times New Roman" w:cs="Times New Roman" w:eastAsia="Times New Roman" w:hAnsi="Times New Roman"/>
                <w:sz w:val="11"/>
                <w:szCs w:val="11"/>
                <w:color w:val="auto"/>
              </w:rPr>
              <w:t xml:space="preserve">(Walker Edison Furniture Company LLC) </w:t>
            </w:r>
            <w:r>
              <w:rPr>
                <w:rFonts w:ascii="Times New Roman" w:cs="Times New Roman" w:eastAsia="Times New Roman" w:hAnsi="Times New Roman"/>
                <w:sz w:val="14"/>
                <w:szCs w:val="14"/>
                <w:color w:val="auto"/>
                <w:vertAlign w:val="superscript"/>
              </w:rPr>
              <w:t>(7), (8)</w:t>
            </w: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2320" w:type="dxa"/>
            <w:vAlign w:val="bottom"/>
          </w:tcPr>
          <w:p>
            <w:pPr>
              <w:ind w:left="20"/>
              <w:spacing w:after="0" w:line="127" w:lineRule="exact"/>
              <w:rPr>
                <w:sz w:val="20"/>
                <w:szCs w:val="20"/>
                <w:color w:val="auto"/>
              </w:rPr>
            </w:pPr>
            <w:r>
              <w:rPr>
                <w:rFonts w:ascii="Times New Roman" w:cs="Times New Roman" w:eastAsia="Times New Roman" w:hAnsi="Times New Roman"/>
                <w:sz w:val="11"/>
                <w:szCs w:val="11"/>
                <w:color w:val="auto"/>
                <w:w w:val="99"/>
              </w:rPr>
              <w:t xml:space="preserve">KL Stockton Co-Invest LP (Any Hour Services) </w:t>
            </w:r>
            <w:r>
              <w:rPr>
                <w:rFonts w:ascii="Times New Roman" w:cs="Times New Roman" w:eastAsia="Times New Roman" w:hAnsi="Times New Roman"/>
                <w:sz w:val="14"/>
                <w:szCs w:val="14"/>
                <w:color w:val="auto"/>
                <w:w w:val="99"/>
                <w:vertAlign w:val="superscript"/>
              </w:rPr>
              <w:t>(7),</w:t>
            </w:r>
          </w:p>
        </w:tc>
        <w:tc>
          <w:tcPr>
            <w:tcW w:w="120" w:type="dxa"/>
            <w:vAlign w:val="bottom"/>
          </w:tcPr>
          <w:p>
            <w:pPr>
              <w:spacing w:after="0"/>
              <w:rPr>
                <w:sz w:val="10"/>
                <w:szCs w:val="10"/>
                <w:color w:val="auto"/>
              </w:rPr>
            </w:pPr>
          </w:p>
        </w:tc>
        <w:tc>
          <w:tcPr>
            <w:tcW w:w="1080" w:type="dxa"/>
            <w:vAlign w:val="bottom"/>
            <w:gridSpan w:val="3"/>
          </w:tcPr>
          <w:p>
            <w:pPr>
              <w:ind w:left="600"/>
              <w:spacing w:after="0"/>
              <w:rPr>
                <w:sz w:val="20"/>
                <w:szCs w:val="20"/>
                <w:color w:val="auto"/>
              </w:rPr>
            </w:pPr>
            <w:r>
              <w:rPr>
                <w:rFonts w:ascii="Times New Roman" w:cs="Times New Roman" w:eastAsia="Times New Roman" w:hAnsi="Times New Roman"/>
                <w:sz w:val="11"/>
                <w:szCs w:val="11"/>
                <w:color w:val="auto"/>
              </w:rPr>
              <w:t>—</w:t>
            </w:r>
          </w:p>
        </w:tc>
        <w:tc>
          <w:tcPr>
            <w:tcW w:w="2460" w:type="dxa"/>
            <w:vAlign w:val="bottom"/>
          </w:tcPr>
          <w:p>
            <w:pPr>
              <w:jc w:val="center"/>
              <w:ind w:right="46"/>
              <w:spacing w:after="0"/>
              <w:rPr>
                <w:sz w:val="20"/>
                <w:szCs w:val="20"/>
                <w:color w:val="auto"/>
              </w:rPr>
            </w:pPr>
            <w:r>
              <w:rPr>
                <w:rFonts w:ascii="Times New Roman" w:cs="Times New Roman" w:eastAsia="Times New Roman" w:hAnsi="Times New Roman"/>
                <w:sz w:val="11"/>
                <w:szCs w:val="11"/>
                <w:color w:val="auto"/>
                <w:w w:val="98"/>
              </w:rPr>
              <w:t>Energy Equipment and Services</w:t>
            </w:r>
          </w:p>
        </w:tc>
        <w:tc>
          <w:tcPr>
            <w:tcW w:w="120" w:type="dxa"/>
            <w:vAlign w:val="bottom"/>
          </w:tcPr>
          <w:p>
            <w:pPr>
              <w:spacing w:after="0"/>
              <w:rPr>
                <w:sz w:val="10"/>
                <w:szCs w:val="10"/>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Pr>
          <w:p>
            <w:pPr>
              <w:ind w:left="660"/>
              <w:spacing w:after="0"/>
              <w:rPr>
                <w:sz w:val="20"/>
                <w:szCs w:val="20"/>
                <w:color w:val="auto"/>
              </w:rPr>
            </w:pPr>
            <w:r>
              <w:rPr>
                <w:rFonts w:ascii="Times New Roman" w:cs="Times New Roman" w:eastAsia="Times New Roman" w:hAnsi="Times New Roman"/>
                <w:sz w:val="11"/>
                <w:szCs w:val="11"/>
                <w:color w:val="auto"/>
                <w:w w:val="90"/>
              </w:rPr>
              <w:t>—</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382,353</w:t>
            </w: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382</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382</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2320" w:type="dxa"/>
            <w:vAlign w:val="bottom"/>
          </w:tcPr>
          <w:p>
            <w:pPr>
              <w:ind w:left="20"/>
              <w:spacing w:after="0"/>
              <w:rPr>
                <w:sz w:val="20"/>
                <w:szCs w:val="20"/>
                <w:color w:val="auto"/>
              </w:rPr>
            </w:pPr>
            <w:r>
              <w:rPr>
                <w:rFonts w:ascii="Times New Roman" w:cs="Times New Roman" w:eastAsia="Times New Roman" w:hAnsi="Times New Roman"/>
                <w:sz w:val="7"/>
                <w:szCs w:val="7"/>
                <w:color w:val="auto"/>
              </w:rPr>
              <w:t>(8)</w:t>
            </w:r>
          </w:p>
        </w:tc>
        <w:tc>
          <w:tcPr>
            <w:tcW w:w="120" w:type="dxa"/>
            <w:vAlign w:val="bottom"/>
          </w:tcPr>
          <w:p>
            <w:pPr>
              <w:spacing w:after="0"/>
              <w:rPr>
                <w:sz w:val="7"/>
                <w:szCs w:val="7"/>
                <w:color w:val="auto"/>
              </w:rPr>
            </w:pPr>
          </w:p>
        </w:tc>
        <w:tc>
          <w:tcPr>
            <w:tcW w:w="720" w:type="dxa"/>
            <w:vAlign w:val="bottom"/>
          </w:tcPr>
          <w:p>
            <w:pPr>
              <w:spacing w:after="0"/>
              <w:rPr>
                <w:sz w:val="7"/>
                <w:szCs w:val="7"/>
                <w:color w:val="auto"/>
              </w:rPr>
            </w:pPr>
          </w:p>
        </w:tc>
        <w:tc>
          <w:tcPr>
            <w:tcW w:w="2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460" w:type="dxa"/>
            <w:vAlign w:val="bottom"/>
          </w:tcPr>
          <w:p>
            <w:pPr>
              <w:spacing w:after="0"/>
              <w:rPr>
                <w:sz w:val="7"/>
                <w:szCs w:val="7"/>
                <w:color w:val="auto"/>
              </w:rPr>
            </w:pPr>
          </w:p>
        </w:tc>
        <w:tc>
          <w:tcPr>
            <w:tcW w:w="120" w:type="dxa"/>
            <w:vAlign w:val="bottom"/>
          </w:tcPr>
          <w:p>
            <w:pPr>
              <w:spacing w:after="0"/>
              <w:rPr>
                <w:sz w:val="7"/>
                <w:szCs w:val="7"/>
                <w:color w:val="auto"/>
              </w:rPr>
            </w:pPr>
          </w:p>
        </w:tc>
        <w:tc>
          <w:tcPr>
            <w:tcW w:w="980" w:type="dxa"/>
            <w:vAlign w:val="bottom"/>
          </w:tcPr>
          <w:p>
            <w:pPr>
              <w:spacing w:after="0"/>
              <w:rPr>
                <w:sz w:val="7"/>
                <w:szCs w:val="7"/>
                <w:color w:val="auto"/>
              </w:rPr>
            </w:pPr>
          </w:p>
        </w:tc>
        <w:tc>
          <w:tcPr>
            <w:tcW w:w="220" w:type="dxa"/>
            <w:vAlign w:val="bottom"/>
          </w:tcPr>
          <w:p>
            <w:pPr>
              <w:spacing w:after="0"/>
              <w:rPr>
                <w:sz w:val="7"/>
                <w:szCs w:val="7"/>
                <w:color w:val="auto"/>
              </w:rPr>
            </w:pPr>
          </w:p>
        </w:tc>
        <w:tc>
          <w:tcPr>
            <w:tcW w:w="780" w:type="dxa"/>
            <w:vAlign w:val="bottom"/>
          </w:tcPr>
          <w:p>
            <w:pPr>
              <w:spacing w:after="0"/>
              <w:rPr>
                <w:sz w:val="7"/>
                <w:szCs w:val="7"/>
                <w:color w:val="auto"/>
              </w:rPr>
            </w:pPr>
          </w:p>
        </w:tc>
        <w:tc>
          <w:tcPr>
            <w:tcW w:w="220" w:type="dxa"/>
            <w:vAlign w:val="bottom"/>
          </w:tcPr>
          <w:p>
            <w:pPr>
              <w:spacing w:after="0"/>
              <w:rPr>
                <w:sz w:val="7"/>
                <w:szCs w:val="7"/>
                <w:color w:val="auto"/>
              </w:rPr>
            </w:pPr>
          </w:p>
        </w:tc>
        <w:tc>
          <w:tcPr>
            <w:tcW w:w="8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7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232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Kentucky Racing Holdco, LLC (Warrants) </w:t>
            </w:r>
            <w:r>
              <w:rPr>
                <w:rFonts w:ascii="Times New Roman" w:cs="Times New Roman" w:eastAsia="Times New Roman" w:hAnsi="Times New Roman"/>
                <w:sz w:val="14"/>
                <w:szCs w:val="14"/>
                <w:color w:val="auto"/>
                <w:vertAlign w:val="superscript"/>
              </w:rPr>
              <w:t>(7), (8)</w:t>
            </w:r>
          </w:p>
        </w:tc>
        <w:tc>
          <w:tcPr>
            <w:tcW w:w="120" w:type="dxa"/>
            <w:vAlign w:val="bottom"/>
          </w:tcPr>
          <w:p>
            <w:pPr>
              <w:spacing w:after="0"/>
              <w:rPr>
                <w:sz w:val="11"/>
                <w:szCs w:val="11"/>
                <w:color w:val="auto"/>
              </w:rPr>
            </w:pPr>
          </w:p>
        </w:tc>
        <w:tc>
          <w:tcPr>
            <w:tcW w:w="1080" w:type="dxa"/>
            <w:vAlign w:val="bottom"/>
            <w:gridSpan w:val="3"/>
          </w:tcPr>
          <w:p>
            <w:pPr>
              <w:ind w:left="600"/>
              <w:spacing w:after="0"/>
              <w:rPr>
                <w:sz w:val="20"/>
                <w:szCs w:val="20"/>
                <w:color w:val="auto"/>
              </w:rPr>
            </w:pPr>
            <w:r>
              <w:rPr>
                <w:rFonts w:ascii="Times New Roman" w:cs="Times New Roman" w:eastAsia="Times New Roman" w:hAnsi="Times New Roman"/>
                <w:sz w:val="11"/>
                <w:szCs w:val="11"/>
                <w:color w:val="auto"/>
              </w:rPr>
              <w:t>—</w:t>
            </w:r>
          </w:p>
        </w:tc>
        <w:tc>
          <w:tcPr>
            <w:tcW w:w="2460" w:type="dxa"/>
            <w:vAlign w:val="bottom"/>
          </w:tcPr>
          <w:p>
            <w:pPr>
              <w:jc w:val="center"/>
              <w:ind w:right="46"/>
              <w:spacing w:after="0"/>
              <w:rPr>
                <w:sz w:val="20"/>
                <w:szCs w:val="20"/>
                <w:color w:val="auto"/>
              </w:rPr>
            </w:pPr>
            <w:r>
              <w:rPr>
                <w:rFonts w:ascii="Times New Roman" w:cs="Times New Roman" w:eastAsia="Times New Roman" w:hAnsi="Times New Roman"/>
                <w:sz w:val="11"/>
                <w:szCs w:val="11"/>
                <w:color w:val="auto"/>
                <w:w w:val="97"/>
              </w:rPr>
              <w:t>Hotels, Restaurants and Leisure</w:t>
            </w:r>
          </w:p>
        </w:tc>
        <w:tc>
          <w:tcPr>
            <w:tcW w:w="120" w:type="dxa"/>
            <w:vAlign w:val="bottom"/>
          </w:tcPr>
          <w:p>
            <w:pPr>
              <w:spacing w:after="0"/>
              <w:rPr>
                <w:sz w:val="11"/>
                <w:szCs w:val="11"/>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Pr>
          <w:p>
            <w:pPr>
              <w:ind w:left="660"/>
              <w:spacing w:after="0"/>
              <w:rPr>
                <w:sz w:val="20"/>
                <w:szCs w:val="20"/>
                <w:color w:val="auto"/>
              </w:rPr>
            </w:pPr>
            <w:r>
              <w:rPr>
                <w:rFonts w:ascii="Times New Roman" w:cs="Times New Roman" w:eastAsia="Times New Roman" w:hAnsi="Times New Roman"/>
                <w:sz w:val="11"/>
                <w:szCs w:val="11"/>
                <w:color w:val="auto"/>
                <w:w w:val="90"/>
              </w:rPr>
              <w:t>—</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87,345</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621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32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Lightspeed Investment Holdco LLC </w:t>
            </w:r>
            <w:r>
              <w:rPr>
                <w:rFonts w:ascii="Times New Roman" w:cs="Times New Roman" w:eastAsia="Times New Roman" w:hAnsi="Times New Roman"/>
                <w:sz w:val="14"/>
                <w:szCs w:val="14"/>
                <w:color w:val="auto"/>
                <w:vertAlign w:val="superscript"/>
              </w:rPr>
              <w:t>(7)</w:t>
            </w:r>
          </w:p>
        </w:tc>
        <w:tc>
          <w:tcPr>
            <w:tcW w:w="120" w:type="dxa"/>
            <w:vAlign w:val="bottom"/>
          </w:tcPr>
          <w:p>
            <w:pPr>
              <w:spacing w:after="0"/>
              <w:rPr>
                <w:sz w:val="11"/>
                <w:szCs w:val="11"/>
                <w:color w:val="auto"/>
              </w:rPr>
            </w:pPr>
          </w:p>
        </w:tc>
        <w:tc>
          <w:tcPr>
            <w:tcW w:w="1080" w:type="dxa"/>
            <w:vAlign w:val="bottom"/>
            <w:gridSpan w:val="3"/>
          </w:tcPr>
          <w:p>
            <w:pPr>
              <w:ind w:left="600"/>
              <w:spacing w:after="0"/>
              <w:rPr>
                <w:sz w:val="20"/>
                <w:szCs w:val="20"/>
                <w:color w:val="auto"/>
              </w:rPr>
            </w:pPr>
            <w:r>
              <w:rPr>
                <w:rFonts w:ascii="Times New Roman" w:cs="Times New Roman" w:eastAsia="Times New Roman" w:hAnsi="Times New Roman"/>
                <w:sz w:val="11"/>
                <w:szCs w:val="11"/>
                <w:color w:val="auto"/>
              </w:rPr>
              <w:t>—</w:t>
            </w:r>
          </w:p>
        </w:tc>
        <w:tc>
          <w:tcPr>
            <w:tcW w:w="2460" w:type="dxa"/>
            <w:vAlign w:val="bottom"/>
          </w:tcPr>
          <w:p>
            <w:pPr>
              <w:jc w:val="center"/>
              <w:ind w:right="46"/>
              <w:spacing w:after="0"/>
              <w:rPr>
                <w:sz w:val="20"/>
                <w:szCs w:val="20"/>
                <w:color w:val="auto"/>
              </w:rPr>
            </w:pPr>
            <w:r>
              <w:rPr>
                <w:rFonts w:ascii="Times New Roman" w:cs="Times New Roman" w:eastAsia="Times New Roman" w:hAnsi="Times New Roman"/>
                <w:sz w:val="11"/>
                <w:szCs w:val="11"/>
                <w:color w:val="auto"/>
                <w:w w:val="97"/>
              </w:rPr>
              <w:t>Healthcare Technology</w:t>
            </w:r>
          </w:p>
        </w:tc>
        <w:tc>
          <w:tcPr>
            <w:tcW w:w="120" w:type="dxa"/>
            <w:vAlign w:val="bottom"/>
          </w:tcPr>
          <w:p>
            <w:pPr>
              <w:spacing w:after="0"/>
              <w:rPr>
                <w:sz w:val="11"/>
                <w:szCs w:val="11"/>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Pr>
          <w:p>
            <w:pPr>
              <w:ind w:left="660"/>
              <w:spacing w:after="0"/>
              <w:rPr>
                <w:sz w:val="20"/>
                <w:szCs w:val="20"/>
                <w:color w:val="auto"/>
              </w:rPr>
            </w:pPr>
            <w:r>
              <w:rPr>
                <w:rFonts w:ascii="Times New Roman" w:cs="Times New Roman" w:eastAsia="Times New Roman" w:hAnsi="Times New Roman"/>
                <w:sz w:val="11"/>
                <w:szCs w:val="11"/>
                <w:color w:val="auto"/>
                <w:w w:val="90"/>
              </w:rPr>
              <w:t>—</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585,587</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586</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674</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32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Mars Intermediate Holdings II, Inc. </w:t>
            </w:r>
            <w:r>
              <w:rPr>
                <w:rFonts w:ascii="Times New Roman" w:cs="Times New Roman" w:eastAsia="Times New Roman" w:hAnsi="Times New Roman"/>
                <w:sz w:val="14"/>
                <w:szCs w:val="14"/>
                <w:color w:val="auto"/>
                <w:vertAlign w:val="superscript"/>
              </w:rPr>
              <w:t>(7)</w:t>
            </w:r>
          </w:p>
        </w:tc>
        <w:tc>
          <w:tcPr>
            <w:tcW w:w="120" w:type="dxa"/>
            <w:vAlign w:val="bottom"/>
          </w:tcPr>
          <w:p>
            <w:pPr>
              <w:spacing w:after="0"/>
              <w:rPr>
                <w:sz w:val="11"/>
                <w:szCs w:val="11"/>
                <w:color w:val="auto"/>
              </w:rPr>
            </w:pPr>
          </w:p>
        </w:tc>
        <w:tc>
          <w:tcPr>
            <w:tcW w:w="1080" w:type="dxa"/>
            <w:vAlign w:val="bottom"/>
            <w:gridSpan w:val="3"/>
          </w:tcPr>
          <w:p>
            <w:pPr>
              <w:ind w:left="600"/>
              <w:spacing w:after="0"/>
              <w:rPr>
                <w:sz w:val="20"/>
                <w:szCs w:val="20"/>
                <w:color w:val="auto"/>
              </w:rPr>
            </w:pPr>
            <w:r>
              <w:rPr>
                <w:rFonts w:ascii="Times New Roman" w:cs="Times New Roman" w:eastAsia="Times New Roman" w:hAnsi="Times New Roman"/>
                <w:sz w:val="11"/>
                <w:szCs w:val="11"/>
                <w:color w:val="auto"/>
              </w:rPr>
              <w:t>—</w:t>
            </w:r>
          </w:p>
        </w:tc>
        <w:tc>
          <w:tcPr>
            <w:tcW w:w="2460" w:type="dxa"/>
            <w:vAlign w:val="bottom"/>
          </w:tcPr>
          <w:p>
            <w:pPr>
              <w:jc w:val="center"/>
              <w:ind w:right="46"/>
              <w:spacing w:after="0"/>
              <w:rPr>
                <w:sz w:val="20"/>
                <w:szCs w:val="20"/>
                <w:color w:val="auto"/>
              </w:rPr>
            </w:pPr>
            <w:r>
              <w:rPr>
                <w:rFonts w:ascii="Times New Roman" w:cs="Times New Roman" w:eastAsia="Times New Roman" w:hAnsi="Times New Roman"/>
                <w:sz w:val="11"/>
                <w:szCs w:val="11"/>
                <w:color w:val="auto"/>
                <w:w w:val="99"/>
              </w:rPr>
              <w:t>Media</w:t>
            </w:r>
          </w:p>
        </w:tc>
        <w:tc>
          <w:tcPr>
            <w:tcW w:w="120" w:type="dxa"/>
            <w:vAlign w:val="bottom"/>
          </w:tcPr>
          <w:p>
            <w:pPr>
              <w:spacing w:after="0"/>
              <w:rPr>
                <w:sz w:val="11"/>
                <w:szCs w:val="11"/>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Pr>
          <w:p>
            <w:pPr>
              <w:ind w:left="660"/>
              <w:spacing w:after="0"/>
              <w:rPr>
                <w:sz w:val="20"/>
                <w:szCs w:val="20"/>
                <w:color w:val="auto"/>
              </w:rPr>
            </w:pPr>
            <w:r>
              <w:rPr>
                <w:rFonts w:ascii="Times New Roman" w:cs="Times New Roman" w:eastAsia="Times New Roman" w:hAnsi="Times New Roman"/>
                <w:sz w:val="11"/>
                <w:szCs w:val="11"/>
                <w:color w:val="auto"/>
                <w:w w:val="90"/>
              </w:rPr>
              <w:t>—</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835</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341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320" w:type="dxa"/>
            <w:vAlign w:val="bottom"/>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MeritDirect Holdings, LP </w:t>
            </w:r>
            <w:r>
              <w:rPr>
                <w:rFonts w:ascii="Times New Roman" w:cs="Times New Roman" w:eastAsia="Times New Roman" w:hAnsi="Times New Roman"/>
                <w:sz w:val="14"/>
                <w:szCs w:val="14"/>
                <w:color w:val="auto"/>
                <w:vertAlign w:val="superscript"/>
              </w:rPr>
              <w:t>(7), (8)</w:t>
            </w:r>
          </w:p>
        </w:tc>
        <w:tc>
          <w:tcPr>
            <w:tcW w:w="120" w:type="dxa"/>
            <w:vAlign w:val="bottom"/>
          </w:tcPr>
          <w:p>
            <w:pPr>
              <w:spacing w:after="0"/>
              <w:rPr>
                <w:sz w:val="13"/>
                <w:szCs w:val="13"/>
                <w:color w:val="auto"/>
              </w:rPr>
            </w:pPr>
          </w:p>
        </w:tc>
        <w:tc>
          <w:tcPr>
            <w:tcW w:w="1080" w:type="dxa"/>
            <w:vAlign w:val="bottom"/>
            <w:gridSpan w:val="3"/>
          </w:tcPr>
          <w:p>
            <w:pPr>
              <w:ind w:left="600"/>
              <w:spacing w:after="0"/>
              <w:rPr>
                <w:sz w:val="20"/>
                <w:szCs w:val="20"/>
                <w:color w:val="auto"/>
              </w:rPr>
            </w:pPr>
            <w:r>
              <w:rPr>
                <w:rFonts w:ascii="Times New Roman" w:cs="Times New Roman" w:eastAsia="Times New Roman" w:hAnsi="Times New Roman"/>
                <w:sz w:val="11"/>
                <w:szCs w:val="11"/>
                <w:color w:val="auto"/>
              </w:rPr>
              <w:t>—</w:t>
            </w:r>
          </w:p>
        </w:tc>
        <w:tc>
          <w:tcPr>
            <w:tcW w:w="2460" w:type="dxa"/>
            <w:vAlign w:val="bottom"/>
          </w:tcPr>
          <w:p>
            <w:pPr>
              <w:jc w:val="center"/>
              <w:ind w:right="46"/>
              <w:spacing w:after="0"/>
              <w:rPr>
                <w:sz w:val="20"/>
                <w:szCs w:val="20"/>
                <w:color w:val="auto"/>
              </w:rPr>
            </w:pPr>
            <w:r>
              <w:rPr>
                <w:rFonts w:ascii="Times New Roman" w:cs="Times New Roman" w:eastAsia="Times New Roman" w:hAnsi="Times New Roman"/>
                <w:sz w:val="11"/>
                <w:szCs w:val="11"/>
                <w:color w:val="auto"/>
                <w:w w:val="99"/>
              </w:rPr>
              <w:t>Media</w:t>
            </w:r>
          </w:p>
        </w:tc>
        <w:tc>
          <w:tcPr>
            <w:tcW w:w="120" w:type="dxa"/>
            <w:vAlign w:val="bottom"/>
          </w:tcPr>
          <w:p>
            <w:pPr>
              <w:spacing w:after="0"/>
              <w:rPr>
                <w:sz w:val="13"/>
                <w:szCs w:val="13"/>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Pr>
          <w:p>
            <w:pPr>
              <w:ind w:left="660"/>
              <w:spacing w:after="0"/>
              <w:rPr>
                <w:sz w:val="20"/>
                <w:szCs w:val="20"/>
                <w:color w:val="auto"/>
              </w:rPr>
            </w:pPr>
            <w:r>
              <w:rPr>
                <w:rFonts w:ascii="Times New Roman" w:cs="Times New Roman" w:eastAsia="Times New Roman" w:hAnsi="Times New Roman"/>
                <w:sz w:val="11"/>
                <w:szCs w:val="11"/>
                <w:color w:val="auto"/>
                <w:w w:val="90"/>
              </w:rPr>
              <w:t>—</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960</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224</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2320" w:type="dxa"/>
            <w:vAlign w:val="bottom"/>
          </w:tcPr>
          <w:p>
            <w:pPr>
              <w:ind w:left="20"/>
              <w:spacing w:after="0" w:line="117" w:lineRule="exact"/>
              <w:rPr>
                <w:sz w:val="20"/>
                <w:szCs w:val="20"/>
                <w:color w:val="auto"/>
              </w:rPr>
            </w:pPr>
            <w:r>
              <w:rPr>
                <w:rFonts w:ascii="Times New Roman" w:cs="Times New Roman" w:eastAsia="Times New Roman" w:hAnsi="Times New Roman"/>
                <w:sz w:val="11"/>
                <w:szCs w:val="11"/>
                <w:color w:val="auto"/>
              </w:rPr>
              <w:t>MSpark, LLC (Mailsouth Inc.)</w:t>
            </w:r>
          </w:p>
        </w:tc>
        <w:tc>
          <w:tcPr>
            <w:tcW w:w="120" w:type="dxa"/>
            <w:vAlign w:val="bottom"/>
          </w:tcPr>
          <w:p>
            <w:pPr>
              <w:spacing w:after="0"/>
              <w:rPr>
                <w:sz w:val="10"/>
                <w:szCs w:val="10"/>
                <w:color w:val="auto"/>
              </w:rPr>
            </w:pPr>
          </w:p>
        </w:tc>
        <w:tc>
          <w:tcPr>
            <w:tcW w:w="1080" w:type="dxa"/>
            <w:vAlign w:val="bottom"/>
            <w:gridSpan w:val="3"/>
          </w:tcPr>
          <w:p>
            <w:pPr>
              <w:ind w:left="600"/>
              <w:spacing w:after="0" w:line="117" w:lineRule="exact"/>
              <w:rPr>
                <w:sz w:val="20"/>
                <w:szCs w:val="20"/>
                <w:color w:val="auto"/>
              </w:rPr>
            </w:pPr>
            <w:r>
              <w:rPr>
                <w:rFonts w:ascii="Times New Roman" w:cs="Times New Roman" w:eastAsia="Times New Roman" w:hAnsi="Times New Roman"/>
                <w:sz w:val="11"/>
                <w:szCs w:val="11"/>
                <w:color w:val="auto"/>
              </w:rPr>
              <w:t>—</w:t>
            </w:r>
          </w:p>
        </w:tc>
        <w:tc>
          <w:tcPr>
            <w:tcW w:w="2460" w:type="dxa"/>
            <w:vAlign w:val="bottom"/>
          </w:tcPr>
          <w:p>
            <w:pPr>
              <w:jc w:val="center"/>
              <w:ind w:right="46"/>
              <w:spacing w:after="0" w:line="117" w:lineRule="exact"/>
              <w:rPr>
                <w:sz w:val="20"/>
                <w:szCs w:val="20"/>
                <w:color w:val="auto"/>
              </w:rPr>
            </w:pPr>
            <w:r>
              <w:rPr>
                <w:rFonts w:ascii="Times New Roman" w:cs="Times New Roman" w:eastAsia="Times New Roman" w:hAnsi="Times New Roman"/>
                <w:sz w:val="11"/>
                <w:szCs w:val="11"/>
                <w:color w:val="auto"/>
                <w:w w:val="98"/>
              </w:rPr>
              <w:t>Media: Advertising, Printing and Publishing</w:t>
            </w:r>
          </w:p>
        </w:tc>
        <w:tc>
          <w:tcPr>
            <w:tcW w:w="120" w:type="dxa"/>
            <w:vAlign w:val="bottom"/>
          </w:tcPr>
          <w:p>
            <w:pPr>
              <w:spacing w:after="0"/>
              <w:rPr>
                <w:sz w:val="10"/>
                <w:szCs w:val="10"/>
                <w:color w:val="auto"/>
              </w:rPr>
            </w:pPr>
          </w:p>
        </w:tc>
        <w:tc>
          <w:tcPr>
            <w:tcW w:w="1200" w:type="dxa"/>
            <w:vAlign w:val="bottom"/>
            <w:gridSpan w:val="2"/>
          </w:tcPr>
          <w:p>
            <w:pPr>
              <w:jc w:val="right"/>
              <w:ind w:right="240"/>
              <w:spacing w:after="0" w:line="117" w:lineRule="exact"/>
              <w:rPr>
                <w:sz w:val="20"/>
                <w:szCs w:val="20"/>
                <w:color w:val="auto"/>
              </w:rPr>
            </w:pPr>
            <w:r>
              <w:rPr>
                <w:rFonts w:ascii="Times New Roman" w:cs="Times New Roman" w:eastAsia="Times New Roman" w:hAnsi="Times New Roman"/>
                <w:sz w:val="11"/>
                <w:szCs w:val="11"/>
                <w:color w:val="auto"/>
              </w:rPr>
              <w:t>—</w:t>
            </w:r>
          </w:p>
        </w:tc>
        <w:tc>
          <w:tcPr>
            <w:tcW w:w="780" w:type="dxa"/>
            <w:vAlign w:val="bottom"/>
          </w:tcPr>
          <w:p>
            <w:pPr>
              <w:ind w:left="660"/>
              <w:spacing w:after="0" w:line="117" w:lineRule="exact"/>
              <w:rPr>
                <w:sz w:val="20"/>
                <w:szCs w:val="20"/>
                <w:color w:val="auto"/>
              </w:rPr>
            </w:pPr>
            <w:r>
              <w:rPr>
                <w:rFonts w:ascii="Times New Roman" w:cs="Times New Roman" w:eastAsia="Times New Roman" w:hAnsi="Times New Roman"/>
                <w:sz w:val="11"/>
                <w:szCs w:val="11"/>
                <w:color w:val="auto"/>
                <w:w w:val="90"/>
              </w:rPr>
              <w:t>—</w:t>
            </w:r>
          </w:p>
        </w:tc>
        <w:tc>
          <w:tcPr>
            <w:tcW w:w="104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1"/>
                <w:szCs w:val="11"/>
                <w:color w:val="auto"/>
              </w:rPr>
              <w:t>3,988</w:t>
            </w: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1,288</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859</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32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Municipal Emergency Services, Inc. </w:t>
            </w:r>
            <w:r>
              <w:rPr>
                <w:rFonts w:ascii="Times New Roman" w:cs="Times New Roman" w:eastAsia="Times New Roman" w:hAnsi="Times New Roman"/>
                <w:sz w:val="14"/>
                <w:szCs w:val="14"/>
                <w:color w:val="auto"/>
                <w:vertAlign w:val="superscript"/>
              </w:rPr>
              <w:t>(7)</w:t>
            </w:r>
          </w:p>
        </w:tc>
        <w:tc>
          <w:tcPr>
            <w:tcW w:w="120" w:type="dxa"/>
            <w:vAlign w:val="bottom"/>
          </w:tcPr>
          <w:p>
            <w:pPr>
              <w:spacing w:after="0"/>
              <w:rPr>
                <w:sz w:val="11"/>
                <w:szCs w:val="11"/>
                <w:color w:val="auto"/>
              </w:rPr>
            </w:pPr>
          </w:p>
        </w:tc>
        <w:tc>
          <w:tcPr>
            <w:tcW w:w="1080" w:type="dxa"/>
            <w:vAlign w:val="bottom"/>
            <w:gridSpan w:val="3"/>
          </w:tcPr>
          <w:p>
            <w:pPr>
              <w:ind w:left="600"/>
              <w:spacing w:after="0"/>
              <w:rPr>
                <w:sz w:val="20"/>
                <w:szCs w:val="20"/>
                <w:color w:val="auto"/>
              </w:rPr>
            </w:pPr>
            <w:r>
              <w:rPr>
                <w:rFonts w:ascii="Times New Roman" w:cs="Times New Roman" w:eastAsia="Times New Roman" w:hAnsi="Times New Roman"/>
                <w:sz w:val="11"/>
                <w:szCs w:val="11"/>
                <w:color w:val="auto"/>
              </w:rPr>
              <w:t>—</w:t>
            </w:r>
          </w:p>
        </w:tc>
        <w:tc>
          <w:tcPr>
            <w:tcW w:w="2460" w:type="dxa"/>
            <w:vAlign w:val="bottom"/>
          </w:tcPr>
          <w:p>
            <w:pPr>
              <w:jc w:val="center"/>
              <w:ind w:right="46"/>
              <w:spacing w:after="0"/>
              <w:rPr>
                <w:sz w:val="20"/>
                <w:szCs w:val="20"/>
                <w:color w:val="auto"/>
              </w:rPr>
            </w:pPr>
            <w:r>
              <w:rPr>
                <w:rFonts w:ascii="Times New Roman" w:cs="Times New Roman" w:eastAsia="Times New Roman" w:hAnsi="Times New Roman"/>
                <w:sz w:val="11"/>
                <w:szCs w:val="11"/>
                <w:color w:val="auto"/>
                <w:w w:val="98"/>
              </w:rPr>
              <w:t>Distributors</w:t>
            </w:r>
          </w:p>
        </w:tc>
        <w:tc>
          <w:tcPr>
            <w:tcW w:w="120" w:type="dxa"/>
            <w:vAlign w:val="bottom"/>
          </w:tcPr>
          <w:p>
            <w:pPr>
              <w:spacing w:after="0"/>
              <w:rPr>
                <w:sz w:val="11"/>
                <w:szCs w:val="11"/>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Pr>
          <w:p>
            <w:pPr>
              <w:ind w:left="660"/>
              <w:spacing w:after="0"/>
              <w:rPr>
                <w:sz w:val="20"/>
                <w:szCs w:val="20"/>
                <w:color w:val="auto"/>
              </w:rPr>
            </w:pPr>
            <w:r>
              <w:rPr>
                <w:rFonts w:ascii="Times New Roman" w:cs="Times New Roman" w:eastAsia="Times New Roman" w:hAnsi="Times New Roman"/>
                <w:sz w:val="11"/>
                <w:szCs w:val="11"/>
                <w:color w:val="auto"/>
                <w:w w:val="90"/>
              </w:rPr>
              <w:t>—</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802,162</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802</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802</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32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w w:val="98"/>
              </w:rPr>
              <w:t xml:space="preserve">NEPRT Parent Holdings, LLC (Recteq, LLC) </w:t>
            </w:r>
            <w:r>
              <w:rPr>
                <w:rFonts w:ascii="Times New Roman" w:cs="Times New Roman" w:eastAsia="Times New Roman" w:hAnsi="Times New Roman"/>
                <w:sz w:val="14"/>
                <w:szCs w:val="14"/>
                <w:color w:val="auto"/>
                <w:w w:val="98"/>
                <w:vertAlign w:val="superscript"/>
              </w:rPr>
              <w:t>(7), (8)</w:t>
            </w:r>
          </w:p>
        </w:tc>
        <w:tc>
          <w:tcPr>
            <w:tcW w:w="120" w:type="dxa"/>
            <w:vAlign w:val="bottom"/>
          </w:tcPr>
          <w:p>
            <w:pPr>
              <w:spacing w:after="0"/>
              <w:rPr>
                <w:sz w:val="11"/>
                <w:szCs w:val="11"/>
                <w:color w:val="auto"/>
              </w:rPr>
            </w:pPr>
          </w:p>
        </w:tc>
        <w:tc>
          <w:tcPr>
            <w:tcW w:w="1080" w:type="dxa"/>
            <w:vAlign w:val="bottom"/>
            <w:gridSpan w:val="3"/>
          </w:tcPr>
          <w:p>
            <w:pPr>
              <w:ind w:left="600"/>
              <w:spacing w:after="0"/>
              <w:rPr>
                <w:sz w:val="20"/>
                <w:szCs w:val="20"/>
                <w:color w:val="auto"/>
              </w:rPr>
            </w:pPr>
            <w:r>
              <w:rPr>
                <w:rFonts w:ascii="Times New Roman" w:cs="Times New Roman" w:eastAsia="Times New Roman" w:hAnsi="Times New Roman"/>
                <w:sz w:val="11"/>
                <w:szCs w:val="11"/>
                <w:color w:val="auto"/>
              </w:rPr>
              <w:t>—</w:t>
            </w:r>
          </w:p>
        </w:tc>
        <w:tc>
          <w:tcPr>
            <w:tcW w:w="2460" w:type="dxa"/>
            <w:vAlign w:val="bottom"/>
          </w:tcPr>
          <w:p>
            <w:pPr>
              <w:jc w:val="center"/>
              <w:ind w:right="46"/>
              <w:spacing w:after="0"/>
              <w:rPr>
                <w:sz w:val="20"/>
                <w:szCs w:val="20"/>
                <w:color w:val="auto"/>
              </w:rPr>
            </w:pPr>
            <w:r>
              <w:rPr>
                <w:rFonts w:ascii="Times New Roman" w:cs="Times New Roman" w:eastAsia="Times New Roman" w:hAnsi="Times New Roman"/>
                <w:sz w:val="11"/>
                <w:szCs w:val="11"/>
                <w:color w:val="auto"/>
                <w:w w:val="96"/>
              </w:rPr>
              <w:t>Leisure Products</w:t>
            </w:r>
          </w:p>
        </w:tc>
        <w:tc>
          <w:tcPr>
            <w:tcW w:w="120" w:type="dxa"/>
            <w:vAlign w:val="bottom"/>
          </w:tcPr>
          <w:p>
            <w:pPr>
              <w:spacing w:after="0"/>
              <w:rPr>
                <w:sz w:val="11"/>
                <w:szCs w:val="11"/>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Pr>
          <w:p>
            <w:pPr>
              <w:ind w:left="660"/>
              <w:spacing w:after="0"/>
              <w:rPr>
                <w:sz w:val="20"/>
                <w:szCs w:val="20"/>
                <w:color w:val="auto"/>
              </w:rPr>
            </w:pPr>
            <w:r>
              <w:rPr>
                <w:rFonts w:ascii="Times New Roman" w:cs="Times New Roman" w:eastAsia="Times New Roman" w:hAnsi="Times New Roman"/>
                <w:sz w:val="11"/>
                <w:szCs w:val="11"/>
                <w:color w:val="auto"/>
                <w:w w:val="90"/>
              </w:rPr>
              <w:t>—</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1,494</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1,452</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1,767</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320" w:type="dxa"/>
            <w:vAlign w:val="bottom"/>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NXOF Holdings, Inc. (Tyto Athene, LLC) </w:t>
            </w:r>
            <w:r>
              <w:rPr>
                <w:rFonts w:ascii="Times New Roman" w:cs="Times New Roman" w:eastAsia="Times New Roman" w:hAnsi="Times New Roman"/>
                <w:sz w:val="14"/>
                <w:szCs w:val="14"/>
                <w:color w:val="auto"/>
                <w:vertAlign w:val="superscript"/>
              </w:rPr>
              <w:t>(7)</w:t>
            </w:r>
          </w:p>
        </w:tc>
        <w:tc>
          <w:tcPr>
            <w:tcW w:w="120" w:type="dxa"/>
            <w:vAlign w:val="bottom"/>
          </w:tcPr>
          <w:p>
            <w:pPr>
              <w:spacing w:after="0"/>
              <w:rPr>
                <w:sz w:val="13"/>
                <w:szCs w:val="13"/>
                <w:color w:val="auto"/>
              </w:rPr>
            </w:pPr>
          </w:p>
        </w:tc>
        <w:tc>
          <w:tcPr>
            <w:tcW w:w="1080" w:type="dxa"/>
            <w:vAlign w:val="bottom"/>
            <w:gridSpan w:val="3"/>
          </w:tcPr>
          <w:p>
            <w:pPr>
              <w:ind w:left="600"/>
              <w:spacing w:after="0"/>
              <w:rPr>
                <w:sz w:val="20"/>
                <w:szCs w:val="20"/>
                <w:color w:val="auto"/>
              </w:rPr>
            </w:pPr>
            <w:r>
              <w:rPr>
                <w:rFonts w:ascii="Times New Roman" w:cs="Times New Roman" w:eastAsia="Times New Roman" w:hAnsi="Times New Roman"/>
                <w:sz w:val="11"/>
                <w:szCs w:val="11"/>
                <w:color w:val="auto"/>
              </w:rPr>
              <w:t>—</w:t>
            </w:r>
          </w:p>
        </w:tc>
        <w:tc>
          <w:tcPr>
            <w:tcW w:w="2460" w:type="dxa"/>
            <w:vAlign w:val="bottom"/>
          </w:tcPr>
          <w:p>
            <w:pPr>
              <w:jc w:val="center"/>
              <w:ind w:right="46"/>
              <w:spacing w:after="0"/>
              <w:rPr>
                <w:sz w:val="20"/>
                <w:szCs w:val="20"/>
                <w:color w:val="auto"/>
              </w:rPr>
            </w:pPr>
            <w:r>
              <w:rPr>
                <w:rFonts w:ascii="Times New Roman" w:cs="Times New Roman" w:eastAsia="Times New Roman" w:hAnsi="Times New Roman"/>
                <w:sz w:val="11"/>
                <w:szCs w:val="11"/>
                <w:color w:val="auto"/>
                <w:w w:val="95"/>
              </w:rPr>
              <w:t>IT Services</w:t>
            </w:r>
          </w:p>
        </w:tc>
        <w:tc>
          <w:tcPr>
            <w:tcW w:w="120" w:type="dxa"/>
            <w:vAlign w:val="bottom"/>
          </w:tcPr>
          <w:p>
            <w:pPr>
              <w:spacing w:after="0"/>
              <w:rPr>
                <w:sz w:val="13"/>
                <w:szCs w:val="13"/>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Pr>
          <w:p>
            <w:pPr>
              <w:ind w:left="660"/>
              <w:spacing w:after="0"/>
              <w:rPr>
                <w:sz w:val="20"/>
                <w:szCs w:val="20"/>
                <w:color w:val="auto"/>
              </w:rPr>
            </w:pPr>
            <w:r>
              <w:rPr>
                <w:rFonts w:ascii="Times New Roman" w:cs="Times New Roman" w:eastAsia="Times New Roman" w:hAnsi="Times New Roman"/>
                <w:sz w:val="11"/>
                <w:szCs w:val="11"/>
                <w:color w:val="auto"/>
                <w:w w:val="90"/>
              </w:rPr>
              <w:t>—</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14,960</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855</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2320" w:type="dxa"/>
            <w:vAlign w:val="bottom"/>
          </w:tcPr>
          <w:p>
            <w:pPr>
              <w:ind w:left="20"/>
              <w:spacing w:after="0" w:line="109" w:lineRule="exact"/>
              <w:rPr>
                <w:sz w:val="20"/>
                <w:szCs w:val="20"/>
                <w:color w:val="auto"/>
              </w:rPr>
            </w:pPr>
            <w:r>
              <w:rPr>
                <w:rFonts w:ascii="Times New Roman" w:cs="Times New Roman" w:eastAsia="Times New Roman" w:hAnsi="Times New Roman"/>
                <w:sz w:val="11"/>
                <w:szCs w:val="11"/>
                <w:color w:val="auto"/>
              </w:rPr>
              <w:t>OceanSound Discovery Equity, LP (Holdco Sands</w:t>
            </w:r>
          </w:p>
        </w:tc>
        <w:tc>
          <w:tcPr>
            <w:tcW w:w="120" w:type="dxa"/>
            <w:vAlign w:val="bottom"/>
          </w:tcPr>
          <w:p>
            <w:pPr>
              <w:spacing w:after="0"/>
              <w:rPr>
                <w:sz w:val="9"/>
                <w:szCs w:val="9"/>
                <w:color w:val="auto"/>
              </w:rPr>
            </w:pPr>
          </w:p>
        </w:tc>
        <w:tc>
          <w:tcPr>
            <w:tcW w:w="1080" w:type="dxa"/>
            <w:vAlign w:val="bottom"/>
            <w:gridSpan w:val="3"/>
          </w:tcPr>
          <w:p>
            <w:pPr>
              <w:ind w:left="600"/>
              <w:spacing w:after="0" w:line="109" w:lineRule="exact"/>
              <w:rPr>
                <w:sz w:val="20"/>
                <w:szCs w:val="20"/>
                <w:color w:val="auto"/>
              </w:rPr>
            </w:pPr>
            <w:r>
              <w:rPr>
                <w:rFonts w:ascii="Times New Roman" w:cs="Times New Roman" w:eastAsia="Times New Roman" w:hAnsi="Times New Roman"/>
                <w:sz w:val="11"/>
                <w:szCs w:val="11"/>
                <w:color w:val="auto"/>
              </w:rPr>
              <w:t>—</w:t>
            </w:r>
          </w:p>
        </w:tc>
        <w:tc>
          <w:tcPr>
            <w:tcW w:w="2460" w:type="dxa"/>
            <w:vAlign w:val="bottom"/>
          </w:tcPr>
          <w:p>
            <w:pPr>
              <w:jc w:val="center"/>
              <w:ind w:right="66"/>
              <w:spacing w:after="0" w:line="109" w:lineRule="exact"/>
              <w:rPr>
                <w:sz w:val="20"/>
                <w:szCs w:val="20"/>
                <w:color w:val="auto"/>
              </w:rPr>
            </w:pPr>
            <w:r>
              <w:rPr>
                <w:rFonts w:ascii="Times New Roman" w:cs="Times New Roman" w:eastAsia="Times New Roman" w:hAnsi="Times New Roman"/>
                <w:sz w:val="11"/>
                <w:szCs w:val="11"/>
                <w:color w:val="auto"/>
                <w:w w:val="98"/>
              </w:rPr>
              <w:t>Aerospace and Defense</w:t>
            </w:r>
          </w:p>
        </w:tc>
        <w:tc>
          <w:tcPr>
            <w:tcW w:w="120" w:type="dxa"/>
            <w:vAlign w:val="bottom"/>
          </w:tcPr>
          <w:p>
            <w:pPr>
              <w:spacing w:after="0"/>
              <w:rPr>
                <w:sz w:val="9"/>
                <w:szCs w:val="9"/>
                <w:color w:val="auto"/>
              </w:rPr>
            </w:pPr>
          </w:p>
        </w:tc>
        <w:tc>
          <w:tcPr>
            <w:tcW w:w="1200" w:type="dxa"/>
            <w:vAlign w:val="bottom"/>
            <w:gridSpan w:val="2"/>
          </w:tcPr>
          <w:p>
            <w:pPr>
              <w:jc w:val="right"/>
              <w:ind w:right="240"/>
              <w:spacing w:after="0" w:line="109" w:lineRule="exact"/>
              <w:rPr>
                <w:sz w:val="20"/>
                <w:szCs w:val="20"/>
                <w:color w:val="auto"/>
              </w:rPr>
            </w:pPr>
            <w:r>
              <w:rPr>
                <w:rFonts w:ascii="Times New Roman" w:cs="Times New Roman" w:eastAsia="Times New Roman" w:hAnsi="Times New Roman"/>
                <w:sz w:val="11"/>
                <w:szCs w:val="11"/>
                <w:color w:val="auto"/>
              </w:rPr>
              <w:t>—</w:t>
            </w:r>
          </w:p>
        </w:tc>
        <w:tc>
          <w:tcPr>
            <w:tcW w:w="780" w:type="dxa"/>
            <w:vAlign w:val="bottom"/>
          </w:tcPr>
          <w:p>
            <w:pPr>
              <w:ind w:left="660"/>
              <w:spacing w:after="0" w:line="109" w:lineRule="exact"/>
              <w:rPr>
                <w:sz w:val="20"/>
                <w:szCs w:val="20"/>
                <w:color w:val="auto"/>
              </w:rPr>
            </w:pPr>
            <w:r>
              <w:rPr>
                <w:rFonts w:ascii="Times New Roman" w:cs="Times New Roman" w:eastAsia="Times New Roman" w:hAnsi="Times New Roman"/>
                <w:sz w:val="11"/>
                <w:szCs w:val="11"/>
                <w:color w:val="auto"/>
                <w:w w:val="90"/>
              </w:rPr>
              <w:t>—</w:t>
            </w:r>
          </w:p>
        </w:tc>
        <w:tc>
          <w:tcPr>
            <w:tcW w:w="1040" w:type="dxa"/>
            <w:vAlign w:val="bottom"/>
            <w:gridSpan w:val="2"/>
          </w:tcPr>
          <w:p>
            <w:pPr>
              <w:jc w:val="right"/>
              <w:spacing w:after="0" w:line="109" w:lineRule="exact"/>
              <w:rPr>
                <w:sz w:val="20"/>
                <w:szCs w:val="20"/>
                <w:color w:val="auto"/>
              </w:rPr>
            </w:pPr>
            <w:r>
              <w:rPr>
                <w:rFonts w:ascii="Times New Roman" w:cs="Times New Roman" w:eastAsia="Times New Roman" w:hAnsi="Times New Roman"/>
                <w:sz w:val="11"/>
                <w:szCs w:val="11"/>
                <w:color w:val="auto"/>
              </w:rPr>
              <w:t>173,638</w:t>
            </w: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tcPr>
          <w:p>
            <w:pPr>
              <w:jc w:val="right"/>
              <w:spacing w:after="0" w:line="109" w:lineRule="exact"/>
              <w:rPr>
                <w:sz w:val="20"/>
                <w:szCs w:val="20"/>
                <w:color w:val="auto"/>
              </w:rPr>
            </w:pPr>
            <w:r>
              <w:rPr>
                <w:rFonts w:ascii="Times New Roman" w:cs="Times New Roman" w:eastAsia="Times New Roman" w:hAnsi="Times New Roman"/>
                <w:sz w:val="11"/>
                <w:szCs w:val="11"/>
                <w:color w:val="auto"/>
              </w:rPr>
              <w:t>1,729</w:t>
            </w: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jc w:val="right"/>
              <w:spacing w:after="0" w:line="109" w:lineRule="exact"/>
              <w:rPr>
                <w:sz w:val="20"/>
                <w:szCs w:val="20"/>
                <w:color w:val="auto"/>
              </w:rPr>
            </w:pPr>
            <w:r>
              <w:rPr>
                <w:rFonts w:ascii="Times New Roman" w:cs="Times New Roman" w:eastAsia="Times New Roman" w:hAnsi="Times New Roman"/>
                <w:sz w:val="11"/>
                <w:szCs w:val="11"/>
                <w:color w:val="auto"/>
              </w:rPr>
              <w:t>2,870</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2320" w:type="dxa"/>
            <w:vAlign w:val="bottom"/>
          </w:tcPr>
          <w:p>
            <w:pPr>
              <w:ind w:left="20"/>
              <w:spacing w:after="0" w:line="149" w:lineRule="exact"/>
              <w:rPr>
                <w:sz w:val="20"/>
                <w:szCs w:val="20"/>
                <w:color w:val="auto"/>
              </w:rPr>
            </w:pPr>
            <w:r>
              <w:rPr>
                <w:rFonts w:ascii="Times New Roman" w:cs="Times New Roman" w:eastAsia="Times New Roman" w:hAnsi="Times New Roman"/>
                <w:sz w:val="11"/>
                <w:szCs w:val="11"/>
                <w:color w:val="auto"/>
              </w:rPr>
              <w:t xml:space="preserve">Intermediate, LLC) </w:t>
            </w:r>
            <w:r>
              <w:rPr>
                <w:rFonts w:ascii="Times New Roman" w:cs="Times New Roman" w:eastAsia="Times New Roman" w:hAnsi="Times New Roman"/>
                <w:sz w:val="14"/>
                <w:szCs w:val="14"/>
                <w:color w:val="auto"/>
                <w:vertAlign w:val="superscript"/>
              </w:rPr>
              <w:t>(7), (8)</w:t>
            </w: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320" w:type="dxa"/>
            <w:vAlign w:val="bottom"/>
          </w:tcPr>
          <w:p>
            <w:pPr>
              <w:ind w:left="20"/>
              <w:spacing w:after="0" w:line="109" w:lineRule="exact"/>
              <w:rPr>
                <w:sz w:val="20"/>
                <w:szCs w:val="20"/>
                <w:color w:val="auto"/>
              </w:rPr>
            </w:pPr>
            <w:r>
              <w:rPr>
                <w:rFonts w:ascii="Times New Roman" w:cs="Times New Roman" w:eastAsia="Times New Roman" w:hAnsi="Times New Roman"/>
                <w:sz w:val="11"/>
                <w:szCs w:val="11"/>
                <w:color w:val="auto"/>
              </w:rPr>
              <w:t>Oral Surgery (ITC) Holdings, LLC (OIS</w:t>
            </w:r>
          </w:p>
        </w:tc>
        <w:tc>
          <w:tcPr>
            <w:tcW w:w="120" w:type="dxa"/>
            <w:vAlign w:val="bottom"/>
          </w:tcPr>
          <w:p>
            <w:pPr>
              <w:spacing w:after="0"/>
              <w:rPr>
                <w:sz w:val="9"/>
                <w:szCs w:val="9"/>
                <w:color w:val="auto"/>
              </w:rPr>
            </w:pPr>
          </w:p>
        </w:tc>
        <w:tc>
          <w:tcPr>
            <w:tcW w:w="1080" w:type="dxa"/>
            <w:vAlign w:val="bottom"/>
            <w:gridSpan w:val="3"/>
          </w:tcPr>
          <w:p>
            <w:pPr>
              <w:ind w:left="600"/>
              <w:spacing w:after="0" w:line="109" w:lineRule="exact"/>
              <w:rPr>
                <w:sz w:val="20"/>
                <w:szCs w:val="20"/>
                <w:color w:val="auto"/>
              </w:rPr>
            </w:pPr>
            <w:r>
              <w:rPr>
                <w:rFonts w:ascii="Times New Roman" w:cs="Times New Roman" w:eastAsia="Times New Roman" w:hAnsi="Times New Roman"/>
                <w:sz w:val="11"/>
                <w:szCs w:val="11"/>
                <w:color w:val="auto"/>
              </w:rPr>
              <w:t>—</w:t>
            </w:r>
          </w:p>
        </w:tc>
        <w:tc>
          <w:tcPr>
            <w:tcW w:w="2460" w:type="dxa"/>
            <w:vAlign w:val="bottom"/>
          </w:tcPr>
          <w:p>
            <w:pPr>
              <w:jc w:val="center"/>
              <w:ind w:right="46"/>
              <w:spacing w:after="0" w:line="109" w:lineRule="exact"/>
              <w:rPr>
                <w:sz w:val="20"/>
                <w:szCs w:val="20"/>
                <w:color w:val="auto"/>
              </w:rPr>
            </w:pPr>
            <w:r>
              <w:rPr>
                <w:rFonts w:ascii="Times New Roman" w:cs="Times New Roman" w:eastAsia="Times New Roman" w:hAnsi="Times New Roman"/>
                <w:sz w:val="11"/>
                <w:szCs w:val="11"/>
                <w:color w:val="auto"/>
                <w:w w:val="98"/>
              </w:rPr>
              <w:t>Healthcare Equipment and Supplies</w:t>
            </w:r>
          </w:p>
        </w:tc>
        <w:tc>
          <w:tcPr>
            <w:tcW w:w="120" w:type="dxa"/>
            <w:vAlign w:val="bottom"/>
          </w:tcPr>
          <w:p>
            <w:pPr>
              <w:spacing w:after="0"/>
              <w:rPr>
                <w:sz w:val="9"/>
                <w:szCs w:val="9"/>
                <w:color w:val="auto"/>
              </w:rPr>
            </w:pPr>
          </w:p>
        </w:tc>
        <w:tc>
          <w:tcPr>
            <w:tcW w:w="1200" w:type="dxa"/>
            <w:vAlign w:val="bottom"/>
            <w:gridSpan w:val="2"/>
          </w:tcPr>
          <w:p>
            <w:pPr>
              <w:jc w:val="right"/>
              <w:ind w:right="240"/>
              <w:spacing w:after="0" w:line="109" w:lineRule="exact"/>
              <w:rPr>
                <w:sz w:val="20"/>
                <w:szCs w:val="20"/>
                <w:color w:val="auto"/>
              </w:rPr>
            </w:pPr>
            <w:r>
              <w:rPr>
                <w:rFonts w:ascii="Times New Roman" w:cs="Times New Roman" w:eastAsia="Times New Roman" w:hAnsi="Times New Roman"/>
                <w:sz w:val="11"/>
                <w:szCs w:val="11"/>
                <w:color w:val="auto"/>
              </w:rPr>
              <w:t>—</w:t>
            </w:r>
          </w:p>
        </w:tc>
        <w:tc>
          <w:tcPr>
            <w:tcW w:w="780" w:type="dxa"/>
            <w:vAlign w:val="bottom"/>
          </w:tcPr>
          <w:p>
            <w:pPr>
              <w:ind w:left="660"/>
              <w:spacing w:after="0" w:line="109" w:lineRule="exact"/>
              <w:rPr>
                <w:sz w:val="20"/>
                <w:szCs w:val="20"/>
                <w:color w:val="auto"/>
              </w:rPr>
            </w:pPr>
            <w:r>
              <w:rPr>
                <w:rFonts w:ascii="Times New Roman" w:cs="Times New Roman" w:eastAsia="Times New Roman" w:hAnsi="Times New Roman"/>
                <w:sz w:val="11"/>
                <w:szCs w:val="11"/>
                <w:color w:val="auto"/>
                <w:w w:val="90"/>
              </w:rPr>
              <w:t>—</w:t>
            </w:r>
          </w:p>
        </w:tc>
        <w:tc>
          <w:tcPr>
            <w:tcW w:w="1040" w:type="dxa"/>
            <w:vAlign w:val="bottom"/>
            <w:gridSpan w:val="2"/>
          </w:tcPr>
          <w:p>
            <w:pPr>
              <w:jc w:val="right"/>
              <w:spacing w:after="0" w:line="109" w:lineRule="exact"/>
              <w:rPr>
                <w:sz w:val="20"/>
                <w:szCs w:val="20"/>
                <w:color w:val="auto"/>
              </w:rPr>
            </w:pPr>
            <w:r>
              <w:rPr>
                <w:rFonts w:ascii="Times New Roman" w:cs="Times New Roman" w:eastAsia="Times New Roman" w:hAnsi="Times New Roman"/>
                <w:sz w:val="11"/>
                <w:szCs w:val="11"/>
                <w:color w:val="auto"/>
              </w:rPr>
              <w:t>3,872</w:t>
            </w: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tcPr>
          <w:p>
            <w:pPr>
              <w:jc w:val="right"/>
              <w:spacing w:after="0" w:line="109" w:lineRule="exact"/>
              <w:rPr>
                <w:sz w:val="20"/>
                <w:szCs w:val="20"/>
                <w:color w:val="auto"/>
              </w:rPr>
            </w:pPr>
            <w:r>
              <w:rPr>
                <w:rFonts w:ascii="Times New Roman" w:cs="Times New Roman" w:eastAsia="Times New Roman" w:hAnsi="Times New Roman"/>
                <w:sz w:val="11"/>
                <w:szCs w:val="11"/>
                <w:color w:val="auto"/>
              </w:rPr>
              <w:t>83</w:t>
            </w: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jc w:val="right"/>
              <w:spacing w:after="0" w:line="109" w:lineRule="exact"/>
              <w:rPr>
                <w:sz w:val="20"/>
                <w:szCs w:val="20"/>
                <w:color w:val="auto"/>
              </w:rPr>
            </w:pPr>
            <w:r>
              <w:rPr>
                <w:rFonts w:ascii="Times New Roman" w:cs="Times New Roman" w:eastAsia="Times New Roman" w:hAnsi="Times New Roman"/>
                <w:sz w:val="11"/>
                <w:szCs w:val="11"/>
                <w:color w:val="auto"/>
              </w:rPr>
              <w:t>83</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320" w:type="dxa"/>
            <w:vAlign w:val="bottom"/>
          </w:tcPr>
          <w:p>
            <w:pPr>
              <w:ind w:left="20"/>
              <w:spacing w:after="0" w:line="130" w:lineRule="exact"/>
              <w:rPr>
                <w:sz w:val="20"/>
                <w:szCs w:val="20"/>
                <w:color w:val="auto"/>
              </w:rPr>
            </w:pPr>
            <w:r>
              <w:rPr>
                <w:rFonts w:ascii="Times New Roman" w:cs="Times New Roman" w:eastAsia="Times New Roman" w:hAnsi="Times New Roman"/>
                <w:sz w:val="11"/>
                <w:szCs w:val="11"/>
                <w:color w:val="auto"/>
              </w:rPr>
              <w:t xml:space="preserve">Management Services, LLC) </w:t>
            </w:r>
            <w:r>
              <w:rPr>
                <w:rFonts w:ascii="Times New Roman" w:cs="Times New Roman" w:eastAsia="Times New Roman" w:hAnsi="Times New Roman"/>
                <w:sz w:val="14"/>
                <w:szCs w:val="14"/>
                <w:color w:val="auto"/>
                <w:vertAlign w:val="superscript"/>
              </w:rPr>
              <w:t>(7),(8)</w:t>
            </w: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32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ORL Holdco, Inc. </w:t>
            </w:r>
            <w:r>
              <w:rPr>
                <w:rFonts w:ascii="Times New Roman" w:cs="Times New Roman" w:eastAsia="Times New Roman" w:hAnsi="Times New Roman"/>
                <w:sz w:val="14"/>
                <w:szCs w:val="14"/>
                <w:color w:val="auto"/>
                <w:vertAlign w:val="superscript"/>
              </w:rPr>
              <w:t>(7)</w:t>
            </w:r>
          </w:p>
        </w:tc>
        <w:tc>
          <w:tcPr>
            <w:tcW w:w="120" w:type="dxa"/>
            <w:vAlign w:val="bottom"/>
          </w:tcPr>
          <w:p>
            <w:pPr>
              <w:spacing w:after="0"/>
              <w:rPr>
                <w:sz w:val="11"/>
                <w:szCs w:val="11"/>
                <w:color w:val="auto"/>
              </w:rPr>
            </w:pPr>
          </w:p>
        </w:tc>
        <w:tc>
          <w:tcPr>
            <w:tcW w:w="1080" w:type="dxa"/>
            <w:vAlign w:val="bottom"/>
            <w:gridSpan w:val="3"/>
          </w:tcPr>
          <w:p>
            <w:pPr>
              <w:ind w:left="600"/>
              <w:spacing w:after="0"/>
              <w:rPr>
                <w:sz w:val="20"/>
                <w:szCs w:val="20"/>
                <w:color w:val="auto"/>
              </w:rPr>
            </w:pPr>
            <w:r>
              <w:rPr>
                <w:rFonts w:ascii="Times New Roman" w:cs="Times New Roman" w:eastAsia="Times New Roman" w:hAnsi="Times New Roman"/>
                <w:sz w:val="11"/>
                <w:szCs w:val="11"/>
                <w:color w:val="auto"/>
              </w:rPr>
              <w:t>—</w:t>
            </w:r>
          </w:p>
        </w:tc>
        <w:tc>
          <w:tcPr>
            <w:tcW w:w="2460" w:type="dxa"/>
            <w:vAlign w:val="bottom"/>
          </w:tcPr>
          <w:p>
            <w:pPr>
              <w:jc w:val="center"/>
              <w:ind w:right="46"/>
              <w:spacing w:after="0"/>
              <w:rPr>
                <w:sz w:val="20"/>
                <w:szCs w:val="20"/>
                <w:color w:val="auto"/>
              </w:rPr>
            </w:pPr>
            <w:r>
              <w:rPr>
                <w:rFonts w:ascii="Times New Roman" w:cs="Times New Roman" w:eastAsia="Times New Roman" w:hAnsi="Times New Roman"/>
                <w:sz w:val="11"/>
                <w:szCs w:val="11"/>
                <w:color w:val="auto"/>
                <w:w w:val="96"/>
              </w:rPr>
              <w:t>Consumer Finance</w:t>
            </w:r>
          </w:p>
        </w:tc>
        <w:tc>
          <w:tcPr>
            <w:tcW w:w="120" w:type="dxa"/>
            <w:vAlign w:val="bottom"/>
          </w:tcPr>
          <w:p>
            <w:pPr>
              <w:spacing w:after="0"/>
              <w:rPr>
                <w:sz w:val="11"/>
                <w:szCs w:val="11"/>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Pr>
          <w:p>
            <w:pPr>
              <w:ind w:left="660"/>
              <w:spacing w:after="0"/>
              <w:rPr>
                <w:sz w:val="20"/>
                <w:szCs w:val="20"/>
                <w:color w:val="auto"/>
              </w:rPr>
            </w:pPr>
            <w:r>
              <w:rPr>
                <w:rFonts w:ascii="Times New Roman" w:cs="Times New Roman" w:eastAsia="Times New Roman" w:hAnsi="Times New Roman"/>
                <w:sz w:val="11"/>
                <w:szCs w:val="11"/>
                <w:color w:val="auto"/>
                <w:w w:val="90"/>
              </w:rPr>
              <w:t>—</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1,474</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32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PennantPark-TSO Senior Loan Fund, LP </w:t>
            </w:r>
            <w:r>
              <w:rPr>
                <w:rFonts w:ascii="Times New Roman" w:cs="Times New Roman" w:eastAsia="Times New Roman" w:hAnsi="Times New Roman"/>
                <w:sz w:val="14"/>
                <w:szCs w:val="14"/>
                <w:color w:val="auto"/>
                <w:vertAlign w:val="superscript"/>
              </w:rPr>
              <w:t>(7)</w:t>
            </w:r>
          </w:p>
        </w:tc>
        <w:tc>
          <w:tcPr>
            <w:tcW w:w="120" w:type="dxa"/>
            <w:vAlign w:val="bottom"/>
          </w:tcPr>
          <w:p>
            <w:pPr>
              <w:spacing w:after="0"/>
              <w:rPr>
                <w:sz w:val="11"/>
                <w:szCs w:val="11"/>
                <w:color w:val="auto"/>
              </w:rPr>
            </w:pPr>
          </w:p>
        </w:tc>
        <w:tc>
          <w:tcPr>
            <w:tcW w:w="1080" w:type="dxa"/>
            <w:vAlign w:val="bottom"/>
            <w:gridSpan w:val="3"/>
          </w:tcPr>
          <w:p>
            <w:pPr>
              <w:ind w:left="600"/>
              <w:spacing w:after="0"/>
              <w:rPr>
                <w:sz w:val="20"/>
                <w:szCs w:val="20"/>
                <w:color w:val="auto"/>
              </w:rPr>
            </w:pPr>
            <w:r>
              <w:rPr>
                <w:rFonts w:ascii="Times New Roman" w:cs="Times New Roman" w:eastAsia="Times New Roman" w:hAnsi="Times New Roman"/>
                <w:sz w:val="11"/>
                <w:szCs w:val="11"/>
                <w:color w:val="auto"/>
              </w:rPr>
              <w:t>—</w:t>
            </w:r>
          </w:p>
        </w:tc>
        <w:tc>
          <w:tcPr>
            <w:tcW w:w="2460" w:type="dxa"/>
            <w:vAlign w:val="bottom"/>
          </w:tcPr>
          <w:p>
            <w:pPr>
              <w:jc w:val="center"/>
              <w:ind w:right="46"/>
              <w:spacing w:after="0"/>
              <w:rPr>
                <w:sz w:val="20"/>
                <w:szCs w:val="20"/>
                <w:color w:val="auto"/>
              </w:rPr>
            </w:pPr>
            <w:r>
              <w:rPr>
                <w:rFonts w:ascii="Times New Roman" w:cs="Times New Roman" w:eastAsia="Times New Roman" w:hAnsi="Times New Roman"/>
                <w:sz w:val="11"/>
                <w:szCs w:val="11"/>
                <w:color w:val="auto"/>
                <w:w w:val="98"/>
              </w:rPr>
              <w:t>Financial Services</w:t>
            </w:r>
          </w:p>
        </w:tc>
        <w:tc>
          <w:tcPr>
            <w:tcW w:w="120" w:type="dxa"/>
            <w:vAlign w:val="bottom"/>
          </w:tcPr>
          <w:p>
            <w:pPr>
              <w:spacing w:after="0"/>
              <w:rPr>
                <w:sz w:val="11"/>
                <w:szCs w:val="11"/>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Pr>
          <w:p>
            <w:pPr>
              <w:ind w:left="660"/>
              <w:spacing w:after="0"/>
              <w:rPr>
                <w:sz w:val="20"/>
                <w:szCs w:val="20"/>
                <w:color w:val="auto"/>
              </w:rPr>
            </w:pPr>
            <w:r>
              <w:rPr>
                <w:rFonts w:ascii="Times New Roman" w:cs="Times New Roman" w:eastAsia="Times New Roman" w:hAnsi="Times New Roman"/>
                <w:sz w:val="11"/>
                <w:szCs w:val="11"/>
                <w:color w:val="auto"/>
                <w:w w:val="90"/>
              </w:rPr>
              <w:t>—</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15,321,693</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15,322</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15,574</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32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PT Network Intermediate Holdings, LLC </w:t>
            </w:r>
            <w:r>
              <w:rPr>
                <w:rFonts w:ascii="Times New Roman" w:cs="Times New Roman" w:eastAsia="Times New Roman" w:hAnsi="Times New Roman"/>
                <w:sz w:val="14"/>
                <w:szCs w:val="14"/>
                <w:color w:val="auto"/>
                <w:vertAlign w:val="superscript"/>
              </w:rPr>
              <w:t>(7),(8)</w:t>
            </w:r>
          </w:p>
        </w:tc>
        <w:tc>
          <w:tcPr>
            <w:tcW w:w="120" w:type="dxa"/>
            <w:vAlign w:val="bottom"/>
          </w:tcPr>
          <w:p>
            <w:pPr>
              <w:spacing w:after="0"/>
              <w:rPr>
                <w:sz w:val="11"/>
                <w:szCs w:val="11"/>
                <w:color w:val="auto"/>
              </w:rPr>
            </w:pPr>
          </w:p>
        </w:tc>
        <w:tc>
          <w:tcPr>
            <w:tcW w:w="1080" w:type="dxa"/>
            <w:vAlign w:val="bottom"/>
            <w:gridSpan w:val="3"/>
          </w:tcPr>
          <w:p>
            <w:pPr>
              <w:ind w:left="600"/>
              <w:spacing w:after="0"/>
              <w:rPr>
                <w:sz w:val="20"/>
                <w:szCs w:val="20"/>
                <w:color w:val="auto"/>
              </w:rPr>
            </w:pPr>
            <w:r>
              <w:rPr>
                <w:rFonts w:ascii="Times New Roman" w:cs="Times New Roman" w:eastAsia="Times New Roman" w:hAnsi="Times New Roman"/>
                <w:sz w:val="11"/>
                <w:szCs w:val="11"/>
                <w:color w:val="auto"/>
              </w:rPr>
              <w:t>—</w:t>
            </w:r>
          </w:p>
        </w:tc>
        <w:tc>
          <w:tcPr>
            <w:tcW w:w="2460" w:type="dxa"/>
            <w:vAlign w:val="bottom"/>
          </w:tcPr>
          <w:p>
            <w:pPr>
              <w:jc w:val="center"/>
              <w:ind w:right="46"/>
              <w:spacing w:after="0"/>
              <w:rPr>
                <w:sz w:val="20"/>
                <w:szCs w:val="20"/>
                <w:color w:val="auto"/>
              </w:rPr>
            </w:pPr>
            <w:r>
              <w:rPr>
                <w:rFonts w:ascii="Times New Roman" w:cs="Times New Roman" w:eastAsia="Times New Roman" w:hAnsi="Times New Roman"/>
                <w:sz w:val="11"/>
                <w:szCs w:val="11"/>
                <w:color w:val="auto"/>
                <w:w w:val="99"/>
              </w:rPr>
              <w:t>Healthcare and Pharmaceuticals</w:t>
            </w: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25</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295</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2,485</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32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QuantiTech InvestCo LP </w:t>
            </w:r>
            <w:r>
              <w:rPr>
                <w:rFonts w:ascii="Times New Roman" w:cs="Times New Roman" w:eastAsia="Times New Roman" w:hAnsi="Times New Roman"/>
                <w:sz w:val="14"/>
                <w:szCs w:val="14"/>
                <w:color w:val="auto"/>
                <w:vertAlign w:val="superscript"/>
              </w:rPr>
              <w:t>(7), (8)</w:t>
            </w:r>
          </w:p>
        </w:tc>
        <w:tc>
          <w:tcPr>
            <w:tcW w:w="120" w:type="dxa"/>
            <w:vAlign w:val="bottom"/>
          </w:tcPr>
          <w:p>
            <w:pPr>
              <w:spacing w:after="0"/>
              <w:rPr>
                <w:sz w:val="11"/>
                <w:szCs w:val="11"/>
                <w:color w:val="auto"/>
              </w:rPr>
            </w:pPr>
          </w:p>
        </w:tc>
        <w:tc>
          <w:tcPr>
            <w:tcW w:w="1080" w:type="dxa"/>
            <w:vAlign w:val="bottom"/>
            <w:gridSpan w:val="3"/>
          </w:tcPr>
          <w:p>
            <w:pPr>
              <w:ind w:left="600"/>
              <w:spacing w:after="0"/>
              <w:rPr>
                <w:sz w:val="20"/>
                <w:szCs w:val="20"/>
                <w:color w:val="auto"/>
              </w:rPr>
            </w:pPr>
            <w:r>
              <w:rPr>
                <w:rFonts w:ascii="Times New Roman" w:cs="Times New Roman" w:eastAsia="Times New Roman" w:hAnsi="Times New Roman"/>
                <w:sz w:val="11"/>
                <w:szCs w:val="11"/>
                <w:color w:val="auto"/>
              </w:rPr>
              <w:t>—</w:t>
            </w:r>
          </w:p>
        </w:tc>
        <w:tc>
          <w:tcPr>
            <w:tcW w:w="2460" w:type="dxa"/>
            <w:vAlign w:val="bottom"/>
          </w:tcPr>
          <w:p>
            <w:pPr>
              <w:jc w:val="center"/>
              <w:ind w:right="66"/>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120" w:type="dxa"/>
            <w:vAlign w:val="bottom"/>
          </w:tcPr>
          <w:p>
            <w:pPr>
              <w:spacing w:after="0"/>
              <w:rPr>
                <w:sz w:val="11"/>
                <w:szCs w:val="11"/>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Pr>
          <w:p>
            <w:pPr>
              <w:ind w:left="660"/>
              <w:spacing w:after="0"/>
              <w:rPr>
                <w:sz w:val="20"/>
                <w:szCs w:val="20"/>
                <w:color w:val="auto"/>
              </w:rPr>
            </w:pPr>
            <w:r>
              <w:rPr>
                <w:rFonts w:ascii="Times New Roman" w:cs="Times New Roman" w:eastAsia="Times New Roman" w:hAnsi="Times New Roman"/>
                <w:sz w:val="11"/>
                <w:szCs w:val="11"/>
                <w:color w:val="auto"/>
                <w:w w:val="90"/>
              </w:rPr>
              <w:t>—</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700</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66</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365</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32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QuantiTech InvestCo LP </w:t>
            </w:r>
            <w:r>
              <w:rPr>
                <w:rFonts w:ascii="Times New Roman" w:cs="Times New Roman" w:eastAsia="Times New Roman" w:hAnsi="Times New Roman"/>
                <w:sz w:val="14"/>
                <w:szCs w:val="14"/>
                <w:color w:val="auto"/>
                <w:vertAlign w:val="superscript"/>
              </w:rPr>
              <w:t>(7), (8), (9)</w:t>
            </w:r>
          </w:p>
        </w:tc>
        <w:tc>
          <w:tcPr>
            <w:tcW w:w="120" w:type="dxa"/>
            <w:vAlign w:val="bottom"/>
          </w:tcPr>
          <w:p>
            <w:pPr>
              <w:spacing w:after="0"/>
              <w:rPr>
                <w:sz w:val="11"/>
                <w:szCs w:val="11"/>
                <w:color w:val="auto"/>
              </w:rPr>
            </w:pPr>
          </w:p>
        </w:tc>
        <w:tc>
          <w:tcPr>
            <w:tcW w:w="1080" w:type="dxa"/>
            <w:vAlign w:val="bottom"/>
            <w:gridSpan w:val="3"/>
          </w:tcPr>
          <w:p>
            <w:pPr>
              <w:ind w:left="600"/>
              <w:spacing w:after="0"/>
              <w:rPr>
                <w:sz w:val="20"/>
                <w:szCs w:val="20"/>
                <w:color w:val="auto"/>
              </w:rPr>
            </w:pPr>
            <w:r>
              <w:rPr>
                <w:rFonts w:ascii="Times New Roman" w:cs="Times New Roman" w:eastAsia="Times New Roman" w:hAnsi="Times New Roman"/>
                <w:sz w:val="11"/>
                <w:szCs w:val="11"/>
                <w:color w:val="auto"/>
              </w:rPr>
              <w:t>—</w:t>
            </w:r>
          </w:p>
        </w:tc>
        <w:tc>
          <w:tcPr>
            <w:tcW w:w="2460" w:type="dxa"/>
            <w:vAlign w:val="bottom"/>
          </w:tcPr>
          <w:p>
            <w:pPr>
              <w:jc w:val="center"/>
              <w:ind w:right="66"/>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120" w:type="dxa"/>
            <w:vAlign w:val="bottom"/>
          </w:tcPr>
          <w:p>
            <w:pPr>
              <w:spacing w:after="0"/>
              <w:rPr>
                <w:sz w:val="11"/>
                <w:szCs w:val="11"/>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Pr>
          <w:p>
            <w:pPr>
              <w:ind w:left="660"/>
              <w:spacing w:after="0"/>
              <w:rPr>
                <w:sz w:val="20"/>
                <w:szCs w:val="20"/>
                <w:color w:val="auto"/>
              </w:rPr>
            </w:pPr>
            <w:r>
              <w:rPr>
                <w:rFonts w:ascii="Times New Roman" w:cs="Times New Roman" w:eastAsia="Times New Roman" w:hAnsi="Times New Roman"/>
                <w:sz w:val="11"/>
                <w:szCs w:val="11"/>
                <w:color w:val="auto"/>
                <w:w w:val="90"/>
              </w:rPr>
              <w:t>—</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967</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35"/>
        </w:trPr>
        <w:tc>
          <w:tcPr>
            <w:tcW w:w="232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QuantiTech InvestCo II LP </w:t>
            </w:r>
            <w:r>
              <w:rPr>
                <w:rFonts w:ascii="Times New Roman" w:cs="Times New Roman" w:eastAsia="Times New Roman" w:hAnsi="Times New Roman"/>
                <w:sz w:val="14"/>
                <w:szCs w:val="14"/>
                <w:color w:val="auto"/>
                <w:vertAlign w:val="superscript"/>
              </w:rPr>
              <w:t>(7), (8),</w:t>
            </w:r>
          </w:p>
        </w:tc>
        <w:tc>
          <w:tcPr>
            <w:tcW w:w="120" w:type="dxa"/>
            <w:vAlign w:val="bottom"/>
          </w:tcPr>
          <w:p>
            <w:pPr>
              <w:spacing w:after="0"/>
              <w:rPr>
                <w:sz w:val="11"/>
                <w:szCs w:val="11"/>
                <w:color w:val="auto"/>
              </w:rPr>
            </w:pPr>
          </w:p>
        </w:tc>
        <w:tc>
          <w:tcPr>
            <w:tcW w:w="1080" w:type="dxa"/>
            <w:vAlign w:val="bottom"/>
            <w:gridSpan w:val="3"/>
          </w:tcPr>
          <w:p>
            <w:pPr>
              <w:ind w:left="600"/>
              <w:spacing w:after="0"/>
              <w:rPr>
                <w:sz w:val="20"/>
                <w:szCs w:val="20"/>
                <w:color w:val="auto"/>
              </w:rPr>
            </w:pPr>
            <w:r>
              <w:rPr>
                <w:rFonts w:ascii="Times New Roman" w:cs="Times New Roman" w:eastAsia="Times New Roman" w:hAnsi="Times New Roman"/>
                <w:sz w:val="11"/>
                <w:szCs w:val="11"/>
                <w:color w:val="auto"/>
              </w:rPr>
              <w:t>—</w:t>
            </w:r>
          </w:p>
        </w:tc>
        <w:tc>
          <w:tcPr>
            <w:tcW w:w="2460" w:type="dxa"/>
            <w:vAlign w:val="bottom"/>
          </w:tcPr>
          <w:p>
            <w:pPr>
              <w:jc w:val="center"/>
              <w:ind w:right="66"/>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120" w:type="dxa"/>
            <w:vAlign w:val="bottom"/>
          </w:tcPr>
          <w:p>
            <w:pPr>
              <w:spacing w:after="0"/>
              <w:rPr>
                <w:sz w:val="11"/>
                <w:szCs w:val="11"/>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Pr>
          <w:p>
            <w:pPr>
              <w:ind w:left="660"/>
              <w:spacing w:after="0"/>
              <w:rPr>
                <w:sz w:val="20"/>
                <w:szCs w:val="20"/>
                <w:color w:val="auto"/>
              </w:rPr>
            </w:pPr>
            <w:r>
              <w:rPr>
                <w:rFonts w:ascii="Times New Roman" w:cs="Times New Roman" w:eastAsia="Times New Roman" w:hAnsi="Times New Roman"/>
                <w:sz w:val="11"/>
                <w:szCs w:val="11"/>
                <w:color w:val="auto"/>
                <w:w w:val="90"/>
              </w:rPr>
              <w:t>—</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40</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320" w:type="dxa"/>
            <w:vAlign w:val="bottom"/>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RFMG Parent, LP (Rancho Health MSO, Inc.) </w:t>
            </w:r>
            <w:r>
              <w:rPr>
                <w:rFonts w:ascii="Times New Roman" w:cs="Times New Roman" w:eastAsia="Times New Roman" w:hAnsi="Times New Roman"/>
                <w:sz w:val="14"/>
                <w:szCs w:val="14"/>
                <w:color w:val="auto"/>
                <w:vertAlign w:val="superscript"/>
              </w:rPr>
              <w:t>(7)</w:t>
            </w:r>
          </w:p>
        </w:tc>
        <w:tc>
          <w:tcPr>
            <w:tcW w:w="120" w:type="dxa"/>
            <w:vAlign w:val="bottom"/>
          </w:tcPr>
          <w:p>
            <w:pPr>
              <w:spacing w:after="0"/>
              <w:rPr>
                <w:sz w:val="13"/>
                <w:szCs w:val="13"/>
                <w:color w:val="auto"/>
              </w:rPr>
            </w:pPr>
          </w:p>
        </w:tc>
        <w:tc>
          <w:tcPr>
            <w:tcW w:w="1080" w:type="dxa"/>
            <w:vAlign w:val="bottom"/>
            <w:gridSpan w:val="3"/>
          </w:tcPr>
          <w:p>
            <w:pPr>
              <w:ind w:left="600"/>
              <w:spacing w:after="0"/>
              <w:rPr>
                <w:sz w:val="20"/>
                <w:szCs w:val="20"/>
                <w:color w:val="auto"/>
              </w:rPr>
            </w:pPr>
            <w:r>
              <w:rPr>
                <w:rFonts w:ascii="Times New Roman" w:cs="Times New Roman" w:eastAsia="Times New Roman" w:hAnsi="Times New Roman"/>
                <w:sz w:val="11"/>
                <w:szCs w:val="11"/>
                <w:color w:val="auto"/>
              </w:rPr>
              <w:t>—</w:t>
            </w:r>
          </w:p>
        </w:tc>
        <w:tc>
          <w:tcPr>
            <w:tcW w:w="2460" w:type="dxa"/>
            <w:vAlign w:val="bottom"/>
          </w:tcPr>
          <w:p>
            <w:pPr>
              <w:jc w:val="center"/>
              <w:ind w:right="46"/>
              <w:spacing w:after="0"/>
              <w:rPr>
                <w:sz w:val="20"/>
                <w:szCs w:val="20"/>
                <w:color w:val="auto"/>
              </w:rPr>
            </w:pPr>
            <w:r>
              <w:rPr>
                <w:rFonts w:ascii="Times New Roman" w:cs="Times New Roman" w:eastAsia="Times New Roman" w:hAnsi="Times New Roman"/>
                <w:sz w:val="11"/>
                <w:szCs w:val="11"/>
                <w:color w:val="auto"/>
                <w:w w:val="98"/>
              </w:rPr>
              <w:t>Healthcare Equipment and Supplies</w:t>
            </w:r>
          </w:p>
        </w:tc>
        <w:tc>
          <w:tcPr>
            <w:tcW w:w="120" w:type="dxa"/>
            <w:vAlign w:val="bottom"/>
          </w:tcPr>
          <w:p>
            <w:pPr>
              <w:spacing w:after="0"/>
              <w:rPr>
                <w:sz w:val="13"/>
                <w:szCs w:val="13"/>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Pr>
          <w:p>
            <w:pPr>
              <w:ind w:left="660"/>
              <w:spacing w:after="0"/>
              <w:rPr>
                <w:sz w:val="20"/>
                <w:szCs w:val="20"/>
                <w:color w:val="auto"/>
              </w:rPr>
            </w:pPr>
            <w:r>
              <w:rPr>
                <w:rFonts w:ascii="Times New Roman" w:cs="Times New Roman" w:eastAsia="Times New Roman" w:hAnsi="Times New Roman"/>
                <w:sz w:val="11"/>
                <w:szCs w:val="11"/>
                <w:color w:val="auto"/>
                <w:w w:val="90"/>
              </w:rPr>
              <w:t>—</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1,050,000</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1,050</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1,253</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2320" w:type="dxa"/>
            <w:vAlign w:val="bottom"/>
          </w:tcPr>
          <w:p>
            <w:pPr>
              <w:ind w:left="20"/>
              <w:spacing w:after="0" w:line="109" w:lineRule="exact"/>
              <w:rPr>
                <w:sz w:val="20"/>
                <w:szCs w:val="20"/>
                <w:color w:val="auto"/>
              </w:rPr>
            </w:pPr>
            <w:r>
              <w:rPr>
                <w:rFonts w:ascii="Times New Roman" w:cs="Times New Roman" w:eastAsia="Times New Roman" w:hAnsi="Times New Roman"/>
                <w:sz w:val="11"/>
                <w:szCs w:val="11"/>
                <w:color w:val="auto"/>
              </w:rPr>
              <w:t>SBI Holdings Investments LLC (Sales Benchmark</w:t>
            </w:r>
          </w:p>
        </w:tc>
        <w:tc>
          <w:tcPr>
            <w:tcW w:w="120" w:type="dxa"/>
            <w:vAlign w:val="bottom"/>
          </w:tcPr>
          <w:p>
            <w:pPr>
              <w:spacing w:after="0"/>
              <w:rPr>
                <w:sz w:val="9"/>
                <w:szCs w:val="9"/>
                <w:color w:val="auto"/>
              </w:rPr>
            </w:pPr>
          </w:p>
        </w:tc>
        <w:tc>
          <w:tcPr>
            <w:tcW w:w="1080" w:type="dxa"/>
            <w:vAlign w:val="bottom"/>
            <w:gridSpan w:val="3"/>
          </w:tcPr>
          <w:p>
            <w:pPr>
              <w:ind w:left="600"/>
              <w:spacing w:after="0" w:line="109" w:lineRule="exact"/>
              <w:rPr>
                <w:sz w:val="20"/>
                <w:szCs w:val="20"/>
                <w:color w:val="auto"/>
              </w:rPr>
            </w:pPr>
            <w:r>
              <w:rPr>
                <w:rFonts w:ascii="Times New Roman" w:cs="Times New Roman" w:eastAsia="Times New Roman" w:hAnsi="Times New Roman"/>
                <w:sz w:val="11"/>
                <w:szCs w:val="11"/>
                <w:color w:val="auto"/>
              </w:rPr>
              <w:t>—</w:t>
            </w:r>
          </w:p>
        </w:tc>
        <w:tc>
          <w:tcPr>
            <w:tcW w:w="2460" w:type="dxa"/>
            <w:vAlign w:val="bottom"/>
          </w:tcPr>
          <w:p>
            <w:pPr>
              <w:jc w:val="center"/>
              <w:ind w:right="46"/>
              <w:spacing w:after="0" w:line="109" w:lineRule="exact"/>
              <w:rPr>
                <w:sz w:val="20"/>
                <w:szCs w:val="20"/>
                <w:color w:val="auto"/>
              </w:rPr>
            </w:pPr>
            <w:r>
              <w:rPr>
                <w:rFonts w:ascii="Times New Roman" w:cs="Times New Roman" w:eastAsia="Times New Roman" w:hAnsi="Times New Roman"/>
                <w:sz w:val="11"/>
                <w:szCs w:val="11"/>
                <w:color w:val="auto"/>
                <w:w w:val="97"/>
              </w:rPr>
              <w:t>Professional Services</w:t>
            </w:r>
          </w:p>
        </w:tc>
        <w:tc>
          <w:tcPr>
            <w:tcW w:w="120" w:type="dxa"/>
            <w:vAlign w:val="bottom"/>
          </w:tcPr>
          <w:p>
            <w:pPr>
              <w:spacing w:after="0"/>
              <w:rPr>
                <w:sz w:val="9"/>
                <w:szCs w:val="9"/>
                <w:color w:val="auto"/>
              </w:rPr>
            </w:pPr>
          </w:p>
        </w:tc>
        <w:tc>
          <w:tcPr>
            <w:tcW w:w="1200" w:type="dxa"/>
            <w:vAlign w:val="bottom"/>
            <w:gridSpan w:val="2"/>
          </w:tcPr>
          <w:p>
            <w:pPr>
              <w:jc w:val="right"/>
              <w:ind w:right="240"/>
              <w:spacing w:after="0" w:line="109" w:lineRule="exact"/>
              <w:rPr>
                <w:sz w:val="20"/>
                <w:szCs w:val="20"/>
                <w:color w:val="auto"/>
              </w:rPr>
            </w:pPr>
            <w:r>
              <w:rPr>
                <w:rFonts w:ascii="Times New Roman" w:cs="Times New Roman" w:eastAsia="Times New Roman" w:hAnsi="Times New Roman"/>
                <w:sz w:val="11"/>
                <w:szCs w:val="11"/>
                <w:color w:val="auto"/>
              </w:rPr>
              <w:t>—</w:t>
            </w:r>
          </w:p>
        </w:tc>
        <w:tc>
          <w:tcPr>
            <w:tcW w:w="780" w:type="dxa"/>
            <w:vAlign w:val="bottom"/>
          </w:tcPr>
          <w:p>
            <w:pPr>
              <w:ind w:left="660"/>
              <w:spacing w:after="0" w:line="109" w:lineRule="exact"/>
              <w:rPr>
                <w:sz w:val="20"/>
                <w:szCs w:val="20"/>
                <w:color w:val="auto"/>
              </w:rPr>
            </w:pPr>
            <w:r>
              <w:rPr>
                <w:rFonts w:ascii="Times New Roman" w:cs="Times New Roman" w:eastAsia="Times New Roman" w:hAnsi="Times New Roman"/>
                <w:sz w:val="11"/>
                <w:szCs w:val="11"/>
                <w:color w:val="auto"/>
                <w:w w:val="90"/>
              </w:rPr>
              <w:t>—</w:t>
            </w:r>
          </w:p>
        </w:tc>
        <w:tc>
          <w:tcPr>
            <w:tcW w:w="1040" w:type="dxa"/>
            <w:vAlign w:val="bottom"/>
            <w:gridSpan w:val="2"/>
          </w:tcPr>
          <w:p>
            <w:pPr>
              <w:jc w:val="right"/>
              <w:spacing w:after="0" w:line="109" w:lineRule="exact"/>
              <w:rPr>
                <w:sz w:val="20"/>
                <w:szCs w:val="20"/>
                <w:color w:val="auto"/>
              </w:rPr>
            </w:pPr>
            <w:r>
              <w:rPr>
                <w:rFonts w:ascii="Times New Roman" w:cs="Times New Roman" w:eastAsia="Times New Roman" w:hAnsi="Times New Roman"/>
                <w:sz w:val="11"/>
                <w:szCs w:val="11"/>
                <w:color w:val="auto"/>
              </w:rPr>
              <w:t>64,634</w:t>
            </w: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tcPr>
          <w:p>
            <w:pPr>
              <w:jc w:val="right"/>
              <w:spacing w:after="0" w:line="109" w:lineRule="exact"/>
              <w:rPr>
                <w:sz w:val="20"/>
                <w:szCs w:val="20"/>
                <w:color w:val="auto"/>
              </w:rPr>
            </w:pPr>
            <w:r>
              <w:rPr>
                <w:rFonts w:ascii="Times New Roman" w:cs="Times New Roman" w:eastAsia="Times New Roman" w:hAnsi="Times New Roman"/>
                <w:sz w:val="11"/>
                <w:szCs w:val="11"/>
                <w:color w:val="auto"/>
              </w:rPr>
              <w:t>646</w:t>
            </w: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jc w:val="right"/>
              <w:spacing w:after="0" w:line="109" w:lineRule="exact"/>
              <w:rPr>
                <w:sz w:val="20"/>
                <w:szCs w:val="20"/>
                <w:color w:val="auto"/>
              </w:rPr>
            </w:pPr>
            <w:r>
              <w:rPr>
                <w:rFonts w:ascii="Times New Roman" w:cs="Times New Roman" w:eastAsia="Times New Roman" w:hAnsi="Times New Roman"/>
                <w:sz w:val="11"/>
                <w:szCs w:val="11"/>
                <w:color w:val="auto"/>
              </w:rPr>
              <w:t>492</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320" w:type="dxa"/>
            <w:vAlign w:val="bottom"/>
          </w:tcPr>
          <w:p>
            <w:pPr>
              <w:ind w:left="20"/>
              <w:spacing w:after="0" w:line="130" w:lineRule="exact"/>
              <w:rPr>
                <w:sz w:val="20"/>
                <w:szCs w:val="20"/>
                <w:color w:val="auto"/>
              </w:rPr>
            </w:pPr>
            <w:r>
              <w:rPr>
                <w:rFonts w:ascii="Times New Roman" w:cs="Times New Roman" w:eastAsia="Times New Roman" w:hAnsi="Times New Roman"/>
                <w:sz w:val="11"/>
                <w:szCs w:val="11"/>
                <w:color w:val="auto"/>
              </w:rPr>
              <w:t xml:space="preserve">Index LLC) </w:t>
            </w:r>
            <w:r>
              <w:rPr>
                <w:rFonts w:ascii="Times New Roman" w:cs="Times New Roman" w:eastAsia="Times New Roman" w:hAnsi="Times New Roman"/>
                <w:sz w:val="14"/>
                <w:szCs w:val="14"/>
                <w:color w:val="auto"/>
                <w:vertAlign w:val="superscript"/>
              </w:rPr>
              <w:t>(7), (8)</w:t>
            </w: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320" w:type="dxa"/>
            <w:vAlign w:val="bottom"/>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Signature CR Intermediate Holdco, Inc. </w:t>
            </w:r>
            <w:r>
              <w:rPr>
                <w:rFonts w:ascii="Times New Roman" w:cs="Times New Roman" w:eastAsia="Times New Roman" w:hAnsi="Times New Roman"/>
                <w:sz w:val="14"/>
                <w:szCs w:val="14"/>
                <w:color w:val="auto"/>
                <w:vertAlign w:val="superscript"/>
              </w:rPr>
              <w:t>(7)</w:t>
            </w:r>
          </w:p>
        </w:tc>
        <w:tc>
          <w:tcPr>
            <w:tcW w:w="120" w:type="dxa"/>
            <w:vAlign w:val="bottom"/>
          </w:tcPr>
          <w:p>
            <w:pPr>
              <w:spacing w:after="0"/>
              <w:rPr>
                <w:sz w:val="13"/>
                <w:szCs w:val="13"/>
                <w:color w:val="auto"/>
              </w:rPr>
            </w:pPr>
          </w:p>
        </w:tc>
        <w:tc>
          <w:tcPr>
            <w:tcW w:w="1080" w:type="dxa"/>
            <w:vAlign w:val="bottom"/>
            <w:gridSpan w:val="3"/>
          </w:tcPr>
          <w:p>
            <w:pPr>
              <w:ind w:left="600"/>
              <w:spacing w:after="0"/>
              <w:rPr>
                <w:sz w:val="20"/>
                <w:szCs w:val="20"/>
                <w:color w:val="auto"/>
              </w:rPr>
            </w:pPr>
            <w:r>
              <w:rPr>
                <w:rFonts w:ascii="Times New Roman" w:cs="Times New Roman" w:eastAsia="Times New Roman" w:hAnsi="Times New Roman"/>
                <w:sz w:val="11"/>
                <w:szCs w:val="11"/>
                <w:color w:val="auto"/>
              </w:rPr>
              <w:t>—</w:t>
            </w:r>
          </w:p>
        </w:tc>
        <w:tc>
          <w:tcPr>
            <w:tcW w:w="2460" w:type="dxa"/>
            <w:vAlign w:val="bottom"/>
          </w:tcPr>
          <w:p>
            <w:pPr>
              <w:jc w:val="center"/>
              <w:ind w:right="46"/>
              <w:spacing w:after="0"/>
              <w:rPr>
                <w:sz w:val="20"/>
                <w:szCs w:val="20"/>
                <w:color w:val="auto"/>
              </w:rPr>
            </w:pPr>
            <w:r>
              <w:rPr>
                <w:rFonts w:ascii="Times New Roman" w:cs="Times New Roman" w:eastAsia="Times New Roman" w:hAnsi="Times New Roman"/>
                <w:sz w:val="11"/>
                <w:szCs w:val="11"/>
                <w:color w:val="auto"/>
                <w:w w:val="98"/>
              </w:rPr>
              <w:t>Commercial Services &amp; Supplies</w:t>
            </w:r>
          </w:p>
        </w:tc>
        <w:tc>
          <w:tcPr>
            <w:tcW w:w="120" w:type="dxa"/>
            <w:vAlign w:val="bottom"/>
          </w:tcPr>
          <w:p>
            <w:pPr>
              <w:spacing w:after="0"/>
              <w:rPr>
                <w:sz w:val="13"/>
                <w:szCs w:val="13"/>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Pr>
          <w:p>
            <w:pPr>
              <w:ind w:left="660"/>
              <w:spacing w:after="0"/>
              <w:rPr>
                <w:sz w:val="20"/>
                <w:szCs w:val="20"/>
                <w:color w:val="auto"/>
              </w:rPr>
            </w:pPr>
            <w:r>
              <w:rPr>
                <w:rFonts w:ascii="Times New Roman" w:cs="Times New Roman" w:eastAsia="Times New Roman" w:hAnsi="Times New Roman"/>
                <w:sz w:val="11"/>
                <w:szCs w:val="11"/>
                <w:color w:val="auto"/>
                <w:w w:val="90"/>
              </w:rPr>
              <w:t>—</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70</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70</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17"/>
        </w:trPr>
        <w:tc>
          <w:tcPr>
            <w:tcW w:w="2320" w:type="dxa"/>
            <w:vAlign w:val="bottom"/>
            <w:shd w:val="clear" w:color="auto" w:fill="CCECFF"/>
          </w:tcPr>
          <w:p>
            <w:pPr>
              <w:ind w:left="20"/>
              <w:spacing w:after="0" w:line="117" w:lineRule="exact"/>
              <w:rPr>
                <w:sz w:val="20"/>
                <w:szCs w:val="20"/>
                <w:color w:val="auto"/>
              </w:rPr>
            </w:pPr>
            <w:r>
              <w:rPr>
                <w:rFonts w:ascii="Times New Roman" w:cs="Times New Roman" w:eastAsia="Times New Roman" w:hAnsi="Times New Roman"/>
                <w:sz w:val="11"/>
                <w:szCs w:val="11"/>
                <w:color w:val="auto"/>
              </w:rPr>
              <w:t>SSC Dominion Holdings, LLC</w:t>
            </w:r>
          </w:p>
        </w:tc>
        <w:tc>
          <w:tcPr>
            <w:tcW w:w="120" w:type="dxa"/>
            <w:vAlign w:val="bottom"/>
          </w:tcPr>
          <w:p>
            <w:pPr>
              <w:spacing w:after="0"/>
              <w:rPr>
                <w:sz w:val="10"/>
                <w:szCs w:val="10"/>
                <w:color w:val="auto"/>
              </w:rPr>
            </w:pPr>
          </w:p>
        </w:tc>
        <w:tc>
          <w:tcPr>
            <w:tcW w:w="1080" w:type="dxa"/>
            <w:vAlign w:val="bottom"/>
            <w:gridSpan w:val="3"/>
          </w:tcPr>
          <w:p>
            <w:pPr>
              <w:ind w:left="600"/>
              <w:spacing w:after="0" w:line="117" w:lineRule="exact"/>
              <w:rPr>
                <w:sz w:val="20"/>
                <w:szCs w:val="20"/>
                <w:color w:val="auto"/>
              </w:rPr>
            </w:pPr>
            <w:r>
              <w:rPr>
                <w:rFonts w:ascii="Times New Roman" w:cs="Times New Roman" w:eastAsia="Times New Roman" w:hAnsi="Times New Roman"/>
                <w:sz w:val="11"/>
                <w:szCs w:val="11"/>
                <w:color w:val="auto"/>
              </w:rPr>
              <w:t>—</w:t>
            </w:r>
          </w:p>
        </w:tc>
        <w:tc>
          <w:tcPr>
            <w:tcW w:w="2460" w:type="dxa"/>
            <w:vAlign w:val="bottom"/>
          </w:tcPr>
          <w:p>
            <w:pPr>
              <w:jc w:val="center"/>
              <w:ind w:right="46"/>
              <w:spacing w:after="0" w:line="117" w:lineRule="exact"/>
              <w:rPr>
                <w:sz w:val="20"/>
                <w:szCs w:val="20"/>
                <w:color w:val="auto"/>
              </w:rPr>
            </w:pPr>
            <w:r>
              <w:rPr>
                <w:rFonts w:ascii="Times New Roman" w:cs="Times New Roman" w:eastAsia="Times New Roman" w:hAnsi="Times New Roman"/>
                <w:sz w:val="11"/>
                <w:szCs w:val="11"/>
                <w:color w:val="auto"/>
                <w:w w:val="96"/>
              </w:rPr>
              <w:t>Capital Equipment</w:t>
            </w:r>
          </w:p>
        </w:tc>
        <w:tc>
          <w:tcPr>
            <w:tcW w:w="120" w:type="dxa"/>
            <w:vAlign w:val="bottom"/>
          </w:tcPr>
          <w:p>
            <w:pPr>
              <w:spacing w:after="0"/>
              <w:rPr>
                <w:sz w:val="10"/>
                <w:szCs w:val="10"/>
                <w:color w:val="auto"/>
              </w:rPr>
            </w:pPr>
          </w:p>
        </w:tc>
        <w:tc>
          <w:tcPr>
            <w:tcW w:w="1200" w:type="dxa"/>
            <w:vAlign w:val="bottom"/>
            <w:gridSpan w:val="2"/>
          </w:tcPr>
          <w:p>
            <w:pPr>
              <w:jc w:val="right"/>
              <w:ind w:right="240"/>
              <w:spacing w:after="0" w:line="117" w:lineRule="exact"/>
              <w:rPr>
                <w:sz w:val="20"/>
                <w:szCs w:val="20"/>
                <w:color w:val="auto"/>
              </w:rPr>
            </w:pPr>
            <w:r>
              <w:rPr>
                <w:rFonts w:ascii="Times New Roman" w:cs="Times New Roman" w:eastAsia="Times New Roman" w:hAnsi="Times New Roman"/>
                <w:sz w:val="11"/>
                <w:szCs w:val="11"/>
                <w:color w:val="auto"/>
              </w:rPr>
              <w:t>—</w:t>
            </w:r>
          </w:p>
        </w:tc>
        <w:tc>
          <w:tcPr>
            <w:tcW w:w="780" w:type="dxa"/>
            <w:vAlign w:val="bottom"/>
          </w:tcPr>
          <w:p>
            <w:pPr>
              <w:ind w:left="660"/>
              <w:spacing w:after="0" w:line="117" w:lineRule="exact"/>
              <w:rPr>
                <w:sz w:val="20"/>
                <w:szCs w:val="20"/>
                <w:color w:val="auto"/>
              </w:rPr>
            </w:pPr>
            <w:r>
              <w:rPr>
                <w:rFonts w:ascii="Times New Roman" w:cs="Times New Roman" w:eastAsia="Times New Roman" w:hAnsi="Times New Roman"/>
                <w:sz w:val="11"/>
                <w:szCs w:val="11"/>
                <w:color w:val="auto"/>
                <w:w w:val="90"/>
              </w:rPr>
              <w:t>—</w:t>
            </w:r>
          </w:p>
        </w:tc>
        <w:tc>
          <w:tcPr>
            <w:tcW w:w="104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1"/>
                <w:szCs w:val="11"/>
                <w:color w:val="auto"/>
              </w:rPr>
              <w:t>500</w:t>
            </w: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500</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630</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2"/>
        </w:trPr>
        <w:tc>
          <w:tcPr>
            <w:tcW w:w="2320" w:type="dxa"/>
            <w:vAlign w:val="bottom"/>
            <w:vMerge w:val="restart"/>
            <w:shd w:val="clear" w:color="auto" w:fill="CCECFF"/>
          </w:tcPr>
          <w:p>
            <w:pPr>
              <w:ind w:left="100"/>
              <w:spacing w:after="0"/>
              <w:rPr>
                <w:sz w:val="20"/>
                <w:szCs w:val="20"/>
                <w:color w:val="auto"/>
              </w:rPr>
            </w:pPr>
            <w:r>
              <w:rPr>
                <w:rFonts w:ascii="Times New Roman" w:cs="Times New Roman" w:eastAsia="Times New Roman" w:hAnsi="Times New Roman"/>
                <w:sz w:val="11"/>
                <w:szCs w:val="11"/>
                <w:color w:val="auto"/>
              </w:rPr>
              <w:t xml:space="preserve">Class A (US Dominion, Inc.) </w:t>
            </w:r>
            <w:r>
              <w:rPr>
                <w:rFonts w:ascii="Times New Roman" w:cs="Times New Roman" w:eastAsia="Times New Roman" w:hAnsi="Times New Roman"/>
                <w:sz w:val="14"/>
                <w:szCs w:val="14"/>
                <w:color w:val="auto"/>
                <w:vertAlign w:val="superscript"/>
              </w:rPr>
              <w:t>(7)</w:t>
            </w: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2320" w:type="dxa"/>
            <w:vAlign w:val="bottom"/>
            <w:vMerge w:val="continue"/>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720" w:type="dxa"/>
            <w:vAlign w:val="bottom"/>
            <w:shd w:val="clear" w:color="auto" w:fill="CCECFF"/>
          </w:tcPr>
          <w:p>
            <w:pPr>
              <w:spacing w:after="0"/>
              <w:rPr>
                <w:sz w:val="11"/>
                <w:szCs w:val="11"/>
                <w:color w:val="auto"/>
              </w:rPr>
            </w:pPr>
          </w:p>
        </w:tc>
        <w:tc>
          <w:tcPr>
            <w:tcW w:w="26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246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98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78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82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60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7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03"/>
        </w:trPr>
        <w:tc>
          <w:tcPr>
            <w:tcW w:w="2320" w:type="dxa"/>
            <w:vAlign w:val="bottom"/>
          </w:tcPr>
          <w:p>
            <w:pPr>
              <w:ind w:left="20"/>
              <w:spacing w:after="0" w:line="103" w:lineRule="exact"/>
              <w:rPr>
                <w:sz w:val="20"/>
                <w:szCs w:val="20"/>
                <w:color w:val="auto"/>
              </w:rPr>
            </w:pPr>
            <w:r>
              <w:rPr>
                <w:rFonts w:ascii="Times New Roman" w:cs="Times New Roman" w:eastAsia="Times New Roman" w:hAnsi="Times New Roman"/>
                <w:sz w:val="11"/>
                <w:szCs w:val="11"/>
                <w:color w:val="auto"/>
              </w:rPr>
              <w:t>SSC Dominion Holdings, LLC</w:t>
            </w:r>
          </w:p>
        </w:tc>
        <w:tc>
          <w:tcPr>
            <w:tcW w:w="120" w:type="dxa"/>
            <w:vAlign w:val="bottom"/>
          </w:tcPr>
          <w:p>
            <w:pPr>
              <w:spacing w:after="0"/>
              <w:rPr>
                <w:sz w:val="8"/>
                <w:szCs w:val="8"/>
                <w:color w:val="auto"/>
              </w:rPr>
            </w:pPr>
          </w:p>
        </w:tc>
        <w:tc>
          <w:tcPr>
            <w:tcW w:w="1080" w:type="dxa"/>
            <w:vAlign w:val="bottom"/>
            <w:gridSpan w:val="3"/>
          </w:tcPr>
          <w:p>
            <w:pPr>
              <w:ind w:left="600"/>
              <w:spacing w:after="0" w:line="103" w:lineRule="exact"/>
              <w:rPr>
                <w:sz w:val="20"/>
                <w:szCs w:val="20"/>
                <w:color w:val="auto"/>
              </w:rPr>
            </w:pPr>
            <w:r>
              <w:rPr>
                <w:rFonts w:ascii="Times New Roman" w:cs="Times New Roman" w:eastAsia="Times New Roman" w:hAnsi="Times New Roman"/>
                <w:sz w:val="11"/>
                <w:szCs w:val="11"/>
                <w:color w:val="auto"/>
              </w:rPr>
              <w:t>—</w:t>
            </w:r>
          </w:p>
        </w:tc>
        <w:tc>
          <w:tcPr>
            <w:tcW w:w="2460" w:type="dxa"/>
            <w:vAlign w:val="bottom"/>
          </w:tcPr>
          <w:p>
            <w:pPr>
              <w:jc w:val="center"/>
              <w:ind w:right="46"/>
              <w:spacing w:after="0" w:line="103" w:lineRule="exact"/>
              <w:rPr>
                <w:sz w:val="20"/>
                <w:szCs w:val="20"/>
                <w:color w:val="auto"/>
              </w:rPr>
            </w:pPr>
            <w:r>
              <w:rPr>
                <w:rFonts w:ascii="Times New Roman" w:cs="Times New Roman" w:eastAsia="Times New Roman" w:hAnsi="Times New Roman"/>
                <w:sz w:val="11"/>
                <w:szCs w:val="11"/>
                <w:color w:val="auto"/>
                <w:w w:val="96"/>
              </w:rPr>
              <w:t>Capital Equipment</w:t>
            </w:r>
          </w:p>
        </w:tc>
        <w:tc>
          <w:tcPr>
            <w:tcW w:w="120" w:type="dxa"/>
            <w:vAlign w:val="bottom"/>
          </w:tcPr>
          <w:p>
            <w:pPr>
              <w:spacing w:after="0"/>
              <w:rPr>
                <w:sz w:val="8"/>
                <w:szCs w:val="8"/>
                <w:color w:val="auto"/>
              </w:rPr>
            </w:pPr>
          </w:p>
        </w:tc>
        <w:tc>
          <w:tcPr>
            <w:tcW w:w="1200" w:type="dxa"/>
            <w:vAlign w:val="bottom"/>
            <w:gridSpan w:val="2"/>
          </w:tcPr>
          <w:p>
            <w:pPr>
              <w:jc w:val="right"/>
              <w:ind w:right="240"/>
              <w:spacing w:after="0" w:line="103" w:lineRule="exact"/>
              <w:rPr>
                <w:sz w:val="20"/>
                <w:szCs w:val="20"/>
                <w:color w:val="auto"/>
              </w:rPr>
            </w:pPr>
            <w:r>
              <w:rPr>
                <w:rFonts w:ascii="Times New Roman" w:cs="Times New Roman" w:eastAsia="Times New Roman" w:hAnsi="Times New Roman"/>
                <w:sz w:val="11"/>
                <w:szCs w:val="11"/>
                <w:color w:val="auto"/>
              </w:rPr>
              <w:t>—</w:t>
            </w:r>
          </w:p>
        </w:tc>
        <w:tc>
          <w:tcPr>
            <w:tcW w:w="780" w:type="dxa"/>
            <w:vAlign w:val="bottom"/>
          </w:tcPr>
          <w:p>
            <w:pPr>
              <w:ind w:left="660"/>
              <w:spacing w:after="0" w:line="103" w:lineRule="exact"/>
              <w:rPr>
                <w:sz w:val="20"/>
                <w:szCs w:val="20"/>
                <w:color w:val="auto"/>
              </w:rPr>
            </w:pPr>
            <w:r>
              <w:rPr>
                <w:rFonts w:ascii="Times New Roman" w:cs="Times New Roman" w:eastAsia="Times New Roman" w:hAnsi="Times New Roman"/>
                <w:sz w:val="11"/>
                <w:szCs w:val="11"/>
                <w:color w:val="auto"/>
                <w:w w:val="90"/>
              </w:rPr>
              <w:t>—</w:t>
            </w:r>
          </w:p>
        </w:tc>
        <w:tc>
          <w:tcPr>
            <w:tcW w:w="1040" w:type="dxa"/>
            <w:vAlign w:val="bottom"/>
            <w:gridSpan w:val="2"/>
          </w:tcPr>
          <w:p>
            <w:pPr>
              <w:jc w:val="right"/>
              <w:spacing w:after="0" w:line="103" w:lineRule="exact"/>
              <w:rPr>
                <w:sz w:val="20"/>
                <w:szCs w:val="20"/>
                <w:color w:val="auto"/>
              </w:rPr>
            </w:pPr>
            <w:r>
              <w:rPr>
                <w:rFonts w:ascii="Times New Roman" w:cs="Times New Roman" w:eastAsia="Times New Roman" w:hAnsi="Times New Roman"/>
                <w:sz w:val="11"/>
                <w:szCs w:val="11"/>
                <w:color w:val="auto"/>
              </w:rPr>
              <w:t>500</w:t>
            </w: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tcPr>
          <w:p>
            <w:pPr>
              <w:jc w:val="right"/>
              <w:spacing w:after="0" w:line="103"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jc w:val="right"/>
              <w:spacing w:after="0" w:line="103" w:lineRule="exact"/>
              <w:rPr>
                <w:sz w:val="20"/>
                <w:szCs w:val="20"/>
                <w:color w:val="auto"/>
              </w:rPr>
            </w:pPr>
            <w:r>
              <w:rPr>
                <w:rFonts w:ascii="Times New Roman" w:cs="Times New Roman" w:eastAsia="Times New Roman" w:hAnsi="Times New Roman"/>
                <w:sz w:val="11"/>
                <w:szCs w:val="11"/>
                <w:color w:val="auto"/>
              </w:rPr>
              <w:t>1,178</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2320" w:type="dxa"/>
            <w:vAlign w:val="bottom"/>
          </w:tcPr>
          <w:p>
            <w:pPr>
              <w:ind w:left="100"/>
              <w:spacing w:after="0" w:line="135" w:lineRule="exact"/>
              <w:rPr>
                <w:sz w:val="20"/>
                <w:szCs w:val="20"/>
                <w:color w:val="auto"/>
              </w:rPr>
            </w:pPr>
            <w:r>
              <w:rPr>
                <w:rFonts w:ascii="Times New Roman" w:cs="Times New Roman" w:eastAsia="Times New Roman" w:hAnsi="Times New Roman"/>
                <w:sz w:val="11"/>
                <w:szCs w:val="11"/>
                <w:color w:val="auto"/>
              </w:rPr>
              <w:t xml:space="preserve">Class B (US Dominion, Inc.) </w:t>
            </w:r>
            <w:r>
              <w:rPr>
                <w:rFonts w:ascii="Times New Roman" w:cs="Times New Roman" w:eastAsia="Times New Roman" w:hAnsi="Times New Roman"/>
                <w:sz w:val="14"/>
                <w:szCs w:val="14"/>
                <w:color w:val="auto"/>
                <w:vertAlign w:val="superscript"/>
              </w:rPr>
              <w:t>(7)</w:t>
            </w: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32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StellPen Holdings, LLC (CF512, Inc.) </w:t>
            </w:r>
            <w:r>
              <w:rPr>
                <w:rFonts w:ascii="Times New Roman" w:cs="Times New Roman" w:eastAsia="Times New Roman" w:hAnsi="Times New Roman"/>
                <w:sz w:val="14"/>
                <w:szCs w:val="14"/>
                <w:color w:val="auto"/>
                <w:vertAlign w:val="superscript"/>
              </w:rPr>
              <w:t>(7)</w:t>
            </w:r>
          </w:p>
        </w:tc>
        <w:tc>
          <w:tcPr>
            <w:tcW w:w="120" w:type="dxa"/>
            <w:vAlign w:val="bottom"/>
          </w:tcPr>
          <w:p>
            <w:pPr>
              <w:spacing w:after="0"/>
              <w:rPr>
                <w:sz w:val="11"/>
                <w:szCs w:val="11"/>
                <w:color w:val="auto"/>
              </w:rPr>
            </w:pPr>
          </w:p>
        </w:tc>
        <w:tc>
          <w:tcPr>
            <w:tcW w:w="1080" w:type="dxa"/>
            <w:vAlign w:val="bottom"/>
            <w:gridSpan w:val="3"/>
          </w:tcPr>
          <w:p>
            <w:pPr>
              <w:ind w:left="600"/>
              <w:spacing w:after="0"/>
              <w:rPr>
                <w:sz w:val="20"/>
                <w:szCs w:val="20"/>
                <w:color w:val="auto"/>
              </w:rPr>
            </w:pPr>
            <w:r>
              <w:rPr>
                <w:rFonts w:ascii="Times New Roman" w:cs="Times New Roman" w:eastAsia="Times New Roman" w:hAnsi="Times New Roman"/>
                <w:sz w:val="11"/>
                <w:szCs w:val="11"/>
                <w:color w:val="auto"/>
              </w:rPr>
              <w:t>—</w:t>
            </w:r>
          </w:p>
        </w:tc>
        <w:tc>
          <w:tcPr>
            <w:tcW w:w="2460" w:type="dxa"/>
            <w:vAlign w:val="bottom"/>
          </w:tcPr>
          <w:p>
            <w:pPr>
              <w:jc w:val="center"/>
              <w:ind w:right="46"/>
              <w:spacing w:after="0"/>
              <w:rPr>
                <w:sz w:val="20"/>
                <w:szCs w:val="20"/>
                <w:color w:val="auto"/>
              </w:rPr>
            </w:pPr>
            <w:r>
              <w:rPr>
                <w:rFonts w:ascii="Times New Roman" w:cs="Times New Roman" w:eastAsia="Times New Roman" w:hAnsi="Times New Roman"/>
                <w:sz w:val="11"/>
                <w:szCs w:val="11"/>
                <w:color w:val="auto"/>
                <w:w w:val="99"/>
              </w:rPr>
              <w:t>Media</w:t>
            </w:r>
          </w:p>
        </w:tc>
        <w:tc>
          <w:tcPr>
            <w:tcW w:w="120" w:type="dxa"/>
            <w:vAlign w:val="bottom"/>
          </w:tcPr>
          <w:p>
            <w:pPr>
              <w:spacing w:after="0"/>
              <w:rPr>
                <w:sz w:val="11"/>
                <w:szCs w:val="11"/>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Pr>
          <w:p>
            <w:pPr>
              <w:ind w:left="660"/>
              <w:spacing w:after="0"/>
              <w:rPr>
                <w:sz w:val="20"/>
                <w:szCs w:val="20"/>
                <w:color w:val="auto"/>
              </w:rPr>
            </w:pPr>
            <w:r>
              <w:rPr>
                <w:rFonts w:ascii="Times New Roman" w:cs="Times New Roman" w:eastAsia="Times New Roman" w:hAnsi="Times New Roman"/>
                <w:sz w:val="11"/>
                <w:szCs w:val="11"/>
                <w:color w:val="auto"/>
                <w:w w:val="90"/>
              </w:rPr>
              <w:t>—</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161,538</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162</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162</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32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TAC LifePort Holdings, LLC </w:t>
            </w:r>
            <w:r>
              <w:rPr>
                <w:rFonts w:ascii="Times New Roman" w:cs="Times New Roman" w:eastAsia="Times New Roman" w:hAnsi="Times New Roman"/>
                <w:sz w:val="14"/>
                <w:szCs w:val="14"/>
                <w:color w:val="auto"/>
                <w:vertAlign w:val="superscript"/>
              </w:rPr>
              <w:t>(7),(8)</w:t>
            </w:r>
          </w:p>
        </w:tc>
        <w:tc>
          <w:tcPr>
            <w:tcW w:w="120" w:type="dxa"/>
            <w:vAlign w:val="bottom"/>
          </w:tcPr>
          <w:p>
            <w:pPr>
              <w:spacing w:after="0"/>
              <w:rPr>
                <w:sz w:val="11"/>
                <w:szCs w:val="11"/>
                <w:color w:val="auto"/>
              </w:rPr>
            </w:pPr>
          </w:p>
        </w:tc>
        <w:tc>
          <w:tcPr>
            <w:tcW w:w="1080" w:type="dxa"/>
            <w:vAlign w:val="bottom"/>
            <w:gridSpan w:val="3"/>
          </w:tcPr>
          <w:p>
            <w:pPr>
              <w:ind w:left="600"/>
              <w:spacing w:after="0"/>
              <w:rPr>
                <w:sz w:val="20"/>
                <w:szCs w:val="20"/>
                <w:color w:val="auto"/>
              </w:rPr>
            </w:pPr>
            <w:r>
              <w:rPr>
                <w:rFonts w:ascii="Times New Roman" w:cs="Times New Roman" w:eastAsia="Times New Roman" w:hAnsi="Times New Roman"/>
                <w:sz w:val="11"/>
                <w:szCs w:val="11"/>
                <w:color w:val="auto"/>
              </w:rPr>
              <w:t>—</w:t>
            </w:r>
          </w:p>
        </w:tc>
        <w:tc>
          <w:tcPr>
            <w:tcW w:w="2460" w:type="dxa"/>
            <w:vAlign w:val="bottom"/>
          </w:tcPr>
          <w:p>
            <w:pPr>
              <w:jc w:val="center"/>
              <w:ind w:right="66"/>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120" w:type="dxa"/>
            <w:vAlign w:val="bottom"/>
          </w:tcPr>
          <w:p>
            <w:pPr>
              <w:spacing w:after="0"/>
              <w:rPr>
                <w:sz w:val="11"/>
                <w:szCs w:val="11"/>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Pr>
          <w:p>
            <w:pPr>
              <w:ind w:left="660"/>
              <w:spacing w:after="0"/>
              <w:rPr>
                <w:sz w:val="20"/>
                <w:szCs w:val="20"/>
                <w:color w:val="auto"/>
              </w:rPr>
            </w:pPr>
            <w:r>
              <w:rPr>
                <w:rFonts w:ascii="Times New Roman" w:cs="Times New Roman" w:eastAsia="Times New Roman" w:hAnsi="Times New Roman"/>
                <w:sz w:val="11"/>
                <w:szCs w:val="11"/>
                <w:color w:val="auto"/>
                <w:w w:val="90"/>
              </w:rPr>
              <w:t>—</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488,372</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488</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545</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320" w:type="dxa"/>
            <w:vAlign w:val="bottom"/>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TPC Holding Company, LP </w:t>
            </w:r>
            <w:r>
              <w:rPr>
                <w:rFonts w:ascii="Times New Roman" w:cs="Times New Roman" w:eastAsia="Times New Roman" w:hAnsi="Times New Roman"/>
                <w:sz w:val="14"/>
                <w:szCs w:val="14"/>
                <w:color w:val="auto"/>
                <w:vertAlign w:val="superscript"/>
              </w:rPr>
              <w:t>(5), (7), (10)</w:t>
            </w:r>
          </w:p>
        </w:tc>
        <w:tc>
          <w:tcPr>
            <w:tcW w:w="120" w:type="dxa"/>
            <w:vAlign w:val="bottom"/>
          </w:tcPr>
          <w:p>
            <w:pPr>
              <w:spacing w:after="0"/>
              <w:rPr>
                <w:sz w:val="13"/>
                <w:szCs w:val="13"/>
                <w:color w:val="auto"/>
              </w:rPr>
            </w:pPr>
          </w:p>
        </w:tc>
        <w:tc>
          <w:tcPr>
            <w:tcW w:w="1080" w:type="dxa"/>
            <w:vAlign w:val="bottom"/>
            <w:gridSpan w:val="3"/>
          </w:tcPr>
          <w:p>
            <w:pPr>
              <w:ind w:left="600"/>
              <w:spacing w:after="0"/>
              <w:rPr>
                <w:sz w:val="20"/>
                <w:szCs w:val="20"/>
                <w:color w:val="auto"/>
              </w:rPr>
            </w:pPr>
            <w:r>
              <w:rPr>
                <w:rFonts w:ascii="Times New Roman" w:cs="Times New Roman" w:eastAsia="Times New Roman" w:hAnsi="Times New Roman"/>
                <w:sz w:val="11"/>
                <w:szCs w:val="11"/>
                <w:color w:val="auto"/>
              </w:rPr>
              <w:t>—</w:t>
            </w:r>
          </w:p>
        </w:tc>
        <w:tc>
          <w:tcPr>
            <w:tcW w:w="2460" w:type="dxa"/>
            <w:vAlign w:val="bottom"/>
          </w:tcPr>
          <w:p>
            <w:pPr>
              <w:jc w:val="center"/>
              <w:ind w:right="46"/>
              <w:spacing w:after="0"/>
              <w:rPr>
                <w:sz w:val="20"/>
                <w:szCs w:val="20"/>
                <w:color w:val="auto"/>
              </w:rPr>
            </w:pPr>
            <w:r>
              <w:rPr>
                <w:rFonts w:ascii="Times New Roman" w:cs="Times New Roman" w:eastAsia="Times New Roman" w:hAnsi="Times New Roman"/>
                <w:sz w:val="11"/>
                <w:szCs w:val="11"/>
                <w:color w:val="auto"/>
              </w:rPr>
              <w:t>Food Products</w:t>
            </w:r>
          </w:p>
        </w:tc>
        <w:tc>
          <w:tcPr>
            <w:tcW w:w="120" w:type="dxa"/>
            <w:vAlign w:val="bottom"/>
          </w:tcPr>
          <w:p>
            <w:pPr>
              <w:spacing w:after="0"/>
              <w:rPr>
                <w:sz w:val="13"/>
                <w:szCs w:val="13"/>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Pr>
          <w:p>
            <w:pPr>
              <w:ind w:left="660"/>
              <w:spacing w:after="0"/>
              <w:rPr>
                <w:sz w:val="20"/>
                <w:szCs w:val="20"/>
                <w:color w:val="auto"/>
              </w:rPr>
            </w:pPr>
            <w:r>
              <w:rPr>
                <w:rFonts w:ascii="Times New Roman" w:cs="Times New Roman" w:eastAsia="Times New Roman" w:hAnsi="Times New Roman"/>
                <w:sz w:val="11"/>
                <w:szCs w:val="11"/>
                <w:color w:val="auto"/>
                <w:w w:val="90"/>
              </w:rPr>
              <w:t>—</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21,527</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62</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2320" w:type="dxa"/>
            <w:vAlign w:val="bottom"/>
          </w:tcPr>
          <w:p>
            <w:pPr>
              <w:ind w:left="20"/>
              <w:spacing w:after="0" w:line="109" w:lineRule="exact"/>
              <w:rPr>
                <w:sz w:val="20"/>
                <w:szCs w:val="20"/>
                <w:color w:val="auto"/>
              </w:rPr>
            </w:pPr>
            <w:r>
              <w:rPr>
                <w:rFonts w:ascii="Times New Roman" w:cs="Times New Roman" w:eastAsia="Times New Roman" w:hAnsi="Times New Roman"/>
                <w:sz w:val="11"/>
                <w:szCs w:val="11"/>
                <w:color w:val="auto"/>
              </w:rPr>
              <w:t>TWD Parent Holdings, LLC (The Vertex</w:t>
            </w:r>
          </w:p>
        </w:tc>
        <w:tc>
          <w:tcPr>
            <w:tcW w:w="120" w:type="dxa"/>
            <w:vAlign w:val="bottom"/>
          </w:tcPr>
          <w:p>
            <w:pPr>
              <w:spacing w:after="0"/>
              <w:rPr>
                <w:sz w:val="9"/>
                <w:szCs w:val="9"/>
                <w:color w:val="auto"/>
              </w:rPr>
            </w:pPr>
          </w:p>
        </w:tc>
        <w:tc>
          <w:tcPr>
            <w:tcW w:w="1080" w:type="dxa"/>
            <w:vAlign w:val="bottom"/>
            <w:gridSpan w:val="3"/>
          </w:tcPr>
          <w:p>
            <w:pPr>
              <w:ind w:left="600"/>
              <w:spacing w:after="0" w:line="109" w:lineRule="exact"/>
              <w:rPr>
                <w:sz w:val="20"/>
                <w:szCs w:val="20"/>
                <w:color w:val="auto"/>
              </w:rPr>
            </w:pPr>
            <w:r>
              <w:rPr>
                <w:rFonts w:ascii="Times New Roman" w:cs="Times New Roman" w:eastAsia="Times New Roman" w:hAnsi="Times New Roman"/>
                <w:sz w:val="11"/>
                <w:szCs w:val="11"/>
                <w:color w:val="auto"/>
              </w:rPr>
              <w:t>—</w:t>
            </w:r>
          </w:p>
        </w:tc>
        <w:tc>
          <w:tcPr>
            <w:tcW w:w="2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0" w:type="dxa"/>
            <w:vAlign w:val="bottom"/>
            <w:gridSpan w:val="2"/>
          </w:tcPr>
          <w:p>
            <w:pPr>
              <w:jc w:val="right"/>
              <w:ind w:right="240"/>
              <w:spacing w:after="0" w:line="109" w:lineRule="exact"/>
              <w:rPr>
                <w:sz w:val="20"/>
                <w:szCs w:val="20"/>
                <w:color w:val="auto"/>
              </w:rPr>
            </w:pPr>
            <w:r>
              <w:rPr>
                <w:rFonts w:ascii="Times New Roman" w:cs="Times New Roman" w:eastAsia="Times New Roman" w:hAnsi="Times New Roman"/>
                <w:sz w:val="11"/>
                <w:szCs w:val="11"/>
                <w:color w:val="auto"/>
              </w:rPr>
              <w:t>—</w:t>
            </w:r>
          </w:p>
        </w:tc>
        <w:tc>
          <w:tcPr>
            <w:tcW w:w="780" w:type="dxa"/>
            <w:vAlign w:val="bottom"/>
          </w:tcPr>
          <w:p>
            <w:pPr>
              <w:ind w:left="660"/>
              <w:spacing w:after="0" w:line="109" w:lineRule="exact"/>
              <w:rPr>
                <w:sz w:val="20"/>
                <w:szCs w:val="20"/>
                <w:color w:val="auto"/>
              </w:rPr>
            </w:pPr>
            <w:r>
              <w:rPr>
                <w:rFonts w:ascii="Times New Roman" w:cs="Times New Roman" w:eastAsia="Times New Roman" w:hAnsi="Times New Roman"/>
                <w:sz w:val="11"/>
                <w:szCs w:val="11"/>
                <w:color w:val="auto"/>
                <w:w w:val="90"/>
              </w:rPr>
              <w:t>—</w:t>
            </w: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320" w:type="dxa"/>
            <w:vAlign w:val="bottom"/>
          </w:tcPr>
          <w:p>
            <w:pPr>
              <w:ind w:left="20"/>
              <w:spacing w:after="0" w:line="130" w:lineRule="exact"/>
              <w:rPr>
                <w:sz w:val="20"/>
                <w:szCs w:val="20"/>
                <w:color w:val="auto"/>
              </w:rPr>
            </w:pPr>
            <w:r>
              <w:rPr>
                <w:rFonts w:ascii="Times New Roman" w:cs="Times New Roman" w:eastAsia="Times New Roman" w:hAnsi="Times New Roman"/>
                <w:sz w:val="11"/>
                <w:szCs w:val="11"/>
                <w:color w:val="auto"/>
              </w:rPr>
              <w:t xml:space="preserve">Companies, LLC) </w:t>
            </w:r>
            <w:r>
              <w:rPr>
                <w:rFonts w:ascii="Times New Roman" w:cs="Times New Roman" w:eastAsia="Times New Roman" w:hAnsi="Times New Roman"/>
                <w:sz w:val="14"/>
                <w:szCs w:val="14"/>
                <w:color w:val="auto"/>
                <w:vertAlign w:val="superscript"/>
              </w:rPr>
              <w:t>(7)</w:t>
            </w: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60" w:type="dxa"/>
            <w:vAlign w:val="bottom"/>
          </w:tcPr>
          <w:p>
            <w:pPr>
              <w:jc w:val="center"/>
              <w:ind w:right="46"/>
              <w:spacing w:after="0"/>
              <w:rPr>
                <w:sz w:val="20"/>
                <w:szCs w:val="20"/>
                <w:color w:val="auto"/>
              </w:rPr>
            </w:pPr>
            <w:r>
              <w:rPr>
                <w:rFonts w:ascii="Times New Roman" w:cs="Times New Roman" w:eastAsia="Times New Roman" w:hAnsi="Times New Roman"/>
                <w:sz w:val="11"/>
                <w:szCs w:val="11"/>
                <w:color w:val="auto"/>
                <w:w w:val="99"/>
              </w:rPr>
              <w:t>Construction &amp; Engineering</w:t>
            </w: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749</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32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UniTek Global Services, Inc. </w:t>
            </w:r>
            <w:r>
              <w:rPr>
                <w:rFonts w:ascii="Times New Roman" w:cs="Times New Roman" w:eastAsia="Times New Roman" w:hAnsi="Times New Roman"/>
                <w:sz w:val="14"/>
                <w:szCs w:val="14"/>
                <w:color w:val="auto"/>
                <w:vertAlign w:val="superscript"/>
              </w:rPr>
              <w:t>(7)</w:t>
            </w:r>
          </w:p>
        </w:tc>
        <w:tc>
          <w:tcPr>
            <w:tcW w:w="120" w:type="dxa"/>
            <w:vAlign w:val="bottom"/>
          </w:tcPr>
          <w:p>
            <w:pPr>
              <w:spacing w:after="0"/>
              <w:rPr>
                <w:sz w:val="11"/>
                <w:szCs w:val="11"/>
                <w:color w:val="auto"/>
              </w:rPr>
            </w:pPr>
          </w:p>
        </w:tc>
        <w:tc>
          <w:tcPr>
            <w:tcW w:w="1080" w:type="dxa"/>
            <w:vAlign w:val="bottom"/>
            <w:gridSpan w:val="3"/>
          </w:tcPr>
          <w:p>
            <w:pPr>
              <w:ind w:left="600"/>
              <w:spacing w:after="0"/>
              <w:rPr>
                <w:sz w:val="20"/>
                <w:szCs w:val="20"/>
                <w:color w:val="auto"/>
              </w:rPr>
            </w:pPr>
            <w:r>
              <w:rPr>
                <w:rFonts w:ascii="Times New Roman" w:cs="Times New Roman" w:eastAsia="Times New Roman" w:hAnsi="Times New Roman"/>
                <w:sz w:val="11"/>
                <w:szCs w:val="11"/>
                <w:color w:val="auto"/>
              </w:rPr>
              <w:t>—</w:t>
            </w:r>
          </w:p>
        </w:tc>
        <w:tc>
          <w:tcPr>
            <w:tcW w:w="2460" w:type="dxa"/>
            <w:vAlign w:val="bottom"/>
          </w:tcPr>
          <w:p>
            <w:pPr>
              <w:jc w:val="center"/>
              <w:ind w:right="46"/>
              <w:spacing w:after="0"/>
              <w:rPr>
                <w:sz w:val="20"/>
                <w:szCs w:val="20"/>
                <w:color w:val="auto"/>
              </w:rPr>
            </w:pPr>
            <w:r>
              <w:rPr>
                <w:rFonts w:ascii="Times New Roman" w:cs="Times New Roman" w:eastAsia="Times New Roman" w:hAnsi="Times New Roman"/>
                <w:sz w:val="11"/>
                <w:szCs w:val="11"/>
                <w:color w:val="auto"/>
                <w:w w:val="95"/>
              </w:rPr>
              <w:t>Telecommunications</w:t>
            </w:r>
          </w:p>
        </w:tc>
        <w:tc>
          <w:tcPr>
            <w:tcW w:w="120" w:type="dxa"/>
            <w:vAlign w:val="bottom"/>
          </w:tcPr>
          <w:p>
            <w:pPr>
              <w:spacing w:after="0"/>
              <w:rPr>
                <w:sz w:val="11"/>
                <w:szCs w:val="11"/>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Pr>
          <w:p>
            <w:pPr>
              <w:ind w:left="660"/>
              <w:spacing w:after="0"/>
              <w:rPr>
                <w:sz w:val="20"/>
                <w:szCs w:val="20"/>
                <w:color w:val="auto"/>
              </w:rPr>
            </w:pPr>
            <w:r>
              <w:rPr>
                <w:rFonts w:ascii="Times New Roman" w:cs="Times New Roman" w:eastAsia="Times New Roman" w:hAnsi="Times New Roman"/>
                <w:sz w:val="11"/>
                <w:szCs w:val="11"/>
                <w:color w:val="auto"/>
                <w:w w:val="90"/>
              </w:rPr>
              <w:t>—</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213,739</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35"/>
        </w:trPr>
        <w:tc>
          <w:tcPr>
            <w:tcW w:w="232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UniTek Global Services, Inc. (Warrants) </w:t>
            </w:r>
            <w:r>
              <w:rPr>
                <w:rFonts w:ascii="Times New Roman" w:cs="Times New Roman" w:eastAsia="Times New Roman" w:hAnsi="Times New Roman"/>
                <w:sz w:val="14"/>
                <w:szCs w:val="14"/>
                <w:color w:val="auto"/>
                <w:vertAlign w:val="superscript"/>
              </w:rPr>
              <w:t>(7)</w:t>
            </w:r>
          </w:p>
        </w:tc>
        <w:tc>
          <w:tcPr>
            <w:tcW w:w="120" w:type="dxa"/>
            <w:vAlign w:val="bottom"/>
          </w:tcPr>
          <w:p>
            <w:pPr>
              <w:spacing w:after="0"/>
              <w:rPr>
                <w:sz w:val="11"/>
                <w:szCs w:val="11"/>
                <w:color w:val="auto"/>
              </w:rPr>
            </w:pPr>
          </w:p>
        </w:tc>
        <w:tc>
          <w:tcPr>
            <w:tcW w:w="1080" w:type="dxa"/>
            <w:vAlign w:val="bottom"/>
            <w:gridSpan w:val="3"/>
          </w:tcPr>
          <w:p>
            <w:pPr>
              <w:ind w:left="600"/>
              <w:spacing w:after="0"/>
              <w:rPr>
                <w:sz w:val="20"/>
                <w:szCs w:val="20"/>
                <w:color w:val="auto"/>
              </w:rPr>
            </w:pPr>
            <w:r>
              <w:rPr>
                <w:rFonts w:ascii="Times New Roman" w:cs="Times New Roman" w:eastAsia="Times New Roman" w:hAnsi="Times New Roman"/>
                <w:sz w:val="11"/>
                <w:szCs w:val="11"/>
                <w:color w:val="auto"/>
              </w:rPr>
              <w:t>—</w:t>
            </w:r>
          </w:p>
        </w:tc>
        <w:tc>
          <w:tcPr>
            <w:tcW w:w="2460" w:type="dxa"/>
            <w:vAlign w:val="bottom"/>
          </w:tcPr>
          <w:p>
            <w:pPr>
              <w:jc w:val="center"/>
              <w:ind w:right="46"/>
              <w:spacing w:after="0"/>
              <w:rPr>
                <w:sz w:val="20"/>
                <w:szCs w:val="20"/>
                <w:color w:val="auto"/>
              </w:rPr>
            </w:pPr>
            <w:r>
              <w:rPr>
                <w:rFonts w:ascii="Times New Roman" w:cs="Times New Roman" w:eastAsia="Times New Roman" w:hAnsi="Times New Roman"/>
                <w:sz w:val="11"/>
                <w:szCs w:val="11"/>
                <w:color w:val="auto"/>
                <w:w w:val="95"/>
              </w:rPr>
              <w:t>Telecommunications</w:t>
            </w:r>
          </w:p>
        </w:tc>
        <w:tc>
          <w:tcPr>
            <w:tcW w:w="120" w:type="dxa"/>
            <w:vAlign w:val="bottom"/>
          </w:tcPr>
          <w:p>
            <w:pPr>
              <w:spacing w:after="0"/>
              <w:rPr>
                <w:sz w:val="11"/>
                <w:szCs w:val="11"/>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Pr>
          <w:p>
            <w:pPr>
              <w:ind w:left="660"/>
              <w:spacing w:after="0"/>
              <w:rPr>
                <w:sz w:val="20"/>
                <w:szCs w:val="20"/>
                <w:color w:val="auto"/>
              </w:rPr>
            </w:pPr>
            <w:r>
              <w:rPr>
                <w:rFonts w:ascii="Times New Roman" w:cs="Times New Roman" w:eastAsia="Times New Roman" w:hAnsi="Times New Roman"/>
                <w:sz w:val="11"/>
                <w:szCs w:val="11"/>
                <w:color w:val="auto"/>
                <w:w w:val="90"/>
              </w:rPr>
              <w:t>—</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23,889</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35"/>
        </w:trPr>
        <w:tc>
          <w:tcPr>
            <w:tcW w:w="232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UniVista Insurance </w:t>
            </w:r>
            <w:r>
              <w:rPr>
                <w:rFonts w:ascii="Times New Roman" w:cs="Times New Roman" w:eastAsia="Times New Roman" w:hAnsi="Times New Roman"/>
                <w:sz w:val="14"/>
                <w:szCs w:val="14"/>
                <w:color w:val="auto"/>
                <w:vertAlign w:val="superscript"/>
              </w:rPr>
              <w:t>(7),(8)</w:t>
            </w:r>
          </w:p>
        </w:tc>
        <w:tc>
          <w:tcPr>
            <w:tcW w:w="120" w:type="dxa"/>
            <w:vAlign w:val="bottom"/>
          </w:tcPr>
          <w:p>
            <w:pPr>
              <w:spacing w:after="0"/>
              <w:rPr>
                <w:sz w:val="11"/>
                <w:szCs w:val="11"/>
                <w:color w:val="auto"/>
              </w:rPr>
            </w:pPr>
          </w:p>
        </w:tc>
        <w:tc>
          <w:tcPr>
            <w:tcW w:w="1080" w:type="dxa"/>
            <w:vAlign w:val="bottom"/>
            <w:gridSpan w:val="3"/>
          </w:tcPr>
          <w:p>
            <w:pPr>
              <w:ind w:left="600"/>
              <w:spacing w:after="0"/>
              <w:rPr>
                <w:sz w:val="20"/>
                <w:szCs w:val="20"/>
                <w:color w:val="auto"/>
              </w:rPr>
            </w:pPr>
            <w:r>
              <w:rPr>
                <w:rFonts w:ascii="Times New Roman" w:cs="Times New Roman" w:eastAsia="Times New Roman" w:hAnsi="Times New Roman"/>
                <w:sz w:val="11"/>
                <w:szCs w:val="11"/>
                <w:color w:val="auto"/>
              </w:rPr>
              <w:t>—</w:t>
            </w:r>
          </w:p>
        </w:tc>
        <w:tc>
          <w:tcPr>
            <w:tcW w:w="2460" w:type="dxa"/>
            <w:vAlign w:val="bottom"/>
          </w:tcPr>
          <w:p>
            <w:pPr>
              <w:jc w:val="center"/>
              <w:ind w:right="66"/>
              <w:spacing w:after="0"/>
              <w:rPr>
                <w:sz w:val="20"/>
                <w:szCs w:val="20"/>
                <w:color w:val="auto"/>
              </w:rPr>
            </w:pPr>
            <w:r>
              <w:rPr>
                <w:rFonts w:ascii="Times New Roman" w:cs="Times New Roman" w:eastAsia="Times New Roman" w:hAnsi="Times New Roman"/>
                <w:sz w:val="11"/>
                <w:szCs w:val="11"/>
                <w:color w:val="auto"/>
                <w:w w:val="98"/>
              </w:rPr>
              <w:t>Insurance</w:t>
            </w:r>
          </w:p>
        </w:tc>
        <w:tc>
          <w:tcPr>
            <w:tcW w:w="120" w:type="dxa"/>
            <w:vAlign w:val="bottom"/>
          </w:tcPr>
          <w:p>
            <w:pPr>
              <w:spacing w:after="0"/>
              <w:rPr>
                <w:sz w:val="11"/>
                <w:szCs w:val="11"/>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Pr>
          <w:p>
            <w:pPr>
              <w:ind w:left="660"/>
              <w:spacing w:after="0"/>
              <w:rPr>
                <w:sz w:val="20"/>
                <w:szCs w:val="20"/>
                <w:color w:val="auto"/>
              </w:rPr>
            </w:pPr>
            <w:r>
              <w:rPr>
                <w:rFonts w:ascii="Times New Roman" w:cs="Times New Roman" w:eastAsia="Times New Roman" w:hAnsi="Times New Roman"/>
                <w:sz w:val="11"/>
                <w:szCs w:val="11"/>
                <w:color w:val="auto"/>
                <w:w w:val="90"/>
              </w:rPr>
              <w:t>—</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400</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400</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405</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3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 xml:space="preserve">Wildcat Parent, LP (Wildcat Buyerco, Inc.) </w:t>
            </w:r>
            <w:r>
              <w:rPr>
                <w:rFonts w:ascii="Times New Roman" w:cs="Times New Roman" w:eastAsia="Times New Roman" w:hAnsi="Times New Roman"/>
                <w:sz w:val="14"/>
                <w:szCs w:val="14"/>
                <w:color w:val="auto"/>
                <w:vertAlign w:val="superscript"/>
              </w:rPr>
              <w:t>(7), (8)</w:t>
            </w:r>
          </w:p>
        </w:tc>
        <w:tc>
          <w:tcPr>
            <w:tcW w:w="120" w:type="dxa"/>
            <w:vAlign w:val="bottom"/>
          </w:tcPr>
          <w:p>
            <w:pPr>
              <w:spacing w:after="0"/>
              <w:rPr>
                <w:sz w:val="14"/>
                <w:szCs w:val="14"/>
                <w:color w:val="auto"/>
              </w:rPr>
            </w:pPr>
          </w:p>
        </w:tc>
        <w:tc>
          <w:tcPr>
            <w:tcW w:w="1080" w:type="dxa"/>
            <w:vAlign w:val="bottom"/>
            <w:gridSpan w:val="3"/>
          </w:tcPr>
          <w:p>
            <w:pPr>
              <w:ind w:left="600"/>
              <w:spacing w:after="0"/>
              <w:rPr>
                <w:sz w:val="20"/>
                <w:szCs w:val="20"/>
                <w:color w:val="auto"/>
              </w:rPr>
            </w:pPr>
            <w:r>
              <w:rPr>
                <w:rFonts w:ascii="Times New Roman" w:cs="Times New Roman" w:eastAsia="Times New Roman" w:hAnsi="Times New Roman"/>
                <w:sz w:val="11"/>
                <w:szCs w:val="11"/>
                <w:color w:val="auto"/>
              </w:rPr>
              <w:t>—</w:t>
            </w:r>
          </w:p>
        </w:tc>
        <w:tc>
          <w:tcPr>
            <w:tcW w:w="2460" w:type="dxa"/>
            <w:vAlign w:val="bottom"/>
          </w:tcPr>
          <w:p>
            <w:pPr>
              <w:jc w:val="center"/>
              <w:ind w:right="46"/>
              <w:spacing w:after="0"/>
              <w:rPr>
                <w:sz w:val="20"/>
                <w:szCs w:val="20"/>
                <w:color w:val="auto"/>
              </w:rPr>
            </w:pPr>
            <w:r>
              <w:rPr>
                <w:rFonts w:ascii="Times New Roman" w:cs="Times New Roman" w:eastAsia="Times New Roman" w:hAnsi="Times New Roman"/>
                <w:sz w:val="11"/>
                <w:szCs w:val="11"/>
                <w:color w:val="auto"/>
                <w:w w:val="97"/>
              </w:rPr>
              <w:t>Electronic Equipment, Instruments, and Components</w:t>
            </w:r>
          </w:p>
        </w:tc>
        <w:tc>
          <w:tcPr>
            <w:tcW w:w="120" w:type="dxa"/>
            <w:vAlign w:val="bottom"/>
          </w:tcPr>
          <w:p>
            <w:pPr>
              <w:spacing w:after="0"/>
              <w:rPr>
                <w:sz w:val="14"/>
                <w:szCs w:val="14"/>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Pr>
          <w:p>
            <w:pPr>
              <w:ind w:left="660"/>
              <w:spacing w:after="0"/>
              <w:rPr>
                <w:sz w:val="20"/>
                <w:szCs w:val="20"/>
                <w:color w:val="auto"/>
              </w:rPr>
            </w:pPr>
            <w:r>
              <w:rPr>
                <w:rFonts w:ascii="Times New Roman" w:cs="Times New Roman" w:eastAsia="Times New Roman" w:hAnsi="Times New Roman"/>
                <w:sz w:val="11"/>
                <w:szCs w:val="11"/>
                <w:color w:val="auto"/>
                <w:w w:val="90"/>
              </w:rPr>
              <w:t>—</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2,240</w:t>
            </w:r>
          </w:p>
        </w:tc>
        <w:tc>
          <w:tcPr>
            <w:tcW w:w="2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224</w:t>
            </w:r>
          </w:p>
        </w:tc>
        <w:tc>
          <w:tcPr>
            <w:tcW w:w="2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398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32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1"/>
                <w:szCs w:val="11"/>
                <w:b w:val="1"/>
                <w:bCs w:val="1"/>
                <w:color w:val="auto"/>
              </w:rPr>
              <w:t>Total Common Equity/Warrants</w:t>
            </w:r>
          </w:p>
        </w:tc>
        <w:tc>
          <w:tcPr>
            <w:tcW w:w="120" w:type="dxa"/>
            <w:vAlign w:val="bottom"/>
            <w:tcBorders>
              <w:bottom w:val="single" w:sz="8" w:color="CCECFF"/>
            </w:tcBorders>
            <w:shd w:val="clear" w:color="auto" w:fill="CCECFF"/>
          </w:tcPr>
          <w:p>
            <w:pPr>
              <w:spacing w:after="0"/>
              <w:rPr>
                <w:sz w:val="11"/>
                <w:szCs w:val="11"/>
                <w:color w:val="auto"/>
              </w:rPr>
            </w:pPr>
          </w:p>
        </w:tc>
        <w:tc>
          <w:tcPr>
            <w:tcW w:w="720" w:type="dxa"/>
            <w:vAlign w:val="bottom"/>
            <w:tcBorders>
              <w:bottom w:val="single" w:sz="8" w:color="CCECFF"/>
            </w:tcBorders>
            <w:shd w:val="clear" w:color="auto" w:fill="CCECFF"/>
          </w:tcPr>
          <w:p>
            <w:pPr>
              <w:spacing w:after="0"/>
              <w:rPr>
                <w:sz w:val="11"/>
                <w:szCs w:val="11"/>
                <w:color w:val="auto"/>
              </w:rPr>
            </w:pPr>
          </w:p>
        </w:tc>
        <w:tc>
          <w:tcPr>
            <w:tcW w:w="260" w:type="dxa"/>
            <w:vAlign w:val="bottom"/>
            <w:tcBorders>
              <w:bottom w:val="single" w:sz="8" w:color="CCECFF"/>
            </w:tcBorders>
            <w:shd w:val="clear" w:color="auto" w:fill="CCECFF"/>
          </w:tcPr>
          <w:p>
            <w:pPr>
              <w:spacing w:after="0"/>
              <w:rPr>
                <w:sz w:val="11"/>
                <w:szCs w:val="11"/>
                <w:color w:val="auto"/>
              </w:rPr>
            </w:pPr>
          </w:p>
        </w:tc>
        <w:tc>
          <w:tcPr>
            <w:tcW w:w="100" w:type="dxa"/>
            <w:vAlign w:val="bottom"/>
            <w:tcBorders>
              <w:bottom w:val="single" w:sz="8" w:color="CCECFF"/>
            </w:tcBorders>
            <w:shd w:val="clear" w:color="auto" w:fill="CCECFF"/>
          </w:tcPr>
          <w:p>
            <w:pPr>
              <w:spacing w:after="0"/>
              <w:rPr>
                <w:sz w:val="11"/>
                <w:szCs w:val="11"/>
                <w:color w:val="auto"/>
              </w:rPr>
            </w:pPr>
          </w:p>
        </w:tc>
        <w:tc>
          <w:tcPr>
            <w:tcW w:w="2460" w:type="dxa"/>
            <w:vAlign w:val="bottom"/>
            <w:tcBorders>
              <w:bottom w:val="single" w:sz="8" w:color="CCECFF"/>
            </w:tcBorders>
            <w:shd w:val="clear" w:color="auto" w:fill="CCECFF"/>
          </w:tcPr>
          <w:p>
            <w:pPr>
              <w:spacing w:after="0"/>
              <w:rPr>
                <w:sz w:val="11"/>
                <w:szCs w:val="11"/>
                <w:color w:val="auto"/>
              </w:rPr>
            </w:pPr>
          </w:p>
        </w:tc>
        <w:tc>
          <w:tcPr>
            <w:tcW w:w="120" w:type="dxa"/>
            <w:vAlign w:val="bottom"/>
            <w:tcBorders>
              <w:bottom w:val="single" w:sz="8" w:color="CCECFF"/>
            </w:tcBorders>
            <w:shd w:val="clear" w:color="auto" w:fill="CCECFF"/>
          </w:tcPr>
          <w:p>
            <w:pPr>
              <w:spacing w:after="0"/>
              <w:rPr>
                <w:sz w:val="11"/>
                <w:szCs w:val="11"/>
                <w:color w:val="auto"/>
              </w:rPr>
            </w:pPr>
          </w:p>
        </w:tc>
        <w:tc>
          <w:tcPr>
            <w:tcW w:w="980" w:type="dxa"/>
            <w:vAlign w:val="bottom"/>
            <w:tcBorders>
              <w:bottom w:val="single" w:sz="8" w:color="CCECFF"/>
            </w:tcBorders>
            <w:shd w:val="clear" w:color="auto" w:fill="CCECFF"/>
          </w:tcPr>
          <w:p>
            <w:pPr>
              <w:spacing w:after="0"/>
              <w:rPr>
                <w:sz w:val="11"/>
                <w:szCs w:val="11"/>
                <w:color w:val="auto"/>
              </w:rPr>
            </w:pPr>
          </w:p>
        </w:tc>
        <w:tc>
          <w:tcPr>
            <w:tcW w:w="220" w:type="dxa"/>
            <w:vAlign w:val="bottom"/>
            <w:tcBorders>
              <w:bottom w:val="single" w:sz="8" w:color="CCECFF"/>
            </w:tcBorders>
            <w:shd w:val="clear" w:color="auto" w:fill="CCECFF"/>
          </w:tcPr>
          <w:p>
            <w:pPr>
              <w:spacing w:after="0"/>
              <w:rPr>
                <w:sz w:val="11"/>
                <w:szCs w:val="11"/>
                <w:color w:val="auto"/>
              </w:rPr>
            </w:pPr>
          </w:p>
        </w:tc>
        <w:tc>
          <w:tcPr>
            <w:tcW w:w="780" w:type="dxa"/>
            <w:vAlign w:val="bottom"/>
            <w:tcBorders>
              <w:bottom w:val="single" w:sz="8" w:color="CCECFF"/>
            </w:tcBorders>
            <w:shd w:val="clear" w:color="auto" w:fill="CCECFF"/>
          </w:tcPr>
          <w:p>
            <w:pPr>
              <w:spacing w:after="0"/>
              <w:rPr>
                <w:sz w:val="11"/>
                <w:szCs w:val="11"/>
                <w:color w:val="auto"/>
              </w:rPr>
            </w:pPr>
          </w:p>
        </w:tc>
        <w:tc>
          <w:tcPr>
            <w:tcW w:w="220" w:type="dxa"/>
            <w:vAlign w:val="bottom"/>
            <w:tcBorders>
              <w:bottom w:val="single" w:sz="8" w:color="CCECFF"/>
            </w:tcBorders>
            <w:shd w:val="clear" w:color="auto" w:fill="CCECFF"/>
          </w:tcPr>
          <w:p>
            <w:pPr>
              <w:spacing w:after="0"/>
              <w:rPr>
                <w:sz w:val="11"/>
                <w:szCs w:val="11"/>
                <w:color w:val="auto"/>
              </w:rPr>
            </w:pPr>
          </w:p>
        </w:tc>
        <w:tc>
          <w:tcPr>
            <w:tcW w:w="820" w:type="dxa"/>
            <w:vAlign w:val="bottom"/>
            <w:tcBorders>
              <w:bottom w:val="single" w:sz="8" w:color="CCECFF"/>
            </w:tcBorders>
            <w:shd w:val="clear" w:color="auto" w:fill="CCECFF"/>
          </w:tcPr>
          <w:p>
            <w:pPr>
              <w:spacing w:after="0"/>
              <w:rPr>
                <w:sz w:val="11"/>
                <w:szCs w:val="11"/>
                <w:color w:val="auto"/>
              </w:rPr>
            </w:pPr>
          </w:p>
        </w:tc>
        <w:tc>
          <w:tcPr>
            <w:tcW w:w="220" w:type="dxa"/>
            <w:vAlign w:val="bottom"/>
            <w:tcBorders>
              <w:bottom w:val="single" w:sz="8" w:color="CCECFF"/>
            </w:tcBorders>
            <w:shd w:val="clear" w:color="auto" w:fill="CCECFF"/>
          </w:tcPr>
          <w:p>
            <w:pPr>
              <w:spacing w:after="0"/>
              <w:rPr>
                <w:sz w:val="11"/>
                <w:szCs w:val="11"/>
                <w:color w:val="auto"/>
              </w:rPr>
            </w:pPr>
          </w:p>
        </w:tc>
        <w:tc>
          <w:tcPr>
            <w:tcW w:w="180" w:type="dxa"/>
            <w:vAlign w:val="bottom"/>
            <w:tcBorders>
              <w:bottom w:val="single" w:sz="8" w:color="auto"/>
            </w:tcBorders>
            <w:shd w:val="clear" w:color="auto" w:fill="CCECFF"/>
          </w:tcPr>
          <w:p>
            <w:pPr>
              <w:spacing w:after="0"/>
              <w:rPr>
                <w:sz w:val="11"/>
                <w:szCs w:val="11"/>
                <w:color w:val="auto"/>
              </w:rPr>
            </w:pPr>
          </w:p>
        </w:tc>
        <w:tc>
          <w:tcPr>
            <w:tcW w:w="6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41,384</w:t>
            </w:r>
          </w:p>
        </w:tc>
        <w:tc>
          <w:tcPr>
            <w:tcW w:w="220" w:type="dxa"/>
            <w:vAlign w:val="bottom"/>
            <w:tcBorders>
              <w:bottom w:val="single" w:sz="8" w:color="CCECFF"/>
            </w:tcBorders>
            <w:shd w:val="clear" w:color="auto" w:fill="CCECFF"/>
          </w:tcPr>
          <w:p>
            <w:pPr>
              <w:spacing w:after="0"/>
              <w:rPr>
                <w:sz w:val="11"/>
                <w:szCs w:val="11"/>
                <w:color w:val="auto"/>
              </w:rPr>
            </w:pPr>
          </w:p>
        </w:tc>
        <w:tc>
          <w:tcPr>
            <w:tcW w:w="80" w:type="dxa"/>
            <w:vAlign w:val="bottom"/>
            <w:tcBorders>
              <w:bottom w:val="single" w:sz="8" w:color="auto"/>
            </w:tcBorders>
            <w:shd w:val="clear" w:color="auto" w:fill="CCECFF"/>
          </w:tcPr>
          <w:p>
            <w:pPr>
              <w:spacing w:after="0"/>
              <w:rPr>
                <w:sz w:val="11"/>
                <w:szCs w:val="11"/>
                <w:color w:val="auto"/>
              </w:rPr>
            </w:pPr>
          </w:p>
        </w:tc>
        <w:tc>
          <w:tcPr>
            <w:tcW w:w="72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82,342</w:t>
            </w:r>
          </w:p>
        </w:tc>
        <w:tc>
          <w:tcPr>
            <w:tcW w:w="100" w:type="dxa"/>
            <w:vAlign w:val="bottom"/>
            <w:tcBorders>
              <w:bottom w:val="single" w:sz="8" w:color="CCECFF"/>
            </w:tcBorders>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3520" w:type="dxa"/>
            <w:vAlign w:val="bottom"/>
            <w:gridSpan w:val="5"/>
          </w:tcPr>
          <w:p>
            <w:pPr>
              <w:ind w:left="20"/>
              <w:spacing w:after="0" w:line="110" w:lineRule="exact"/>
              <w:rPr>
                <w:sz w:val="20"/>
                <w:szCs w:val="20"/>
                <w:color w:val="auto"/>
              </w:rPr>
            </w:pPr>
            <w:r>
              <w:rPr>
                <w:rFonts w:ascii="Times New Roman" w:cs="Times New Roman" w:eastAsia="Times New Roman" w:hAnsi="Times New Roman"/>
                <w:sz w:val="11"/>
                <w:szCs w:val="11"/>
                <w:b w:val="1"/>
                <w:bCs w:val="1"/>
                <w:color w:val="auto"/>
              </w:rPr>
              <w:t>Total Investments in Non-Controlled, Non-Affiliated Portfolio Companies</w:t>
            </w:r>
          </w:p>
        </w:tc>
        <w:tc>
          <w:tcPr>
            <w:tcW w:w="2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right"/>
              <w:spacing w:after="0" w:line="110" w:lineRule="exact"/>
              <w:rPr>
                <w:sz w:val="20"/>
                <w:szCs w:val="20"/>
                <w:color w:val="auto"/>
              </w:rPr>
            </w:pPr>
            <w:r>
              <w:rPr>
                <w:rFonts w:ascii="Times New Roman" w:cs="Times New Roman" w:eastAsia="Times New Roman" w:hAnsi="Times New Roman"/>
                <w:sz w:val="11"/>
                <w:szCs w:val="11"/>
                <w:color w:val="auto"/>
              </w:rPr>
              <w:t>824,542</w:t>
            </w:r>
          </w:p>
        </w:tc>
        <w:tc>
          <w:tcPr>
            <w:tcW w:w="22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jc w:val="right"/>
              <w:spacing w:after="0" w:line="110" w:lineRule="exact"/>
              <w:rPr>
                <w:sz w:val="20"/>
                <w:szCs w:val="20"/>
                <w:color w:val="auto"/>
              </w:rPr>
            </w:pPr>
            <w:r>
              <w:rPr>
                <w:rFonts w:ascii="Times New Roman" w:cs="Times New Roman" w:eastAsia="Times New Roman" w:hAnsi="Times New Roman"/>
                <w:sz w:val="11"/>
                <w:szCs w:val="11"/>
                <w:color w:val="auto"/>
              </w:rPr>
              <w:t>856,806</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3520" w:type="dxa"/>
            <w:vAlign w:val="bottom"/>
            <w:gridSpan w:val="5"/>
          </w:tcPr>
          <w:p>
            <w:pPr>
              <w:ind w:left="20"/>
              <w:spacing w:after="0" w:line="119" w:lineRule="exact"/>
              <w:rPr>
                <w:sz w:val="20"/>
                <w:szCs w:val="20"/>
                <w:color w:val="auto"/>
              </w:rPr>
            </w:pPr>
            <w:r>
              <w:rPr>
                <w:rFonts w:ascii="Times New Roman" w:cs="Times New Roman" w:eastAsia="Times New Roman" w:hAnsi="Times New Roman"/>
                <w:sz w:val="10"/>
                <w:szCs w:val="10"/>
                <w:b w:val="1"/>
                <w:bCs w:val="1"/>
                <w:color w:val="auto"/>
              </w:rPr>
              <w:t xml:space="preserve">Investments in Non-Controlled, Affiliated Portfolio Companies—1.5% </w:t>
            </w:r>
            <w:r>
              <w:rPr>
                <w:rFonts w:ascii="Times New Roman" w:cs="Times New Roman" w:eastAsia="Times New Roman" w:hAnsi="Times New Roman"/>
                <w:sz w:val="13"/>
                <w:szCs w:val="13"/>
                <w:b w:val="1"/>
                <w:bCs w:val="1"/>
                <w:color w:val="auto"/>
                <w:vertAlign w:val="superscript"/>
              </w:rPr>
              <w:t>(3), (4)</w:t>
            </w:r>
          </w:p>
        </w:tc>
        <w:tc>
          <w:tcPr>
            <w:tcW w:w="2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6"/>
        </w:trPr>
        <w:tc>
          <w:tcPr>
            <w:tcW w:w="232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Second Lien Secured Debt—1.1%</w:t>
            </w: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3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DBI Holdings, LLC, Term Loan B</w:t>
            </w:r>
          </w:p>
        </w:tc>
        <w:tc>
          <w:tcPr>
            <w:tcW w:w="840" w:type="dxa"/>
            <w:vAlign w:val="bottom"/>
            <w:gridSpan w:val="2"/>
            <w:shd w:val="clear" w:color="auto" w:fill="CCECFF"/>
          </w:tcPr>
          <w:p>
            <w:pPr>
              <w:jc w:val="center"/>
              <w:ind w:left="46"/>
              <w:spacing w:after="0"/>
              <w:rPr>
                <w:sz w:val="20"/>
                <w:szCs w:val="20"/>
                <w:color w:val="auto"/>
              </w:rPr>
            </w:pPr>
            <w:r>
              <w:rPr>
                <w:rFonts w:ascii="Times New Roman" w:cs="Times New Roman" w:eastAsia="Times New Roman" w:hAnsi="Times New Roman"/>
                <w:sz w:val="11"/>
                <w:szCs w:val="11"/>
                <w:color w:val="auto"/>
                <w:w w:val="99"/>
              </w:rPr>
              <w:t>02/02/2026</w:t>
            </w:r>
          </w:p>
        </w:tc>
        <w:tc>
          <w:tcPr>
            <w:tcW w:w="26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2460" w:type="dxa"/>
            <w:vAlign w:val="bottom"/>
            <w:shd w:val="clear" w:color="auto" w:fill="CCECFF"/>
          </w:tcPr>
          <w:p>
            <w:pPr>
              <w:jc w:val="center"/>
              <w:ind w:right="46"/>
              <w:spacing w:after="0"/>
              <w:rPr>
                <w:sz w:val="20"/>
                <w:szCs w:val="20"/>
                <w:color w:val="auto"/>
              </w:rPr>
            </w:pPr>
            <w:r>
              <w:rPr>
                <w:rFonts w:ascii="Times New Roman" w:cs="Times New Roman" w:eastAsia="Times New Roman" w:hAnsi="Times New Roman"/>
                <w:sz w:val="11"/>
                <w:szCs w:val="11"/>
                <w:color w:val="auto"/>
                <w:w w:val="95"/>
              </w:rPr>
              <w:t>Business Services</w:t>
            </w:r>
          </w:p>
        </w:tc>
        <w:tc>
          <w:tcPr>
            <w:tcW w:w="1320" w:type="dxa"/>
            <w:vAlign w:val="bottom"/>
            <w:gridSpan w:val="3"/>
            <w:shd w:val="clear" w:color="auto" w:fill="CCECFF"/>
          </w:tcPr>
          <w:p>
            <w:pPr>
              <w:jc w:val="right"/>
              <w:ind w:right="120"/>
              <w:spacing w:after="0"/>
              <w:rPr>
                <w:sz w:val="20"/>
                <w:szCs w:val="20"/>
                <w:color w:val="auto"/>
              </w:rPr>
            </w:pPr>
            <w:r>
              <w:rPr>
                <w:rFonts w:ascii="Times New Roman" w:cs="Times New Roman" w:eastAsia="Times New Roman" w:hAnsi="Times New Roman"/>
                <w:sz w:val="11"/>
                <w:szCs w:val="11"/>
                <w:color w:val="auto"/>
              </w:rPr>
              <w:t>11.00 %</w:t>
            </w:r>
          </w:p>
        </w:tc>
        <w:tc>
          <w:tcPr>
            <w:tcW w:w="780" w:type="dxa"/>
            <w:vAlign w:val="bottom"/>
            <w:shd w:val="clear" w:color="auto" w:fill="CCECFF"/>
          </w:tcPr>
          <w:p>
            <w:pPr>
              <w:ind w:left="660"/>
              <w:spacing w:after="0"/>
              <w:rPr>
                <w:sz w:val="20"/>
                <w:szCs w:val="20"/>
                <w:color w:val="auto"/>
              </w:rPr>
            </w:pPr>
            <w:r>
              <w:rPr>
                <w:rFonts w:ascii="Times New Roman" w:cs="Times New Roman" w:eastAsia="Times New Roman" w:hAnsi="Times New Roman"/>
                <w:sz w:val="11"/>
                <w:szCs w:val="11"/>
                <w:color w:val="auto"/>
                <w:w w:val="90"/>
              </w:rPr>
              <w:t>—</w:t>
            </w:r>
          </w:p>
        </w:tc>
        <w:tc>
          <w:tcPr>
            <w:tcW w:w="10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3,405</w:t>
            </w:r>
          </w:p>
        </w:tc>
        <w:tc>
          <w:tcPr>
            <w:tcW w:w="22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3,405</w:t>
            </w:r>
          </w:p>
        </w:tc>
        <w:tc>
          <w:tcPr>
            <w:tcW w:w="22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7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3,405</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320" w:type="dxa"/>
            <w:vAlign w:val="bottom"/>
            <w:vMerge w:val="restart"/>
          </w:tcPr>
          <w:p>
            <w:pPr>
              <w:ind w:left="20"/>
              <w:spacing w:after="0"/>
              <w:rPr>
                <w:sz w:val="20"/>
                <w:szCs w:val="20"/>
                <w:color w:val="auto"/>
              </w:rPr>
            </w:pPr>
            <w:r>
              <w:rPr>
                <w:rFonts w:ascii="Times New Roman" w:cs="Times New Roman" w:eastAsia="Times New Roman" w:hAnsi="Times New Roman"/>
                <w:sz w:val="11"/>
                <w:szCs w:val="11"/>
                <w:color w:val="auto"/>
              </w:rPr>
              <w:t xml:space="preserve">DBI Holding, LLC - 1.5 Lien Term Loan </w:t>
            </w:r>
            <w:r>
              <w:rPr>
                <w:rFonts w:ascii="Times New Roman" w:cs="Times New Roman" w:eastAsia="Times New Roman" w:hAnsi="Times New Roman"/>
                <w:sz w:val="14"/>
                <w:szCs w:val="14"/>
                <w:color w:val="auto"/>
                <w:vertAlign w:val="superscript"/>
              </w:rPr>
              <w:t>(7)</w:t>
            </w:r>
          </w:p>
        </w:tc>
        <w:tc>
          <w:tcPr>
            <w:tcW w:w="120" w:type="dxa"/>
            <w:vAlign w:val="bottom"/>
            <w:shd w:val="clear" w:color="auto" w:fill="CCECFF"/>
          </w:tcPr>
          <w:p>
            <w:pPr>
              <w:spacing w:after="0"/>
              <w:rPr>
                <w:sz w:val="11"/>
                <w:szCs w:val="11"/>
                <w:color w:val="auto"/>
              </w:rPr>
            </w:pPr>
          </w:p>
        </w:tc>
        <w:tc>
          <w:tcPr>
            <w:tcW w:w="720" w:type="dxa"/>
            <w:vAlign w:val="bottom"/>
            <w:shd w:val="clear" w:color="auto" w:fill="CCECFF"/>
          </w:tcPr>
          <w:p>
            <w:pPr>
              <w:spacing w:after="0"/>
              <w:rPr>
                <w:sz w:val="11"/>
                <w:szCs w:val="11"/>
                <w:color w:val="auto"/>
              </w:rPr>
            </w:pPr>
          </w:p>
        </w:tc>
        <w:tc>
          <w:tcPr>
            <w:tcW w:w="26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246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120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(PIK 3.00%)</w:t>
            </w:r>
          </w:p>
        </w:tc>
        <w:tc>
          <w:tcPr>
            <w:tcW w:w="78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82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60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7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320" w:type="dxa"/>
            <w:vAlign w:val="bottom"/>
            <w:vMerge w:val="continue"/>
          </w:tcPr>
          <w:p>
            <w:pPr>
              <w:spacing w:after="0"/>
              <w:rPr>
                <w:sz w:val="11"/>
                <w:szCs w:val="11"/>
                <w:color w:val="auto"/>
              </w:rPr>
            </w:pPr>
          </w:p>
        </w:tc>
        <w:tc>
          <w:tcPr>
            <w:tcW w:w="840" w:type="dxa"/>
            <w:vAlign w:val="bottom"/>
            <w:gridSpan w:val="2"/>
          </w:tcPr>
          <w:p>
            <w:pPr>
              <w:jc w:val="center"/>
              <w:ind w:left="46"/>
              <w:spacing w:after="0"/>
              <w:rPr>
                <w:sz w:val="20"/>
                <w:szCs w:val="20"/>
                <w:color w:val="auto"/>
              </w:rPr>
            </w:pPr>
            <w:r>
              <w:rPr>
                <w:rFonts w:ascii="Times New Roman" w:cs="Times New Roman" w:eastAsia="Times New Roman" w:hAnsi="Times New Roman"/>
                <w:sz w:val="11"/>
                <w:szCs w:val="11"/>
                <w:color w:val="auto"/>
                <w:w w:val="99"/>
              </w:rPr>
              <w:t>05/01/2023</w:t>
            </w: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60" w:type="dxa"/>
            <w:vAlign w:val="bottom"/>
          </w:tcPr>
          <w:p>
            <w:pPr>
              <w:jc w:val="center"/>
              <w:ind w:right="46"/>
              <w:spacing w:after="0"/>
              <w:rPr>
                <w:sz w:val="20"/>
                <w:szCs w:val="20"/>
                <w:color w:val="auto"/>
              </w:rPr>
            </w:pPr>
            <w:r>
              <w:rPr>
                <w:rFonts w:ascii="Times New Roman" w:cs="Times New Roman" w:eastAsia="Times New Roman" w:hAnsi="Times New Roman"/>
                <w:sz w:val="11"/>
                <w:szCs w:val="11"/>
                <w:color w:val="auto"/>
                <w:w w:val="95"/>
              </w:rPr>
              <w:t>Business Services</w:t>
            </w:r>
          </w:p>
        </w:tc>
        <w:tc>
          <w:tcPr>
            <w:tcW w:w="1320" w:type="dxa"/>
            <w:vAlign w:val="bottom"/>
            <w:gridSpan w:val="3"/>
          </w:tcPr>
          <w:p>
            <w:pPr>
              <w:jc w:val="right"/>
              <w:ind w:right="120"/>
              <w:spacing w:after="0"/>
              <w:rPr>
                <w:sz w:val="20"/>
                <w:szCs w:val="20"/>
                <w:color w:val="auto"/>
              </w:rPr>
            </w:pPr>
            <w:r>
              <w:rPr>
                <w:rFonts w:ascii="Times New Roman" w:cs="Times New Roman" w:eastAsia="Times New Roman" w:hAnsi="Times New Roman"/>
                <w:sz w:val="11"/>
                <w:szCs w:val="11"/>
                <w:color w:val="auto"/>
              </w:rPr>
              <w:t>14.00 %</w:t>
            </w:r>
          </w:p>
        </w:tc>
        <w:tc>
          <w:tcPr>
            <w:tcW w:w="780" w:type="dxa"/>
            <w:vAlign w:val="bottom"/>
          </w:tcPr>
          <w:p>
            <w:pPr>
              <w:ind w:left="660"/>
              <w:spacing w:after="0"/>
              <w:rPr>
                <w:sz w:val="20"/>
                <w:szCs w:val="20"/>
                <w:color w:val="auto"/>
              </w:rPr>
            </w:pPr>
            <w:r>
              <w:rPr>
                <w:rFonts w:ascii="Times New Roman" w:cs="Times New Roman" w:eastAsia="Times New Roman" w:hAnsi="Times New Roman"/>
                <w:sz w:val="11"/>
                <w:szCs w:val="11"/>
                <w:color w:val="auto"/>
                <w:w w:val="90"/>
              </w:rPr>
              <w:t>—</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2,190</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2,190</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2,190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320" w:type="dxa"/>
            <w:vAlign w:val="bottom"/>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Total Second Lien Secured Debt</w:t>
            </w: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(PIK 14.00%)</w:t>
            </w: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32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right"/>
              <w:spacing w:after="0" w:line="110" w:lineRule="exact"/>
              <w:rPr>
                <w:sz w:val="20"/>
                <w:szCs w:val="20"/>
                <w:color w:val="auto"/>
              </w:rPr>
            </w:pPr>
            <w:r>
              <w:rPr>
                <w:rFonts w:ascii="Times New Roman" w:cs="Times New Roman" w:eastAsia="Times New Roman" w:hAnsi="Times New Roman"/>
                <w:sz w:val="11"/>
                <w:szCs w:val="11"/>
                <w:color w:val="auto"/>
              </w:rPr>
              <w:t>5,594</w:t>
            </w:r>
          </w:p>
        </w:tc>
        <w:tc>
          <w:tcPr>
            <w:tcW w:w="22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jc w:val="right"/>
              <w:spacing w:after="0" w:line="110" w:lineRule="exact"/>
              <w:rPr>
                <w:sz w:val="20"/>
                <w:szCs w:val="20"/>
                <w:color w:val="auto"/>
              </w:rPr>
            </w:pPr>
            <w:r>
              <w:rPr>
                <w:rFonts w:ascii="Times New Roman" w:cs="Times New Roman" w:eastAsia="Times New Roman" w:hAnsi="Times New Roman"/>
                <w:sz w:val="11"/>
                <w:szCs w:val="11"/>
                <w:color w:val="auto"/>
              </w:rPr>
              <w:t>5,594</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3"/>
        </w:trPr>
        <w:tc>
          <w:tcPr>
            <w:tcW w:w="2320" w:type="dxa"/>
            <w:vAlign w:val="bottom"/>
          </w:tcPr>
          <w:p>
            <w:pPr>
              <w:ind w:left="20"/>
              <w:spacing w:after="0" w:line="103" w:lineRule="exact"/>
              <w:rPr>
                <w:sz w:val="20"/>
                <w:szCs w:val="20"/>
                <w:color w:val="auto"/>
              </w:rPr>
            </w:pPr>
            <w:r>
              <w:rPr>
                <w:rFonts w:ascii="Times New Roman" w:cs="Times New Roman" w:eastAsia="Times New Roman" w:hAnsi="Times New Roman"/>
                <w:sz w:val="9"/>
                <w:szCs w:val="9"/>
                <w:b w:val="1"/>
                <w:bCs w:val="1"/>
                <w:color w:val="auto"/>
              </w:rPr>
              <w:t xml:space="preserve">Preferred Equity— 0.4% </w:t>
            </w:r>
            <w:r>
              <w:rPr>
                <w:rFonts w:ascii="Times New Roman" w:cs="Times New Roman" w:eastAsia="Times New Roman" w:hAnsi="Times New Roman"/>
                <w:sz w:val="11"/>
                <w:szCs w:val="11"/>
                <w:b w:val="1"/>
                <w:bCs w:val="1"/>
                <w:color w:val="auto"/>
                <w:vertAlign w:val="superscript"/>
              </w:rPr>
              <w:t>(6)</w:t>
            </w: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980" w:type="dxa"/>
            <w:vAlign w:val="bottom"/>
          </w:tcPr>
          <w:p>
            <w:pPr>
              <w:spacing w:after="0"/>
              <w:rPr>
                <w:sz w:val="8"/>
                <w:szCs w:val="8"/>
                <w:color w:val="auto"/>
              </w:rPr>
            </w:pPr>
          </w:p>
        </w:tc>
        <w:tc>
          <w:tcPr>
            <w:tcW w:w="2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232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DBI Intermediate HoldCo LLC, Series A-1 </w:t>
            </w:r>
            <w:r>
              <w:rPr>
                <w:rFonts w:ascii="Times New Roman" w:cs="Times New Roman" w:eastAsia="Times New Roman" w:hAnsi="Times New Roman"/>
                <w:sz w:val="14"/>
                <w:szCs w:val="14"/>
                <w:color w:val="auto"/>
                <w:vertAlign w:val="superscript"/>
              </w:rPr>
              <w:t>(8)</w:t>
            </w:r>
          </w:p>
        </w:tc>
        <w:tc>
          <w:tcPr>
            <w:tcW w:w="120" w:type="dxa"/>
            <w:vAlign w:val="bottom"/>
          </w:tcPr>
          <w:p>
            <w:pPr>
              <w:spacing w:after="0"/>
              <w:rPr>
                <w:sz w:val="11"/>
                <w:szCs w:val="11"/>
                <w:color w:val="auto"/>
              </w:rPr>
            </w:pPr>
          </w:p>
        </w:tc>
        <w:tc>
          <w:tcPr>
            <w:tcW w:w="1080" w:type="dxa"/>
            <w:vAlign w:val="bottom"/>
            <w:gridSpan w:val="3"/>
          </w:tcPr>
          <w:p>
            <w:pPr>
              <w:ind w:left="600"/>
              <w:spacing w:after="0"/>
              <w:rPr>
                <w:sz w:val="20"/>
                <w:szCs w:val="20"/>
                <w:color w:val="auto"/>
              </w:rPr>
            </w:pPr>
            <w:r>
              <w:rPr>
                <w:rFonts w:ascii="Times New Roman" w:cs="Times New Roman" w:eastAsia="Times New Roman" w:hAnsi="Times New Roman"/>
                <w:sz w:val="11"/>
                <w:szCs w:val="11"/>
                <w:color w:val="auto"/>
              </w:rPr>
              <w:t>—</w:t>
            </w:r>
          </w:p>
        </w:tc>
        <w:tc>
          <w:tcPr>
            <w:tcW w:w="2460" w:type="dxa"/>
            <w:vAlign w:val="bottom"/>
          </w:tcPr>
          <w:p>
            <w:pPr>
              <w:jc w:val="center"/>
              <w:ind w:right="46"/>
              <w:spacing w:after="0"/>
              <w:rPr>
                <w:sz w:val="20"/>
                <w:szCs w:val="20"/>
                <w:color w:val="auto"/>
              </w:rPr>
            </w:pPr>
            <w:r>
              <w:rPr>
                <w:rFonts w:ascii="Times New Roman" w:cs="Times New Roman" w:eastAsia="Times New Roman" w:hAnsi="Times New Roman"/>
                <w:sz w:val="11"/>
                <w:szCs w:val="11"/>
                <w:color w:val="auto"/>
                <w:w w:val="95"/>
              </w:rPr>
              <w:t>Business Services</w:t>
            </w:r>
          </w:p>
        </w:tc>
        <w:tc>
          <w:tcPr>
            <w:tcW w:w="1320" w:type="dxa"/>
            <w:vAlign w:val="bottom"/>
            <w:gridSpan w:val="3"/>
          </w:tcPr>
          <w:p>
            <w:pPr>
              <w:jc w:val="right"/>
              <w:ind w:right="120"/>
              <w:spacing w:after="0"/>
              <w:rPr>
                <w:sz w:val="20"/>
                <w:szCs w:val="20"/>
                <w:color w:val="auto"/>
              </w:rPr>
            </w:pPr>
            <w:r>
              <w:rPr>
                <w:rFonts w:ascii="Times New Roman" w:cs="Times New Roman" w:eastAsia="Times New Roman" w:hAnsi="Times New Roman"/>
                <w:sz w:val="11"/>
                <w:szCs w:val="11"/>
                <w:color w:val="auto"/>
              </w:rPr>
              <w:t>14.00 %</w:t>
            </w:r>
          </w:p>
        </w:tc>
        <w:tc>
          <w:tcPr>
            <w:tcW w:w="780" w:type="dxa"/>
            <w:vAlign w:val="bottom"/>
          </w:tcPr>
          <w:p>
            <w:pPr>
              <w:ind w:left="660"/>
              <w:spacing w:after="0"/>
              <w:rPr>
                <w:sz w:val="20"/>
                <w:szCs w:val="20"/>
                <w:color w:val="auto"/>
              </w:rPr>
            </w:pPr>
            <w:r>
              <w:rPr>
                <w:rFonts w:ascii="Times New Roman" w:cs="Times New Roman" w:eastAsia="Times New Roman" w:hAnsi="Times New Roman"/>
                <w:sz w:val="11"/>
                <w:szCs w:val="11"/>
                <w:color w:val="auto"/>
                <w:w w:val="90"/>
              </w:rPr>
              <w:t>—</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9,488</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7,041</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3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 xml:space="preserve">DBI Intermediate HoldCo LLC, Series AA </w:t>
            </w:r>
            <w:r>
              <w:rPr>
                <w:rFonts w:ascii="Times New Roman" w:cs="Times New Roman" w:eastAsia="Times New Roman" w:hAnsi="Times New Roman"/>
                <w:sz w:val="14"/>
                <w:szCs w:val="14"/>
                <w:color w:val="auto"/>
                <w:vertAlign w:val="superscript"/>
              </w:rPr>
              <w:t>(8)</w:t>
            </w:r>
          </w:p>
        </w:tc>
        <w:tc>
          <w:tcPr>
            <w:tcW w:w="120" w:type="dxa"/>
            <w:vAlign w:val="bottom"/>
          </w:tcPr>
          <w:p>
            <w:pPr>
              <w:spacing w:after="0"/>
              <w:rPr>
                <w:sz w:val="14"/>
                <w:szCs w:val="14"/>
                <w:color w:val="auto"/>
              </w:rPr>
            </w:pPr>
          </w:p>
        </w:tc>
        <w:tc>
          <w:tcPr>
            <w:tcW w:w="1080" w:type="dxa"/>
            <w:vAlign w:val="bottom"/>
            <w:gridSpan w:val="3"/>
          </w:tcPr>
          <w:p>
            <w:pPr>
              <w:ind w:left="600"/>
              <w:spacing w:after="0"/>
              <w:rPr>
                <w:sz w:val="20"/>
                <w:szCs w:val="20"/>
                <w:color w:val="auto"/>
              </w:rPr>
            </w:pPr>
            <w:r>
              <w:rPr>
                <w:rFonts w:ascii="Times New Roman" w:cs="Times New Roman" w:eastAsia="Times New Roman" w:hAnsi="Times New Roman"/>
                <w:sz w:val="11"/>
                <w:szCs w:val="11"/>
                <w:color w:val="auto"/>
              </w:rPr>
              <w:t>—</w:t>
            </w:r>
          </w:p>
        </w:tc>
        <w:tc>
          <w:tcPr>
            <w:tcW w:w="2460" w:type="dxa"/>
            <w:vAlign w:val="bottom"/>
          </w:tcPr>
          <w:p>
            <w:pPr>
              <w:jc w:val="center"/>
              <w:ind w:right="46"/>
              <w:spacing w:after="0"/>
              <w:rPr>
                <w:sz w:val="20"/>
                <w:szCs w:val="20"/>
                <w:color w:val="auto"/>
              </w:rPr>
            </w:pPr>
            <w:r>
              <w:rPr>
                <w:rFonts w:ascii="Times New Roman" w:cs="Times New Roman" w:eastAsia="Times New Roman" w:hAnsi="Times New Roman"/>
                <w:sz w:val="11"/>
                <w:szCs w:val="11"/>
                <w:color w:val="auto"/>
                <w:w w:val="95"/>
              </w:rPr>
              <w:t>Business Services</w:t>
            </w:r>
          </w:p>
        </w:tc>
        <w:tc>
          <w:tcPr>
            <w:tcW w:w="120" w:type="dxa"/>
            <w:vAlign w:val="bottom"/>
          </w:tcPr>
          <w:p>
            <w:pPr>
              <w:spacing w:after="0"/>
              <w:rPr>
                <w:sz w:val="14"/>
                <w:szCs w:val="14"/>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Pr>
          <w:p>
            <w:pPr>
              <w:ind w:left="660"/>
              <w:spacing w:after="0"/>
              <w:rPr>
                <w:sz w:val="20"/>
                <w:szCs w:val="20"/>
                <w:color w:val="auto"/>
              </w:rPr>
            </w:pPr>
            <w:r>
              <w:rPr>
                <w:rFonts w:ascii="Times New Roman" w:cs="Times New Roman" w:eastAsia="Times New Roman" w:hAnsi="Times New Roman"/>
                <w:sz w:val="11"/>
                <w:szCs w:val="11"/>
                <w:color w:val="auto"/>
                <w:w w:val="90"/>
              </w:rPr>
              <w:t>—</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9,800</w:t>
            </w:r>
          </w:p>
        </w:tc>
        <w:tc>
          <w:tcPr>
            <w:tcW w:w="2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9,414</w:t>
            </w:r>
          </w:p>
        </w:tc>
        <w:tc>
          <w:tcPr>
            <w:tcW w:w="2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1,839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2320" w:type="dxa"/>
            <w:vAlign w:val="bottom"/>
          </w:tcPr>
          <w:p>
            <w:pPr>
              <w:ind w:left="20"/>
              <w:spacing w:after="0" w:line="110" w:lineRule="exact"/>
              <w:rPr>
                <w:sz w:val="20"/>
                <w:szCs w:val="20"/>
                <w:color w:val="auto"/>
              </w:rPr>
            </w:pPr>
            <w:r>
              <w:rPr>
                <w:rFonts w:ascii="Times New Roman" w:cs="Times New Roman" w:eastAsia="Times New Roman" w:hAnsi="Times New Roman"/>
                <w:sz w:val="11"/>
                <w:szCs w:val="11"/>
                <w:b w:val="1"/>
                <w:bCs w:val="1"/>
                <w:color w:val="auto"/>
              </w:rPr>
              <w:t>Total Preferred Equity</w:t>
            </w: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right"/>
              <w:spacing w:after="0" w:line="110" w:lineRule="exact"/>
              <w:rPr>
                <w:sz w:val="20"/>
                <w:szCs w:val="20"/>
                <w:color w:val="auto"/>
              </w:rPr>
            </w:pPr>
            <w:r>
              <w:rPr>
                <w:rFonts w:ascii="Times New Roman" w:cs="Times New Roman" w:eastAsia="Times New Roman" w:hAnsi="Times New Roman"/>
                <w:sz w:val="11"/>
                <w:szCs w:val="11"/>
                <w:color w:val="auto"/>
              </w:rPr>
              <w:t>16,455</w:t>
            </w:r>
          </w:p>
        </w:tc>
        <w:tc>
          <w:tcPr>
            <w:tcW w:w="22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jc w:val="right"/>
              <w:spacing w:after="0" w:line="110" w:lineRule="exact"/>
              <w:rPr>
                <w:sz w:val="20"/>
                <w:szCs w:val="20"/>
                <w:color w:val="auto"/>
              </w:rPr>
            </w:pPr>
            <w:r>
              <w:rPr>
                <w:rFonts w:ascii="Times New Roman" w:cs="Times New Roman" w:eastAsia="Times New Roman" w:hAnsi="Times New Roman"/>
                <w:sz w:val="11"/>
                <w:szCs w:val="11"/>
                <w:color w:val="auto"/>
              </w:rPr>
              <w:t>1,839</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3"/>
        </w:trPr>
        <w:tc>
          <w:tcPr>
            <w:tcW w:w="2320" w:type="dxa"/>
            <w:vAlign w:val="bottom"/>
          </w:tcPr>
          <w:p>
            <w:pPr>
              <w:ind w:left="20"/>
              <w:spacing w:after="0" w:line="103" w:lineRule="exact"/>
              <w:rPr>
                <w:sz w:val="20"/>
                <w:szCs w:val="20"/>
                <w:color w:val="auto"/>
              </w:rPr>
            </w:pPr>
            <w:r>
              <w:rPr>
                <w:rFonts w:ascii="Times New Roman" w:cs="Times New Roman" w:eastAsia="Times New Roman" w:hAnsi="Times New Roman"/>
                <w:sz w:val="9"/>
                <w:szCs w:val="9"/>
                <w:b w:val="1"/>
                <w:bCs w:val="1"/>
                <w:color w:val="auto"/>
              </w:rPr>
              <w:t xml:space="preserve">Common Equity— 0.0% </w:t>
            </w:r>
            <w:r>
              <w:rPr>
                <w:rFonts w:ascii="Times New Roman" w:cs="Times New Roman" w:eastAsia="Times New Roman" w:hAnsi="Times New Roman"/>
                <w:sz w:val="11"/>
                <w:szCs w:val="11"/>
                <w:b w:val="1"/>
                <w:bCs w:val="1"/>
                <w:color w:val="auto"/>
                <w:vertAlign w:val="superscript"/>
              </w:rPr>
              <w:t>(6)</w:t>
            </w: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980" w:type="dxa"/>
            <w:vAlign w:val="bottom"/>
          </w:tcPr>
          <w:p>
            <w:pPr>
              <w:spacing w:after="0"/>
              <w:rPr>
                <w:sz w:val="8"/>
                <w:szCs w:val="8"/>
                <w:color w:val="auto"/>
              </w:rPr>
            </w:pPr>
          </w:p>
        </w:tc>
        <w:tc>
          <w:tcPr>
            <w:tcW w:w="2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7"/>
        </w:trPr>
        <w:tc>
          <w:tcPr>
            <w:tcW w:w="23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 xml:space="preserve">DBI Intermediate HoldCo LLC, Series B </w:t>
            </w:r>
            <w:r>
              <w:rPr>
                <w:rFonts w:ascii="Times New Roman" w:cs="Times New Roman" w:eastAsia="Times New Roman" w:hAnsi="Times New Roman"/>
                <w:sz w:val="14"/>
                <w:szCs w:val="14"/>
                <w:color w:val="auto"/>
                <w:vertAlign w:val="superscript"/>
              </w:rPr>
              <w:t>(8)</w:t>
            </w:r>
          </w:p>
        </w:tc>
        <w:tc>
          <w:tcPr>
            <w:tcW w:w="120" w:type="dxa"/>
            <w:vAlign w:val="bottom"/>
          </w:tcPr>
          <w:p>
            <w:pPr>
              <w:spacing w:after="0"/>
              <w:rPr>
                <w:sz w:val="14"/>
                <w:szCs w:val="14"/>
                <w:color w:val="auto"/>
              </w:rPr>
            </w:pPr>
          </w:p>
        </w:tc>
        <w:tc>
          <w:tcPr>
            <w:tcW w:w="1080" w:type="dxa"/>
            <w:vAlign w:val="bottom"/>
            <w:gridSpan w:val="3"/>
          </w:tcPr>
          <w:p>
            <w:pPr>
              <w:ind w:left="600"/>
              <w:spacing w:after="0"/>
              <w:rPr>
                <w:sz w:val="20"/>
                <w:szCs w:val="20"/>
                <w:color w:val="auto"/>
              </w:rPr>
            </w:pPr>
            <w:r>
              <w:rPr>
                <w:rFonts w:ascii="Times New Roman" w:cs="Times New Roman" w:eastAsia="Times New Roman" w:hAnsi="Times New Roman"/>
                <w:sz w:val="11"/>
                <w:szCs w:val="11"/>
                <w:color w:val="auto"/>
              </w:rPr>
              <w:t>—</w:t>
            </w:r>
          </w:p>
        </w:tc>
        <w:tc>
          <w:tcPr>
            <w:tcW w:w="2460" w:type="dxa"/>
            <w:vAlign w:val="bottom"/>
          </w:tcPr>
          <w:p>
            <w:pPr>
              <w:jc w:val="center"/>
              <w:ind w:right="46"/>
              <w:spacing w:after="0"/>
              <w:rPr>
                <w:sz w:val="20"/>
                <w:szCs w:val="20"/>
                <w:color w:val="auto"/>
              </w:rPr>
            </w:pPr>
            <w:r>
              <w:rPr>
                <w:rFonts w:ascii="Times New Roman" w:cs="Times New Roman" w:eastAsia="Times New Roman" w:hAnsi="Times New Roman"/>
                <w:sz w:val="11"/>
                <w:szCs w:val="11"/>
                <w:color w:val="auto"/>
                <w:w w:val="95"/>
              </w:rPr>
              <w:t>Business Services</w:t>
            </w:r>
          </w:p>
        </w:tc>
        <w:tc>
          <w:tcPr>
            <w:tcW w:w="120" w:type="dxa"/>
            <w:vAlign w:val="bottom"/>
          </w:tcPr>
          <w:p>
            <w:pPr>
              <w:spacing w:after="0"/>
              <w:rPr>
                <w:sz w:val="14"/>
                <w:szCs w:val="14"/>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Pr>
          <w:p>
            <w:pPr>
              <w:ind w:left="660"/>
              <w:spacing w:after="0"/>
              <w:rPr>
                <w:sz w:val="20"/>
                <w:szCs w:val="20"/>
                <w:color w:val="auto"/>
              </w:rPr>
            </w:pPr>
            <w:r>
              <w:rPr>
                <w:rFonts w:ascii="Times New Roman" w:cs="Times New Roman" w:eastAsia="Times New Roman" w:hAnsi="Times New Roman"/>
                <w:sz w:val="11"/>
                <w:szCs w:val="11"/>
                <w:color w:val="auto"/>
                <w:w w:val="90"/>
              </w:rPr>
              <w:t>—</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1,489,508</w:t>
            </w:r>
          </w:p>
        </w:tc>
        <w:tc>
          <w:tcPr>
            <w:tcW w:w="2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331</w:t>
            </w:r>
          </w:p>
        </w:tc>
        <w:tc>
          <w:tcPr>
            <w:tcW w:w="2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320" w:type="dxa"/>
            <w:vAlign w:val="bottom"/>
          </w:tcPr>
          <w:p>
            <w:pPr>
              <w:ind w:left="20"/>
              <w:spacing w:after="0" w:line="122" w:lineRule="exact"/>
              <w:rPr>
                <w:sz w:val="20"/>
                <w:szCs w:val="20"/>
                <w:color w:val="auto"/>
              </w:rPr>
            </w:pPr>
            <w:r>
              <w:rPr>
                <w:rFonts w:ascii="Times New Roman" w:cs="Times New Roman" w:eastAsia="Times New Roman" w:hAnsi="Times New Roman"/>
                <w:sz w:val="11"/>
                <w:szCs w:val="11"/>
                <w:b w:val="1"/>
                <w:bCs w:val="1"/>
                <w:color w:val="auto"/>
              </w:rPr>
              <w:t>Total Common Equity</w:t>
            </w: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331</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29"/>
        </w:trPr>
        <w:tc>
          <w:tcPr>
            <w:tcW w:w="3520" w:type="dxa"/>
            <w:vAlign w:val="bottom"/>
            <w:gridSpan w:val="5"/>
            <w:shd w:val="clear" w:color="auto" w:fill="CCECFF"/>
          </w:tcPr>
          <w:p>
            <w:pPr>
              <w:ind w:left="20"/>
              <w:spacing w:after="0"/>
              <w:rPr>
                <w:sz w:val="20"/>
                <w:szCs w:val="20"/>
                <w:color w:val="auto"/>
              </w:rPr>
            </w:pPr>
            <w:r>
              <w:rPr>
                <w:rFonts w:ascii="Times New Roman" w:cs="Times New Roman" w:eastAsia="Times New Roman" w:hAnsi="Times New Roman"/>
                <w:sz w:val="11"/>
                <w:szCs w:val="11"/>
                <w:b w:val="1"/>
                <w:bCs w:val="1"/>
                <w:color w:val="auto"/>
              </w:rPr>
              <w:t>Total Investments in Non-Controlled, Affiliated Portfolio Companies</w:t>
            </w:r>
          </w:p>
        </w:tc>
        <w:tc>
          <w:tcPr>
            <w:tcW w:w="246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98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78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82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180" w:type="dxa"/>
            <w:vAlign w:val="bottom"/>
            <w:tcBorders>
              <w:top w:val="single" w:sz="8" w:color="auto"/>
            </w:tcBorders>
            <w:shd w:val="clear" w:color="auto" w:fill="CCECFF"/>
          </w:tcPr>
          <w:p>
            <w:pPr>
              <w:spacing w:after="0"/>
              <w:rPr>
                <w:sz w:val="11"/>
                <w:szCs w:val="11"/>
                <w:color w:val="auto"/>
              </w:rPr>
            </w:pPr>
          </w:p>
        </w:tc>
        <w:tc>
          <w:tcPr>
            <w:tcW w:w="60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22,380</w:t>
            </w:r>
          </w:p>
        </w:tc>
        <w:tc>
          <w:tcPr>
            <w:tcW w:w="220" w:type="dxa"/>
            <w:vAlign w:val="bottom"/>
            <w:shd w:val="clear" w:color="auto" w:fill="CCECFF"/>
          </w:tcPr>
          <w:p>
            <w:pPr>
              <w:spacing w:after="0"/>
              <w:rPr>
                <w:sz w:val="11"/>
                <w:szCs w:val="11"/>
                <w:color w:val="auto"/>
              </w:rPr>
            </w:pPr>
          </w:p>
        </w:tc>
        <w:tc>
          <w:tcPr>
            <w:tcW w:w="80" w:type="dxa"/>
            <w:vAlign w:val="bottom"/>
            <w:tcBorders>
              <w:top w:val="single" w:sz="8" w:color="auto"/>
            </w:tcBorders>
            <w:shd w:val="clear" w:color="auto" w:fill="CCECFF"/>
          </w:tcPr>
          <w:p>
            <w:pPr>
              <w:spacing w:after="0"/>
              <w:rPr>
                <w:sz w:val="11"/>
                <w:szCs w:val="11"/>
                <w:color w:val="auto"/>
              </w:rPr>
            </w:pPr>
          </w:p>
        </w:tc>
        <w:tc>
          <w:tcPr>
            <w:tcW w:w="72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7,433</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533"/>
        </w:trPr>
        <w:tc>
          <w:tcPr>
            <w:tcW w:w="23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4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-7131685</wp:posOffset>
            </wp:positionV>
            <wp:extent cx="7132320" cy="13716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-6908800</wp:posOffset>
            </wp:positionV>
            <wp:extent cx="7132320" cy="8572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-6737350</wp:posOffset>
            </wp:positionV>
            <wp:extent cx="7132320" cy="8572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-6480175</wp:posOffset>
            </wp:positionV>
            <wp:extent cx="7132320" cy="8572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-6308725</wp:posOffset>
            </wp:positionV>
            <wp:extent cx="7132320" cy="13716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-6085840</wp:posOffset>
            </wp:positionV>
            <wp:extent cx="7132320" cy="8572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-5828665</wp:posOffset>
            </wp:positionV>
            <wp:extent cx="7132320" cy="8572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-5571490</wp:posOffset>
            </wp:positionV>
            <wp:extent cx="7132320" cy="16319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-4988560</wp:posOffset>
            </wp:positionV>
            <wp:extent cx="7132320" cy="13716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-4765675</wp:posOffset>
            </wp:positionV>
            <wp:extent cx="7132320" cy="8572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-4594225</wp:posOffset>
            </wp:positionV>
            <wp:extent cx="7132320" cy="8572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-4422775</wp:posOffset>
            </wp:positionV>
            <wp:extent cx="7132320" cy="8572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-4251325</wp:posOffset>
            </wp:positionV>
            <wp:extent cx="7132320" cy="8572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-4002405</wp:posOffset>
            </wp:positionV>
            <wp:extent cx="7132320" cy="16256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-3754120</wp:posOffset>
            </wp:positionV>
            <wp:extent cx="7132320" cy="8572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-3582670</wp:posOffset>
            </wp:positionV>
            <wp:extent cx="7132320" cy="8572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-3411220</wp:posOffset>
            </wp:positionV>
            <wp:extent cx="7132320" cy="8572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-3239770</wp:posOffset>
            </wp:positionV>
            <wp:extent cx="7132320" cy="16319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-2990850</wp:posOffset>
            </wp:positionV>
            <wp:extent cx="7132320" cy="8572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-2647950</wp:posOffset>
            </wp:positionV>
            <wp:extent cx="7132320" cy="8572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-2476500</wp:posOffset>
            </wp:positionV>
            <wp:extent cx="7132320" cy="8572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-2228215</wp:posOffset>
            </wp:positionV>
            <wp:extent cx="7132320" cy="8572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-2056765</wp:posOffset>
            </wp:positionV>
            <wp:extent cx="7132320" cy="8572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-1790700</wp:posOffset>
            </wp:positionV>
            <wp:extent cx="7132320" cy="18859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132320" cy="1885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-1516380</wp:posOffset>
            </wp:positionV>
            <wp:extent cx="1465580" cy="17145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146558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-1165225</wp:posOffset>
            </wp:positionV>
            <wp:extent cx="7132320" cy="26543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132320" cy="26543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-805180</wp:posOffset>
            </wp:positionV>
            <wp:extent cx="7132320" cy="36893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132320" cy="36893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2" w:name="page23"/>
    <w:bookmarkEnd w:id="22"/>
    <w:p>
      <w:pPr>
        <w:jc w:val="center"/>
        <w:spacing w:after="0"/>
        <w:rPr>
          <w:sz w:val="20"/>
          <w:szCs w:val="20"/>
          <w:color w:val="auto"/>
        </w:rPr>
      </w:pPr>
      <w:r>
        <w:rPr>
          <w:rFonts w:ascii="Times New Roman" w:cs="Times New Roman" w:eastAsia="Times New Roman" w:hAnsi="Times New Roman"/>
          <w:sz w:val="14"/>
          <w:szCs w:val="14"/>
          <w:b w:val="1"/>
          <w:bCs w:val="1"/>
          <w:color w:val="auto"/>
        </w:rPr>
        <w:t>PENNANTPARK FLOATING RATE CAPITAL LTD. AND SUBSIDIARIES</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CONSOLIDATED SCHEDULE OF INVESTMENTS—(Continued)</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SEPTEMBER 30, 2021</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(in thousands, except share data)</w:t>
      </w:r>
    </w:p>
    <w:tbl>
      <w:tblPr>
        <w:tblLayout w:type="fixed"/>
        <w:tblInd w:w="0" w:type="dxa"/>
        <w:tblCellMar>
          <w:top w:w="0" w:type="dxa"/>
          <w:left w:w="0" w:type="dxa"/>
          <w:bottom w:w="0" w:type="dxa"/>
          <w:right w:w="0" w:type="dxa"/>
        </w:tblCellMar>
      </w:tblPr>
      <w:tr>
        <w:trPr>
          <w:trHeight w:val="102"/>
        </w:trPr>
        <w:tc>
          <w:tcPr>
            <w:tcW w:w="23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980" w:type="dxa"/>
            <w:vAlign w:val="bottom"/>
          </w:tcPr>
          <w:p>
            <w:pPr>
              <w:spacing w:after="0"/>
              <w:rPr>
                <w:sz w:val="8"/>
                <w:szCs w:val="8"/>
                <w:color w:val="auto"/>
              </w:rPr>
            </w:pPr>
          </w:p>
        </w:tc>
        <w:tc>
          <w:tcPr>
            <w:tcW w:w="260" w:type="dxa"/>
            <w:vAlign w:val="bottom"/>
          </w:tcPr>
          <w:p>
            <w:pPr>
              <w:spacing w:after="0"/>
              <w:rPr>
                <w:sz w:val="8"/>
                <w:szCs w:val="8"/>
                <w:color w:val="auto"/>
              </w:rPr>
            </w:pPr>
          </w:p>
        </w:tc>
        <w:tc>
          <w:tcPr>
            <w:tcW w:w="780" w:type="dxa"/>
            <w:vAlign w:val="bottom"/>
          </w:tcPr>
          <w:p>
            <w:pPr>
              <w:jc w:val="center"/>
              <w:spacing w:after="0" w:line="102" w:lineRule="exact"/>
              <w:rPr>
                <w:sz w:val="20"/>
                <w:szCs w:val="20"/>
                <w:color w:val="auto"/>
              </w:rPr>
            </w:pPr>
            <w:r>
              <w:rPr>
                <w:rFonts w:ascii="Times New Roman" w:cs="Times New Roman" w:eastAsia="Times New Roman" w:hAnsi="Times New Roman"/>
                <w:sz w:val="11"/>
                <w:szCs w:val="11"/>
                <w:b w:val="1"/>
                <w:bCs w:val="1"/>
                <w:color w:val="auto"/>
                <w:w w:val="99"/>
              </w:rPr>
              <w:t>Basis Point</w:t>
            </w:r>
          </w:p>
        </w:tc>
        <w:tc>
          <w:tcPr>
            <w:tcW w:w="220" w:type="dxa"/>
            <w:vAlign w:val="bottom"/>
          </w:tcPr>
          <w:p>
            <w:pPr>
              <w:spacing w:after="0"/>
              <w:rPr>
                <w:sz w:val="8"/>
                <w:szCs w:val="8"/>
                <w:color w:val="auto"/>
              </w:rPr>
            </w:pPr>
          </w:p>
        </w:tc>
        <w:tc>
          <w:tcPr>
            <w:tcW w:w="8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9"/>
        </w:trPr>
        <w:tc>
          <w:tcPr>
            <w:tcW w:w="23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2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80" w:type="dxa"/>
            <w:vAlign w:val="bottom"/>
          </w:tcPr>
          <w:p>
            <w:pPr>
              <w:jc w:val="center"/>
              <w:spacing w:after="0" w:line="120" w:lineRule="exact"/>
              <w:rPr>
                <w:sz w:val="20"/>
                <w:szCs w:val="20"/>
                <w:color w:val="auto"/>
              </w:rPr>
            </w:pPr>
            <w:r>
              <w:rPr>
                <w:rFonts w:ascii="Times New Roman" w:cs="Times New Roman" w:eastAsia="Times New Roman" w:hAnsi="Times New Roman"/>
                <w:sz w:val="11"/>
                <w:szCs w:val="11"/>
                <w:b w:val="1"/>
                <w:bCs w:val="1"/>
                <w:color w:val="auto"/>
                <w:w w:val="95"/>
              </w:rPr>
              <w:t>Spread</w:t>
            </w:r>
          </w:p>
        </w:tc>
        <w:tc>
          <w:tcPr>
            <w:tcW w:w="2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0"/>
        </w:trPr>
        <w:tc>
          <w:tcPr>
            <w:tcW w:w="23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40" w:type="dxa"/>
            <w:vAlign w:val="bottom"/>
            <w:gridSpan w:val="2"/>
          </w:tcPr>
          <w:p>
            <w:pPr>
              <w:jc w:val="center"/>
              <w:ind w:right="260"/>
              <w:spacing w:after="0" w:line="111" w:lineRule="exact"/>
              <w:rPr>
                <w:sz w:val="20"/>
                <w:szCs w:val="20"/>
                <w:color w:val="auto"/>
              </w:rPr>
            </w:pPr>
            <w:r>
              <w:rPr>
                <w:rFonts w:ascii="Times New Roman" w:cs="Times New Roman" w:eastAsia="Times New Roman" w:hAnsi="Times New Roman"/>
                <w:sz w:val="11"/>
                <w:szCs w:val="11"/>
                <w:b w:val="1"/>
                <w:bCs w:val="1"/>
                <w:color w:val="auto"/>
                <w:w w:val="98"/>
              </w:rPr>
              <w:t>Current</w:t>
            </w:r>
          </w:p>
        </w:tc>
        <w:tc>
          <w:tcPr>
            <w:tcW w:w="780" w:type="dxa"/>
            <w:vAlign w:val="bottom"/>
          </w:tcPr>
          <w:p>
            <w:pPr>
              <w:jc w:val="center"/>
              <w:spacing w:after="0" w:line="111" w:lineRule="exact"/>
              <w:rPr>
                <w:sz w:val="20"/>
                <w:szCs w:val="20"/>
                <w:color w:val="auto"/>
              </w:rPr>
            </w:pPr>
            <w:r>
              <w:rPr>
                <w:rFonts w:ascii="Times New Roman" w:cs="Times New Roman" w:eastAsia="Times New Roman" w:hAnsi="Times New Roman"/>
                <w:sz w:val="11"/>
                <w:szCs w:val="11"/>
                <w:b w:val="1"/>
                <w:bCs w:val="1"/>
                <w:color w:val="auto"/>
              </w:rPr>
              <w:t>Above</w:t>
            </w:r>
          </w:p>
        </w:tc>
        <w:tc>
          <w:tcPr>
            <w:tcW w:w="220" w:type="dxa"/>
            <w:vAlign w:val="bottom"/>
          </w:tcPr>
          <w:p>
            <w:pPr>
              <w:spacing w:after="0"/>
              <w:rPr>
                <w:sz w:val="9"/>
                <w:szCs w:val="9"/>
                <w:color w:val="auto"/>
              </w:rPr>
            </w:pPr>
          </w:p>
        </w:tc>
        <w:tc>
          <w:tcPr>
            <w:tcW w:w="800" w:type="dxa"/>
            <w:vAlign w:val="bottom"/>
          </w:tcPr>
          <w:p>
            <w:pPr>
              <w:jc w:val="center"/>
              <w:spacing w:after="0" w:line="111" w:lineRule="exact"/>
              <w:rPr>
                <w:sz w:val="20"/>
                <w:szCs w:val="20"/>
                <w:color w:val="auto"/>
              </w:rPr>
            </w:pPr>
            <w:r>
              <w:rPr>
                <w:rFonts w:ascii="Times New Roman" w:cs="Times New Roman" w:eastAsia="Times New Roman" w:hAnsi="Times New Roman"/>
                <w:sz w:val="11"/>
                <w:szCs w:val="11"/>
                <w:b w:val="1"/>
                <w:bCs w:val="1"/>
                <w:color w:val="auto"/>
                <w:w w:val="95"/>
              </w:rPr>
              <w:t>Par /</w:t>
            </w: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vMerge w:val="restart"/>
          </w:tcPr>
          <w:p>
            <w:pPr>
              <w:jc w:val="right"/>
              <w:ind w:right="46"/>
              <w:spacing w:after="0"/>
              <w:rPr>
                <w:sz w:val="20"/>
                <w:szCs w:val="20"/>
                <w:color w:val="auto"/>
              </w:rPr>
            </w:pPr>
            <w:r>
              <w:rPr>
                <w:rFonts w:ascii="Times New Roman" w:cs="Times New Roman" w:eastAsia="Times New Roman" w:hAnsi="Times New Roman"/>
                <w:sz w:val="11"/>
                <w:szCs w:val="11"/>
                <w:b w:val="1"/>
                <w:bCs w:val="1"/>
                <w:color w:val="auto"/>
                <w:w w:val="93"/>
              </w:rPr>
              <w:t xml:space="preserve">Fair Value </w:t>
            </w:r>
            <w:r>
              <w:rPr>
                <w:rFonts w:ascii="Times New Roman" w:cs="Times New Roman" w:eastAsia="Times New Roman" w:hAnsi="Times New Roman"/>
                <w:sz w:val="14"/>
                <w:szCs w:val="14"/>
                <w:b w:val="1"/>
                <w:bCs w:val="1"/>
                <w:color w:val="auto"/>
                <w:w w:val="93"/>
                <w:vertAlign w:val="superscript"/>
              </w:rPr>
              <w:t>(2)</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6"/>
        </w:trPr>
        <w:tc>
          <w:tcPr>
            <w:tcW w:w="232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Issuer Name</w:t>
            </w:r>
          </w:p>
        </w:tc>
        <w:tc>
          <w:tcPr>
            <w:tcW w:w="1100" w:type="dxa"/>
            <w:vAlign w:val="bottom"/>
          </w:tcPr>
          <w:p>
            <w:pPr>
              <w:jc w:val="center"/>
              <w:ind w:right="107"/>
              <w:spacing w:after="0"/>
              <w:rPr>
                <w:sz w:val="20"/>
                <w:szCs w:val="20"/>
                <w:color w:val="auto"/>
              </w:rPr>
            </w:pPr>
            <w:r>
              <w:rPr>
                <w:rFonts w:ascii="Times New Roman" w:cs="Times New Roman" w:eastAsia="Times New Roman" w:hAnsi="Times New Roman"/>
                <w:sz w:val="11"/>
                <w:szCs w:val="11"/>
                <w:b w:val="1"/>
                <w:bCs w:val="1"/>
                <w:color w:val="auto"/>
                <w:w w:val="98"/>
              </w:rPr>
              <w:t>Maturity</w:t>
            </w:r>
          </w:p>
        </w:tc>
        <w:tc>
          <w:tcPr>
            <w:tcW w:w="25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Industry</w:t>
            </w:r>
          </w:p>
        </w:tc>
        <w:tc>
          <w:tcPr>
            <w:tcW w:w="120" w:type="dxa"/>
            <w:vAlign w:val="bottom"/>
          </w:tcPr>
          <w:p>
            <w:pPr>
              <w:spacing w:after="0"/>
              <w:rPr>
                <w:sz w:val="13"/>
                <w:szCs w:val="13"/>
                <w:color w:val="auto"/>
              </w:rPr>
            </w:pPr>
          </w:p>
        </w:tc>
        <w:tc>
          <w:tcPr>
            <w:tcW w:w="124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rPr>
              <w:t>Coupon</w:t>
            </w:r>
          </w:p>
        </w:tc>
        <w:tc>
          <w:tcPr>
            <w:tcW w:w="780" w:type="dxa"/>
            <w:vAlign w:val="bottom"/>
          </w:tcPr>
          <w:p>
            <w:pPr>
              <w:jc w:val="center"/>
              <w:spacing w:after="0" w:line="143" w:lineRule="exact"/>
              <w:rPr>
                <w:sz w:val="20"/>
                <w:szCs w:val="20"/>
                <w:color w:val="auto"/>
              </w:rPr>
            </w:pPr>
            <w:r>
              <w:rPr>
                <w:rFonts w:ascii="Times New Roman" w:cs="Times New Roman" w:eastAsia="Times New Roman" w:hAnsi="Times New Roman"/>
                <w:sz w:val="11"/>
                <w:szCs w:val="11"/>
                <w:b w:val="1"/>
                <w:bCs w:val="1"/>
                <w:color w:val="auto"/>
                <w:w w:val="93"/>
              </w:rPr>
              <w:t xml:space="preserve">Index </w:t>
            </w:r>
            <w:r>
              <w:rPr>
                <w:rFonts w:ascii="Times New Roman" w:cs="Times New Roman" w:eastAsia="Times New Roman" w:hAnsi="Times New Roman"/>
                <w:sz w:val="14"/>
                <w:szCs w:val="14"/>
                <w:b w:val="1"/>
                <w:bCs w:val="1"/>
                <w:color w:val="auto"/>
                <w:w w:val="93"/>
                <w:vertAlign w:val="superscript"/>
              </w:rPr>
              <w:t>(1)</w:t>
            </w:r>
          </w:p>
        </w:tc>
        <w:tc>
          <w:tcPr>
            <w:tcW w:w="220" w:type="dxa"/>
            <w:vAlign w:val="bottom"/>
          </w:tcPr>
          <w:p>
            <w:pPr>
              <w:spacing w:after="0"/>
              <w:rPr>
                <w:sz w:val="13"/>
                <w:szCs w:val="13"/>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4"/>
              </w:rPr>
              <w:t>Shares</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jc w:val="right"/>
              <w:ind w:right="226"/>
              <w:spacing w:after="0"/>
              <w:rPr>
                <w:sz w:val="20"/>
                <w:szCs w:val="20"/>
                <w:color w:val="auto"/>
              </w:rPr>
            </w:pPr>
            <w:r>
              <w:rPr>
                <w:rFonts w:ascii="Times New Roman" w:cs="Times New Roman" w:eastAsia="Times New Roman" w:hAnsi="Times New Roman"/>
                <w:sz w:val="11"/>
                <w:szCs w:val="11"/>
                <w:b w:val="1"/>
                <w:bCs w:val="1"/>
                <w:color w:val="auto"/>
              </w:rPr>
              <w:t>Cost</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9"/>
        </w:trPr>
        <w:tc>
          <w:tcPr>
            <w:tcW w:w="2320" w:type="dxa"/>
            <w:vAlign w:val="bottom"/>
            <w:tcBorders>
              <w:top w:val="single" w:sz="8" w:color="auto"/>
            </w:tcBorders>
          </w:tcPr>
          <w:p>
            <w:pPr>
              <w:ind w:left="20"/>
              <w:spacing w:after="0" w:line="120" w:lineRule="exact"/>
              <w:rPr>
                <w:sz w:val="20"/>
                <w:szCs w:val="20"/>
                <w:color w:val="auto"/>
              </w:rPr>
            </w:pPr>
            <w:r>
              <w:rPr>
                <w:rFonts w:ascii="Times New Roman" w:cs="Times New Roman" w:eastAsia="Times New Roman" w:hAnsi="Times New Roman"/>
                <w:sz w:val="11"/>
                <w:szCs w:val="11"/>
                <w:b w:val="1"/>
                <w:bCs w:val="1"/>
                <w:color w:val="auto"/>
              </w:rPr>
              <w:t>Investments in Controlled, Affiliated Portfolio</w:t>
            </w:r>
          </w:p>
        </w:tc>
        <w:tc>
          <w:tcPr>
            <w:tcW w:w="1100" w:type="dxa"/>
            <w:vAlign w:val="bottom"/>
          </w:tcPr>
          <w:p>
            <w:pPr>
              <w:spacing w:after="0" w:line="119" w:lineRule="exact"/>
              <w:rPr>
                <w:sz w:val="20"/>
                <w:szCs w:val="20"/>
                <w:color w:val="auto"/>
              </w:rPr>
            </w:pPr>
            <w:r>
              <w:rPr>
                <w:rFonts w:ascii="Times New Roman" w:cs="Times New Roman" w:eastAsia="Times New Roman" w:hAnsi="Times New Roman"/>
                <w:sz w:val="10"/>
                <w:szCs w:val="10"/>
                <w:b w:val="1"/>
                <w:bCs w:val="1"/>
                <w:color w:val="auto"/>
                <w:w w:val="96"/>
              </w:rPr>
              <w:t xml:space="preserve">Companies—44.3% </w:t>
            </w:r>
            <w:r>
              <w:rPr>
                <w:rFonts w:ascii="Times New Roman" w:cs="Times New Roman" w:eastAsia="Times New Roman" w:hAnsi="Times New Roman"/>
                <w:sz w:val="13"/>
                <w:szCs w:val="13"/>
                <w:b w:val="1"/>
                <w:bCs w:val="1"/>
                <w:color w:val="auto"/>
                <w:w w:val="96"/>
                <w:vertAlign w:val="superscript"/>
              </w:rPr>
              <w:t>(3), (4)</w:t>
            </w:r>
          </w:p>
        </w:tc>
        <w:tc>
          <w:tcPr>
            <w:tcW w:w="254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tcBorders>
              <w:top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7"/>
        </w:trPr>
        <w:tc>
          <w:tcPr>
            <w:tcW w:w="232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First Lien Secured Debt—34.6%</w:t>
            </w:r>
          </w:p>
        </w:tc>
        <w:tc>
          <w:tcPr>
            <w:tcW w:w="110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320" w:type="dxa"/>
            <w:vAlign w:val="bottom"/>
          </w:tcPr>
          <w:p>
            <w:pPr>
              <w:ind w:left="20"/>
              <w:spacing w:after="0" w:line="109" w:lineRule="exact"/>
              <w:rPr>
                <w:sz w:val="20"/>
                <w:szCs w:val="20"/>
                <w:color w:val="auto"/>
              </w:rPr>
            </w:pPr>
            <w:r>
              <w:rPr>
                <w:rFonts w:ascii="Times New Roman" w:cs="Times New Roman" w:eastAsia="Times New Roman" w:hAnsi="Times New Roman"/>
                <w:sz w:val="11"/>
                <w:szCs w:val="11"/>
                <w:color w:val="auto"/>
                <w:w w:val="98"/>
              </w:rPr>
              <w:t>Marketplace Events, LLC - Super Priority First Lien</w:t>
            </w:r>
          </w:p>
        </w:tc>
        <w:tc>
          <w:tcPr>
            <w:tcW w:w="1100" w:type="dxa"/>
            <w:vAlign w:val="bottom"/>
          </w:tcPr>
          <w:p>
            <w:pPr>
              <w:jc w:val="right"/>
              <w:ind w:right="327"/>
              <w:spacing w:after="0" w:line="109" w:lineRule="exact"/>
              <w:rPr>
                <w:sz w:val="20"/>
                <w:szCs w:val="20"/>
                <w:color w:val="auto"/>
              </w:rPr>
            </w:pPr>
            <w:r>
              <w:rPr>
                <w:rFonts w:ascii="Times New Roman" w:cs="Times New Roman" w:eastAsia="Times New Roman" w:hAnsi="Times New Roman"/>
                <w:sz w:val="11"/>
                <w:szCs w:val="11"/>
                <w:color w:val="auto"/>
              </w:rPr>
              <w:t>09/30/2025</w:t>
            </w:r>
          </w:p>
        </w:tc>
        <w:tc>
          <w:tcPr>
            <w:tcW w:w="2540" w:type="dxa"/>
            <w:vAlign w:val="bottom"/>
          </w:tcPr>
          <w:p>
            <w:pPr>
              <w:jc w:val="center"/>
              <w:spacing w:after="0" w:line="109" w:lineRule="exact"/>
              <w:rPr>
                <w:sz w:val="20"/>
                <w:szCs w:val="20"/>
                <w:color w:val="auto"/>
              </w:rPr>
            </w:pPr>
            <w:r>
              <w:rPr>
                <w:rFonts w:ascii="Times New Roman" w:cs="Times New Roman" w:eastAsia="Times New Roman" w:hAnsi="Times New Roman"/>
                <w:sz w:val="11"/>
                <w:szCs w:val="11"/>
                <w:color w:val="auto"/>
                <w:w w:val="97"/>
              </w:rPr>
              <w:t>Media: Diversified and Production</w:t>
            </w:r>
          </w:p>
        </w:tc>
        <w:tc>
          <w:tcPr>
            <w:tcW w:w="1360" w:type="dxa"/>
            <w:vAlign w:val="bottom"/>
            <w:gridSpan w:val="3"/>
          </w:tcPr>
          <w:p>
            <w:pPr>
              <w:jc w:val="right"/>
              <w:ind w:right="140"/>
              <w:spacing w:after="0" w:line="109" w:lineRule="exact"/>
              <w:rPr>
                <w:sz w:val="20"/>
                <w:szCs w:val="20"/>
                <w:color w:val="auto"/>
              </w:rPr>
            </w:pPr>
            <w:r>
              <w:rPr>
                <w:rFonts w:ascii="Times New Roman" w:cs="Times New Roman" w:eastAsia="Times New Roman" w:hAnsi="Times New Roman"/>
                <w:sz w:val="11"/>
                <w:szCs w:val="11"/>
                <w:color w:val="auto"/>
              </w:rPr>
              <w:t>6.25 %</w:t>
            </w:r>
          </w:p>
        </w:tc>
        <w:tc>
          <w:tcPr>
            <w:tcW w:w="780" w:type="dxa"/>
            <w:vAlign w:val="bottom"/>
          </w:tcPr>
          <w:p>
            <w:pPr>
              <w:ind w:left="300"/>
              <w:spacing w:after="0" w:line="109" w:lineRule="exact"/>
              <w:rPr>
                <w:sz w:val="20"/>
                <w:szCs w:val="20"/>
                <w:color w:val="auto"/>
              </w:rPr>
            </w:pPr>
            <w:r>
              <w:rPr>
                <w:rFonts w:ascii="Times New Roman" w:cs="Times New Roman" w:eastAsia="Times New Roman" w:hAnsi="Times New Roman"/>
                <w:sz w:val="11"/>
                <w:szCs w:val="11"/>
                <w:color w:val="auto"/>
                <w:w w:val="96"/>
              </w:rPr>
              <w:t>3M L+525</w:t>
            </w:r>
          </w:p>
        </w:tc>
        <w:tc>
          <w:tcPr>
            <w:tcW w:w="1020" w:type="dxa"/>
            <w:vAlign w:val="bottom"/>
            <w:gridSpan w:val="2"/>
          </w:tcPr>
          <w:p>
            <w:pPr>
              <w:jc w:val="right"/>
              <w:spacing w:after="0" w:line="109" w:lineRule="exact"/>
              <w:rPr>
                <w:sz w:val="20"/>
                <w:szCs w:val="20"/>
                <w:color w:val="auto"/>
              </w:rPr>
            </w:pPr>
            <w:r>
              <w:rPr>
                <w:rFonts w:ascii="Times New Roman" w:cs="Times New Roman" w:eastAsia="Times New Roman" w:hAnsi="Times New Roman"/>
                <w:sz w:val="11"/>
                <w:szCs w:val="11"/>
                <w:color w:val="auto"/>
              </w:rPr>
              <w:t>3,417</w:t>
            </w:r>
          </w:p>
        </w:tc>
        <w:tc>
          <w:tcPr>
            <w:tcW w:w="400" w:type="dxa"/>
            <w:vAlign w:val="bottom"/>
            <w:gridSpan w:val="2"/>
          </w:tcPr>
          <w:p>
            <w:pPr>
              <w:jc w:val="right"/>
              <w:ind w:right="120"/>
              <w:spacing w:after="0" w:line="109" w:lineRule="exact"/>
              <w:rPr>
                <w:sz w:val="20"/>
                <w:szCs w:val="20"/>
                <w:color w:val="auto"/>
              </w:rPr>
            </w:pPr>
            <w:r>
              <w:rPr>
                <w:rFonts w:ascii="Times New Roman" w:cs="Times New Roman" w:eastAsia="Times New Roman" w:hAnsi="Times New Roman"/>
                <w:sz w:val="11"/>
                <w:szCs w:val="11"/>
                <w:color w:val="auto"/>
              </w:rPr>
              <w:t>$</w:t>
            </w:r>
          </w:p>
        </w:tc>
        <w:tc>
          <w:tcPr>
            <w:tcW w:w="600" w:type="dxa"/>
            <w:vAlign w:val="bottom"/>
          </w:tcPr>
          <w:p>
            <w:pPr>
              <w:jc w:val="right"/>
              <w:spacing w:after="0" w:line="109" w:lineRule="exact"/>
              <w:rPr>
                <w:sz w:val="20"/>
                <w:szCs w:val="20"/>
                <w:color w:val="auto"/>
              </w:rPr>
            </w:pPr>
            <w:r>
              <w:rPr>
                <w:rFonts w:ascii="Times New Roman" w:cs="Times New Roman" w:eastAsia="Times New Roman" w:hAnsi="Times New Roman"/>
                <w:sz w:val="11"/>
                <w:szCs w:val="11"/>
                <w:color w:val="auto"/>
              </w:rPr>
              <w:t>3,417</w:t>
            </w:r>
          </w:p>
        </w:tc>
        <w:tc>
          <w:tcPr>
            <w:tcW w:w="300" w:type="dxa"/>
            <w:vAlign w:val="bottom"/>
            <w:gridSpan w:val="2"/>
          </w:tcPr>
          <w:p>
            <w:pPr>
              <w:jc w:val="right"/>
              <w:ind w:right="20"/>
              <w:spacing w:after="0" w:line="109" w:lineRule="exact"/>
              <w:rPr>
                <w:sz w:val="20"/>
                <w:szCs w:val="20"/>
                <w:color w:val="auto"/>
              </w:rPr>
            </w:pPr>
            <w:r>
              <w:rPr>
                <w:rFonts w:ascii="Times New Roman" w:cs="Times New Roman" w:eastAsia="Times New Roman" w:hAnsi="Times New Roman"/>
                <w:sz w:val="11"/>
                <w:szCs w:val="11"/>
                <w:color w:val="auto"/>
              </w:rPr>
              <w:t>$</w:t>
            </w:r>
          </w:p>
        </w:tc>
        <w:tc>
          <w:tcPr>
            <w:tcW w:w="720" w:type="dxa"/>
            <w:vAlign w:val="bottom"/>
          </w:tcPr>
          <w:p>
            <w:pPr>
              <w:jc w:val="right"/>
              <w:spacing w:after="0" w:line="109" w:lineRule="exact"/>
              <w:rPr>
                <w:sz w:val="20"/>
                <w:szCs w:val="20"/>
                <w:color w:val="auto"/>
              </w:rPr>
            </w:pPr>
            <w:r>
              <w:rPr>
                <w:rFonts w:ascii="Times New Roman" w:cs="Times New Roman" w:eastAsia="Times New Roman" w:hAnsi="Times New Roman"/>
                <w:sz w:val="11"/>
                <w:szCs w:val="11"/>
                <w:color w:val="auto"/>
              </w:rPr>
              <w:t>3,417</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0"/>
        </w:trPr>
        <w:tc>
          <w:tcPr>
            <w:tcW w:w="23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 xml:space="preserve">Term Loan </w:t>
            </w:r>
            <w:r>
              <w:rPr>
                <w:rFonts w:ascii="Times New Roman" w:cs="Times New Roman" w:eastAsia="Times New Roman" w:hAnsi="Times New Roman"/>
                <w:sz w:val="14"/>
                <w:szCs w:val="14"/>
                <w:color w:val="auto"/>
                <w:vertAlign w:val="superscript"/>
              </w:rPr>
              <w:t>(7)</w:t>
            </w:r>
          </w:p>
        </w:tc>
        <w:tc>
          <w:tcPr>
            <w:tcW w:w="1100" w:type="dxa"/>
            <w:vAlign w:val="bottom"/>
          </w:tcPr>
          <w:p>
            <w:pPr>
              <w:spacing w:after="0"/>
              <w:rPr>
                <w:sz w:val="13"/>
                <w:szCs w:val="13"/>
                <w:color w:val="auto"/>
              </w:rPr>
            </w:pPr>
          </w:p>
        </w:tc>
        <w:tc>
          <w:tcPr>
            <w:tcW w:w="2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-340995</wp:posOffset>
            </wp:positionV>
            <wp:extent cx="7132320" cy="9398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-161290</wp:posOffset>
            </wp:positionV>
            <wp:extent cx="7132320" cy="24892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132320" cy="248920"/>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p>
      <w:pPr>
        <w:spacing w:after="0" w:line="9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0"/>
          <w:szCs w:val="10"/>
          <w:color w:val="auto"/>
        </w:rPr>
        <w:t>Marketplace Events, LLC - Super Priority First Lien</w:t>
      </w:r>
    </w:p>
    <w:p>
      <w:pPr>
        <w:ind w:left="20"/>
        <w:spacing w:after="0"/>
        <w:rPr>
          <w:sz w:val="20"/>
          <w:szCs w:val="20"/>
          <w:color w:val="auto"/>
        </w:rPr>
      </w:pPr>
      <w:r>
        <w:rPr>
          <w:rFonts w:ascii="Times New Roman" w:cs="Times New Roman" w:eastAsia="Times New Roman" w:hAnsi="Times New Roman"/>
          <w:sz w:val="7"/>
          <w:szCs w:val="7"/>
          <w:color w:val="auto"/>
        </w:rPr>
        <w:t>(7), (9)</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1"/>
          <w:szCs w:val="11"/>
          <w:color w:val="auto"/>
        </w:rPr>
        <w:t>Marketplace Events, LLC</w:t>
      </w:r>
    </w:p>
    <w:p>
      <w:pPr>
        <w:ind w:left="20"/>
        <w:spacing w:after="0"/>
        <w:rPr>
          <w:sz w:val="20"/>
          <w:szCs w:val="20"/>
          <w:color w:val="auto"/>
        </w:rPr>
      </w:pPr>
      <w:r>
        <w:rPr>
          <w:rFonts w:ascii="Times New Roman" w:cs="Times New Roman" w:eastAsia="Times New Roman" w:hAnsi="Times New Roman"/>
          <w:sz w:val="9"/>
          <w:szCs w:val="9"/>
          <w:color w:val="auto"/>
        </w:rPr>
        <w:t xml:space="preserve">PennantPark Senior Secured Loan Fund I LLC </w:t>
      </w:r>
      <w:r>
        <w:rPr>
          <w:rFonts w:ascii="Times New Roman" w:cs="Times New Roman" w:eastAsia="Times New Roman" w:hAnsi="Times New Roman"/>
          <w:sz w:val="12"/>
          <w:szCs w:val="12"/>
          <w:color w:val="auto"/>
          <w:vertAlign w:val="superscript"/>
        </w:rPr>
        <w:t>(7), (9),</w:t>
      </w:r>
      <w:r>
        <w:rPr>
          <w:rFonts w:ascii="Times New Roman" w:cs="Times New Roman" w:eastAsia="Times New Roman" w:hAnsi="Times New Roman"/>
          <w:sz w:val="9"/>
          <w:szCs w:val="9"/>
          <w:color w:val="auto"/>
        </w:rPr>
        <w:t xml:space="preserve"> </w:t>
      </w:r>
      <w:r>
        <w:rPr>
          <w:rFonts w:ascii="Times New Roman" w:cs="Times New Roman" w:eastAsia="Times New Roman" w:hAnsi="Times New Roman"/>
          <w:sz w:val="6"/>
          <w:szCs w:val="6"/>
          <w:color w:val="auto"/>
        </w:rPr>
        <w:t>(10)</w:t>
      </w:r>
    </w:p>
    <w:p>
      <w:pPr>
        <w:spacing w:after="0" w:line="86" w:lineRule="exact"/>
        <w:rPr>
          <w:sz w:val="20"/>
          <w:szCs w:val="20"/>
          <w:color w:val="auto"/>
        </w:rPr>
      </w:pPr>
    </w:p>
    <w:p>
      <w:pPr>
        <w:ind w:left="20" w:right="920"/>
        <w:spacing w:after="0" w:line="303" w:lineRule="auto"/>
        <w:rPr>
          <w:sz w:val="20"/>
          <w:szCs w:val="20"/>
          <w:color w:val="auto"/>
        </w:rPr>
      </w:pPr>
      <w:r>
        <w:rPr>
          <w:rFonts w:ascii="Times New Roman" w:cs="Times New Roman" w:eastAsia="Times New Roman" w:hAnsi="Times New Roman"/>
          <w:sz w:val="10"/>
          <w:szCs w:val="10"/>
          <w:b w:val="1"/>
          <w:bCs w:val="1"/>
          <w:color w:val="auto"/>
        </w:rPr>
        <w:t>Total First Lien Secured Debt Equity Interests—9.7%</w:t>
      </w:r>
    </w:p>
    <w:p>
      <w:pPr>
        <w:ind w:left="20"/>
        <w:spacing w:after="0" w:line="201" w:lineRule="auto"/>
        <w:rPr>
          <w:sz w:val="20"/>
          <w:szCs w:val="20"/>
          <w:color w:val="auto"/>
        </w:rPr>
      </w:pPr>
      <w:r>
        <w:rPr>
          <w:rFonts w:ascii="Times New Roman" w:cs="Times New Roman" w:eastAsia="Times New Roman" w:hAnsi="Times New Roman"/>
          <w:sz w:val="11"/>
          <w:szCs w:val="11"/>
          <w:color w:val="auto"/>
        </w:rPr>
        <w:t>New MPE Holdings, LLC (Marketplace Events,</w:t>
      </w:r>
    </w:p>
    <w:p>
      <w:pPr>
        <w:ind w:left="20"/>
        <w:spacing w:after="0" w:line="188" w:lineRule="auto"/>
        <w:rPr>
          <w:sz w:val="20"/>
          <w:szCs w:val="20"/>
          <w:color w:val="auto"/>
        </w:rPr>
      </w:pPr>
      <w:r>
        <w:rPr>
          <w:rFonts w:ascii="Times New Roman" w:cs="Times New Roman" w:eastAsia="Times New Roman" w:hAnsi="Times New Roman"/>
          <w:sz w:val="15"/>
          <w:szCs w:val="15"/>
          <w:color w:val="auto"/>
          <w:vertAlign w:val="subscript"/>
        </w:rPr>
        <w:t>LLC)</w:t>
      </w:r>
      <w:r>
        <w:rPr>
          <w:rFonts w:ascii="Times New Roman" w:cs="Times New Roman" w:eastAsia="Times New Roman" w:hAnsi="Times New Roman"/>
          <w:sz w:val="6"/>
          <w:szCs w:val="6"/>
          <w:color w:val="auto"/>
        </w:rPr>
        <w:t xml:space="preserve"> (7),(8)</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7"/>
        </w:trPr>
        <w:tc>
          <w:tcPr>
            <w:tcW w:w="1220" w:type="dxa"/>
            <w:vAlign w:val="bottom"/>
            <w:shd w:val="clear" w:color="auto" w:fill="CCECFF"/>
          </w:tcPr>
          <w:p>
            <w:pPr>
              <w:spacing w:after="0"/>
              <w:rPr>
                <w:sz w:val="11"/>
                <w:szCs w:val="11"/>
                <w:color w:val="auto"/>
              </w:rPr>
            </w:pPr>
          </w:p>
        </w:tc>
        <w:tc>
          <w:tcPr>
            <w:tcW w:w="2440" w:type="dxa"/>
            <w:vAlign w:val="bottom"/>
            <w:shd w:val="clear" w:color="auto" w:fill="CCECFF"/>
          </w:tcPr>
          <w:p>
            <w:pPr>
              <w:spacing w:after="0"/>
              <w:rPr>
                <w:sz w:val="11"/>
                <w:szCs w:val="11"/>
                <w:color w:val="auto"/>
              </w:rPr>
            </w:pPr>
          </w:p>
        </w:tc>
        <w:tc>
          <w:tcPr>
            <w:tcW w:w="1460" w:type="dxa"/>
            <w:vAlign w:val="bottom"/>
            <w:shd w:val="clear" w:color="auto" w:fill="CCECFF"/>
          </w:tcPr>
          <w:p>
            <w:pPr>
              <w:jc w:val="right"/>
              <w:ind w:right="326"/>
              <w:spacing w:after="0"/>
              <w:rPr>
                <w:sz w:val="20"/>
                <w:szCs w:val="20"/>
                <w:color w:val="auto"/>
              </w:rPr>
            </w:pPr>
            <w:r>
              <w:rPr>
                <w:rFonts w:ascii="Times New Roman" w:cs="Times New Roman" w:eastAsia="Times New Roman" w:hAnsi="Times New Roman"/>
                <w:sz w:val="11"/>
                <w:szCs w:val="11"/>
                <w:color w:val="auto"/>
              </w:rPr>
              <w:t>(PIK 6.25%)</w:t>
            </w:r>
          </w:p>
        </w:tc>
        <w:tc>
          <w:tcPr>
            <w:tcW w:w="980" w:type="dxa"/>
            <w:vAlign w:val="bottom"/>
            <w:shd w:val="clear" w:color="auto" w:fill="CCECFF"/>
          </w:tcPr>
          <w:p>
            <w:pPr>
              <w:spacing w:after="0"/>
              <w:rPr>
                <w:sz w:val="11"/>
                <w:szCs w:val="11"/>
                <w:color w:val="auto"/>
              </w:rPr>
            </w:pPr>
          </w:p>
        </w:tc>
        <w:tc>
          <w:tcPr>
            <w:tcW w:w="920" w:type="dxa"/>
            <w:vAlign w:val="bottom"/>
            <w:shd w:val="clear" w:color="auto" w:fill="CCECFF"/>
          </w:tcPr>
          <w:p>
            <w:pPr>
              <w:spacing w:after="0"/>
              <w:rPr>
                <w:sz w:val="11"/>
                <w:szCs w:val="11"/>
                <w:color w:val="auto"/>
              </w:rPr>
            </w:pPr>
          </w:p>
        </w:tc>
        <w:tc>
          <w:tcPr>
            <w:tcW w:w="78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80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1220" w:type="dxa"/>
            <w:vAlign w:val="bottom"/>
          </w:tcPr>
          <w:p>
            <w:pPr>
              <w:jc w:val="right"/>
              <w:ind w:right="446"/>
              <w:spacing w:after="0"/>
              <w:rPr>
                <w:sz w:val="20"/>
                <w:szCs w:val="20"/>
                <w:color w:val="auto"/>
              </w:rPr>
            </w:pPr>
            <w:r>
              <w:rPr>
                <w:rFonts w:ascii="Times New Roman" w:cs="Times New Roman" w:eastAsia="Times New Roman" w:hAnsi="Times New Roman"/>
                <w:sz w:val="11"/>
                <w:szCs w:val="11"/>
                <w:color w:val="auto"/>
              </w:rPr>
              <w:t>09/30/2025</w:t>
            </w:r>
          </w:p>
        </w:tc>
        <w:tc>
          <w:tcPr>
            <w:tcW w:w="2440" w:type="dxa"/>
            <w:vAlign w:val="bottom"/>
          </w:tcPr>
          <w:p>
            <w:pPr>
              <w:jc w:val="center"/>
              <w:ind w:right="86"/>
              <w:spacing w:after="0"/>
              <w:rPr>
                <w:sz w:val="20"/>
                <w:szCs w:val="20"/>
                <w:color w:val="auto"/>
              </w:rPr>
            </w:pPr>
            <w:r>
              <w:rPr>
                <w:rFonts w:ascii="Times New Roman" w:cs="Times New Roman" w:eastAsia="Times New Roman" w:hAnsi="Times New Roman"/>
                <w:sz w:val="11"/>
                <w:szCs w:val="11"/>
                <w:color w:val="auto"/>
                <w:w w:val="97"/>
              </w:rPr>
              <w:t>Media: Diversified and Production</w:t>
            </w:r>
          </w:p>
        </w:tc>
        <w:tc>
          <w:tcPr>
            <w:tcW w:w="1460" w:type="dxa"/>
            <w:vAlign w:val="bottom"/>
          </w:tcPr>
          <w:p>
            <w:pPr>
              <w:jc w:val="right"/>
              <w:ind w:right="326"/>
              <w:spacing w:after="0"/>
              <w:rPr>
                <w:sz w:val="20"/>
                <w:szCs w:val="20"/>
                <w:color w:val="auto"/>
              </w:rPr>
            </w:pPr>
            <w:r>
              <w:rPr>
                <w:rFonts w:ascii="Times New Roman" w:cs="Times New Roman" w:eastAsia="Times New Roman" w:hAnsi="Times New Roman"/>
                <w:sz w:val="11"/>
                <w:szCs w:val="11"/>
                <w:color w:val="auto"/>
              </w:rPr>
              <w:t>—</w:t>
            </w:r>
          </w:p>
        </w:tc>
        <w:tc>
          <w:tcPr>
            <w:tcW w:w="980" w:type="dxa"/>
            <w:vAlign w:val="bottom"/>
          </w:tcPr>
          <w:p>
            <w:pPr>
              <w:jc w:val="right"/>
              <w:ind w:right="286"/>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vMerge w:val="restart"/>
          </w:tcPr>
          <w:p>
            <w:pPr>
              <w:jc w:val="right"/>
              <w:ind w:right="186"/>
              <w:spacing w:after="0"/>
              <w:rPr>
                <w:sz w:val="20"/>
                <w:szCs w:val="20"/>
                <w:color w:val="auto"/>
              </w:rPr>
            </w:pPr>
            <w:r>
              <w:rPr>
                <w:rFonts w:ascii="Times New Roman" w:cs="Times New Roman" w:eastAsia="Times New Roman" w:hAnsi="Times New Roman"/>
                <w:sz w:val="11"/>
                <w:szCs w:val="11"/>
                <w:color w:val="auto"/>
              </w:rPr>
              <w:t>3,261</w:t>
            </w: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2"/>
                <w:szCs w:val="12"/>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62"/>
        </w:trPr>
        <w:tc>
          <w:tcPr>
            <w:tcW w:w="1220" w:type="dxa"/>
            <w:vAlign w:val="bottom"/>
          </w:tcPr>
          <w:p>
            <w:pPr>
              <w:spacing w:after="0"/>
              <w:rPr>
                <w:sz w:val="5"/>
                <w:szCs w:val="5"/>
                <w:color w:val="auto"/>
              </w:rPr>
            </w:pPr>
          </w:p>
        </w:tc>
        <w:tc>
          <w:tcPr>
            <w:tcW w:w="2440" w:type="dxa"/>
            <w:vAlign w:val="bottom"/>
          </w:tcPr>
          <w:p>
            <w:pPr>
              <w:spacing w:after="0"/>
              <w:rPr>
                <w:sz w:val="5"/>
                <w:szCs w:val="5"/>
                <w:color w:val="auto"/>
              </w:rPr>
            </w:pPr>
          </w:p>
        </w:tc>
        <w:tc>
          <w:tcPr>
            <w:tcW w:w="1460" w:type="dxa"/>
            <w:vAlign w:val="bottom"/>
            <w:vMerge w:val="restart"/>
          </w:tcPr>
          <w:p>
            <w:pPr>
              <w:jc w:val="right"/>
              <w:ind w:right="106"/>
              <w:spacing w:after="0"/>
              <w:rPr>
                <w:sz w:val="20"/>
                <w:szCs w:val="20"/>
                <w:color w:val="auto"/>
              </w:rPr>
            </w:pPr>
            <w:r>
              <w:rPr>
                <w:rFonts w:ascii="Times New Roman" w:cs="Times New Roman" w:eastAsia="Times New Roman" w:hAnsi="Times New Roman"/>
                <w:sz w:val="11"/>
                <w:szCs w:val="11"/>
                <w:color w:val="auto"/>
              </w:rPr>
              <w:t xml:space="preserve">0.00 % </w:t>
            </w:r>
            <w:r>
              <w:rPr>
                <w:rFonts w:ascii="Times New Roman" w:cs="Times New Roman" w:eastAsia="Times New Roman" w:hAnsi="Times New Roman"/>
                <w:sz w:val="14"/>
                <w:szCs w:val="14"/>
                <w:color w:val="auto"/>
                <w:vertAlign w:val="superscript"/>
              </w:rPr>
              <w:t>(6)</w:t>
            </w:r>
          </w:p>
        </w:tc>
        <w:tc>
          <w:tcPr>
            <w:tcW w:w="980" w:type="dxa"/>
            <w:vAlign w:val="bottom"/>
          </w:tcPr>
          <w:p>
            <w:pPr>
              <w:spacing w:after="0"/>
              <w:rPr>
                <w:sz w:val="5"/>
                <w:szCs w:val="5"/>
                <w:color w:val="auto"/>
              </w:rPr>
            </w:pPr>
          </w:p>
        </w:tc>
        <w:tc>
          <w:tcPr>
            <w:tcW w:w="920" w:type="dxa"/>
            <w:vAlign w:val="bottom"/>
            <w:vMerge w:val="continue"/>
          </w:tcPr>
          <w:p>
            <w:pPr>
              <w:spacing w:after="0"/>
              <w:rPr>
                <w:sz w:val="5"/>
                <w:szCs w:val="5"/>
                <w:color w:val="auto"/>
              </w:rPr>
            </w:pPr>
          </w:p>
        </w:tc>
        <w:tc>
          <w:tcPr>
            <w:tcW w:w="78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5"/>
        </w:trPr>
        <w:tc>
          <w:tcPr>
            <w:tcW w:w="1220" w:type="dxa"/>
            <w:vAlign w:val="bottom"/>
          </w:tcPr>
          <w:p>
            <w:pPr>
              <w:jc w:val="right"/>
              <w:ind w:right="446"/>
              <w:spacing w:after="0"/>
              <w:rPr>
                <w:sz w:val="20"/>
                <w:szCs w:val="20"/>
                <w:color w:val="auto"/>
              </w:rPr>
            </w:pPr>
            <w:r>
              <w:rPr>
                <w:rFonts w:ascii="Times New Roman" w:cs="Times New Roman" w:eastAsia="Times New Roman" w:hAnsi="Times New Roman"/>
                <w:sz w:val="11"/>
                <w:szCs w:val="11"/>
                <w:color w:val="auto"/>
              </w:rPr>
              <w:t>09/30/2026</w:t>
            </w:r>
          </w:p>
        </w:tc>
        <w:tc>
          <w:tcPr>
            <w:tcW w:w="2440" w:type="dxa"/>
            <w:vAlign w:val="bottom"/>
          </w:tcPr>
          <w:p>
            <w:pPr>
              <w:jc w:val="center"/>
              <w:ind w:right="86"/>
              <w:spacing w:after="0"/>
              <w:rPr>
                <w:sz w:val="20"/>
                <w:szCs w:val="20"/>
                <w:color w:val="auto"/>
              </w:rPr>
            </w:pPr>
            <w:r>
              <w:rPr>
                <w:rFonts w:ascii="Times New Roman" w:cs="Times New Roman" w:eastAsia="Times New Roman" w:hAnsi="Times New Roman"/>
                <w:sz w:val="11"/>
                <w:szCs w:val="11"/>
                <w:color w:val="auto"/>
                <w:w w:val="97"/>
              </w:rPr>
              <w:t>Media: Diversified and Production</w:t>
            </w:r>
          </w:p>
        </w:tc>
        <w:tc>
          <w:tcPr>
            <w:tcW w:w="1460" w:type="dxa"/>
            <w:vAlign w:val="bottom"/>
            <w:vMerge w:val="continue"/>
          </w:tcPr>
          <w:p>
            <w:pPr>
              <w:spacing w:after="0"/>
              <w:rPr>
                <w:sz w:val="11"/>
                <w:szCs w:val="11"/>
                <w:color w:val="auto"/>
              </w:rPr>
            </w:pPr>
          </w:p>
        </w:tc>
        <w:tc>
          <w:tcPr>
            <w:tcW w:w="980" w:type="dxa"/>
            <w:vAlign w:val="bottom"/>
          </w:tcPr>
          <w:p>
            <w:pPr>
              <w:jc w:val="right"/>
              <w:ind w:right="286"/>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tcPr>
          <w:p>
            <w:pPr>
              <w:jc w:val="right"/>
              <w:ind w:right="186"/>
              <w:spacing w:after="0"/>
              <w:rPr>
                <w:sz w:val="20"/>
                <w:szCs w:val="20"/>
                <w:color w:val="auto"/>
              </w:rPr>
            </w:pPr>
            <w:r>
              <w:rPr>
                <w:rFonts w:ascii="Times New Roman" w:cs="Times New Roman" w:eastAsia="Times New Roman" w:hAnsi="Times New Roman"/>
                <w:sz w:val="11"/>
                <w:szCs w:val="11"/>
                <w:color w:val="auto"/>
              </w:rPr>
              <w:t>25,542</w:t>
            </w: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19,047</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25,542</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1220" w:type="dxa"/>
            <w:vAlign w:val="bottom"/>
          </w:tcPr>
          <w:p>
            <w:pPr>
              <w:jc w:val="right"/>
              <w:ind w:right="446"/>
              <w:spacing w:after="0"/>
              <w:rPr>
                <w:sz w:val="20"/>
                <w:szCs w:val="20"/>
                <w:color w:val="auto"/>
              </w:rPr>
            </w:pPr>
            <w:r>
              <w:rPr>
                <w:rFonts w:ascii="Times New Roman" w:cs="Times New Roman" w:eastAsia="Times New Roman" w:hAnsi="Times New Roman"/>
                <w:sz w:val="11"/>
                <w:szCs w:val="11"/>
                <w:color w:val="auto"/>
              </w:rPr>
              <w:t>05/06/2024</w:t>
            </w:r>
          </w:p>
        </w:tc>
        <w:tc>
          <w:tcPr>
            <w:tcW w:w="2440" w:type="dxa"/>
            <w:vAlign w:val="bottom"/>
          </w:tcPr>
          <w:p>
            <w:pPr>
              <w:jc w:val="center"/>
              <w:ind w:right="66"/>
              <w:spacing w:after="0"/>
              <w:rPr>
                <w:sz w:val="20"/>
                <w:szCs w:val="20"/>
                <w:color w:val="auto"/>
              </w:rPr>
            </w:pPr>
            <w:r>
              <w:rPr>
                <w:rFonts w:ascii="Times New Roman" w:cs="Times New Roman" w:eastAsia="Times New Roman" w:hAnsi="Times New Roman"/>
                <w:sz w:val="11"/>
                <w:szCs w:val="11"/>
                <w:color w:val="auto"/>
                <w:w w:val="98"/>
              </w:rPr>
              <w:t>Financial Services</w:t>
            </w:r>
          </w:p>
        </w:tc>
        <w:tc>
          <w:tcPr>
            <w:tcW w:w="1460" w:type="dxa"/>
            <w:vAlign w:val="bottom"/>
          </w:tcPr>
          <w:p>
            <w:pPr>
              <w:jc w:val="right"/>
              <w:ind w:right="206"/>
              <w:spacing w:after="0"/>
              <w:rPr>
                <w:sz w:val="20"/>
                <w:szCs w:val="20"/>
                <w:color w:val="auto"/>
              </w:rPr>
            </w:pPr>
            <w:r>
              <w:rPr>
                <w:rFonts w:ascii="Times New Roman" w:cs="Times New Roman" w:eastAsia="Times New Roman" w:hAnsi="Times New Roman"/>
                <w:sz w:val="11"/>
                <w:szCs w:val="11"/>
                <w:color w:val="auto"/>
              </w:rPr>
              <w:t>8.13 %</w:t>
            </w:r>
          </w:p>
        </w:tc>
        <w:tc>
          <w:tcPr>
            <w:tcW w:w="980" w:type="dxa"/>
            <w:vAlign w:val="bottom"/>
          </w:tcPr>
          <w:p>
            <w:pPr>
              <w:jc w:val="right"/>
              <w:ind w:right="286"/>
              <w:spacing w:after="0"/>
              <w:rPr>
                <w:sz w:val="20"/>
                <w:szCs w:val="20"/>
                <w:color w:val="auto"/>
              </w:rPr>
            </w:pPr>
            <w:r>
              <w:rPr>
                <w:rFonts w:ascii="Times New Roman" w:cs="Times New Roman" w:eastAsia="Times New Roman" w:hAnsi="Times New Roman"/>
                <w:sz w:val="11"/>
                <w:szCs w:val="11"/>
                <w:color w:val="auto"/>
              </w:rPr>
              <w:t>3M L+800</w:t>
            </w:r>
          </w:p>
        </w:tc>
        <w:tc>
          <w:tcPr>
            <w:tcW w:w="920" w:type="dxa"/>
            <w:vAlign w:val="bottom"/>
          </w:tcPr>
          <w:p>
            <w:pPr>
              <w:jc w:val="right"/>
              <w:ind w:right="186"/>
              <w:spacing w:after="0"/>
              <w:rPr>
                <w:sz w:val="20"/>
                <w:szCs w:val="20"/>
                <w:color w:val="auto"/>
              </w:rPr>
            </w:pPr>
            <w:r>
              <w:rPr>
                <w:rFonts w:ascii="Times New Roman" w:cs="Times New Roman" w:eastAsia="Times New Roman" w:hAnsi="Times New Roman"/>
                <w:sz w:val="11"/>
                <w:szCs w:val="11"/>
                <w:color w:val="auto"/>
              </w:rPr>
              <w:t>140,875</w:t>
            </w: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140,875</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140,875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6"/>
        </w:trPr>
        <w:tc>
          <w:tcPr>
            <w:tcW w:w="1220" w:type="dxa"/>
            <w:vAlign w:val="bottom"/>
          </w:tcPr>
          <w:p>
            <w:pPr>
              <w:spacing w:after="0"/>
              <w:rPr>
                <w:sz w:val="6"/>
                <w:szCs w:val="6"/>
                <w:color w:val="auto"/>
              </w:rPr>
            </w:pPr>
          </w:p>
        </w:tc>
        <w:tc>
          <w:tcPr>
            <w:tcW w:w="2440" w:type="dxa"/>
            <w:vAlign w:val="bottom"/>
          </w:tcPr>
          <w:p>
            <w:pPr>
              <w:spacing w:after="0"/>
              <w:rPr>
                <w:sz w:val="6"/>
                <w:szCs w:val="6"/>
                <w:color w:val="auto"/>
              </w:rPr>
            </w:pPr>
          </w:p>
        </w:tc>
        <w:tc>
          <w:tcPr>
            <w:tcW w:w="1460" w:type="dxa"/>
            <w:vAlign w:val="bottom"/>
          </w:tcPr>
          <w:p>
            <w:pPr>
              <w:spacing w:after="0"/>
              <w:rPr>
                <w:sz w:val="6"/>
                <w:szCs w:val="6"/>
                <w:color w:val="auto"/>
              </w:rPr>
            </w:pPr>
          </w:p>
        </w:tc>
        <w:tc>
          <w:tcPr>
            <w:tcW w:w="980" w:type="dxa"/>
            <w:vAlign w:val="bottom"/>
          </w:tcPr>
          <w:p>
            <w:pPr>
              <w:spacing w:after="0"/>
              <w:rPr>
                <w:sz w:val="6"/>
                <w:szCs w:val="6"/>
                <w:color w:val="auto"/>
              </w:rPr>
            </w:pPr>
          </w:p>
        </w:tc>
        <w:tc>
          <w:tcPr>
            <w:tcW w:w="920" w:type="dxa"/>
            <w:vAlign w:val="bottom"/>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220" w:type="dxa"/>
            <w:vAlign w:val="bottom"/>
            <w:vMerge w:val="restart"/>
          </w:tcPr>
          <w:p>
            <w:pPr>
              <w:spacing w:after="0"/>
              <w:rPr>
                <w:sz w:val="6"/>
                <w:szCs w:val="6"/>
                <w:color w:val="auto"/>
              </w:rPr>
            </w:pPr>
          </w:p>
        </w:tc>
        <w:tc>
          <w:tcPr>
            <w:tcW w:w="800" w:type="dxa"/>
            <w:vAlign w:val="bottom"/>
            <w:tcBorders>
              <w:bottom w:val="single" w:sz="8" w:color="auto"/>
            </w:tcBorders>
          </w:tcPr>
          <w:p>
            <w:pPr>
              <w:spacing w:after="0"/>
              <w:rPr>
                <w:sz w:val="6"/>
                <w:szCs w:val="6"/>
                <w:color w:val="auto"/>
              </w:rPr>
            </w:pPr>
          </w:p>
        </w:tc>
        <w:tc>
          <w:tcPr>
            <w:tcW w:w="100" w:type="dxa"/>
            <w:vAlign w:val="bottom"/>
            <w:vMerge w:val="restart"/>
          </w:tcPr>
          <w:p>
            <w:pPr>
              <w:spacing w:after="0"/>
              <w:rPr>
                <w:sz w:val="6"/>
                <w:szCs w:val="6"/>
                <w:color w:val="auto"/>
              </w:rPr>
            </w:pPr>
          </w:p>
        </w:tc>
        <w:tc>
          <w:tcPr>
            <w:tcW w:w="0" w:type="dxa"/>
            <w:vAlign w:val="bottom"/>
          </w:tcPr>
          <w:p>
            <w:pPr>
              <w:spacing w:after="0"/>
              <w:rPr>
                <w:sz w:val="1"/>
                <w:szCs w:val="1"/>
                <w:color w:val="auto"/>
              </w:rPr>
            </w:pPr>
          </w:p>
        </w:tc>
      </w:tr>
      <w:tr>
        <w:trPr>
          <w:trHeight w:val="128"/>
        </w:trPr>
        <w:tc>
          <w:tcPr>
            <w:tcW w:w="122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163,339</w:t>
            </w:r>
          </w:p>
        </w:tc>
        <w:tc>
          <w:tcPr>
            <w:tcW w:w="220" w:type="dxa"/>
            <w:vAlign w:val="bottom"/>
            <w:vMerge w:val="continue"/>
          </w:tcPr>
          <w:p>
            <w:pPr>
              <w:spacing w:after="0"/>
              <w:rPr>
                <w:sz w:val="11"/>
                <w:szCs w:val="11"/>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169,834</w:t>
            </w:r>
          </w:p>
        </w:tc>
        <w:tc>
          <w:tcPr>
            <w:tcW w:w="1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1220" w:type="dxa"/>
            <w:vAlign w:val="bottom"/>
          </w:tcPr>
          <w:p>
            <w:pPr>
              <w:jc w:val="right"/>
              <w:ind w:right="346"/>
              <w:spacing w:after="0"/>
              <w:rPr>
                <w:sz w:val="20"/>
                <w:szCs w:val="20"/>
                <w:color w:val="auto"/>
              </w:rPr>
            </w:pPr>
            <w:r>
              <w:rPr>
                <w:rFonts w:ascii="Times New Roman" w:cs="Times New Roman" w:eastAsia="Times New Roman" w:hAnsi="Times New Roman"/>
                <w:sz w:val="11"/>
                <w:szCs w:val="11"/>
                <w:color w:val="auto"/>
              </w:rPr>
              <w:t>—</w:t>
            </w:r>
          </w:p>
        </w:tc>
        <w:tc>
          <w:tcPr>
            <w:tcW w:w="2440" w:type="dxa"/>
            <w:vAlign w:val="bottom"/>
          </w:tcPr>
          <w:p>
            <w:pPr>
              <w:jc w:val="center"/>
              <w:ind w:right="86"/>
              <w:spacing w:after="0"/>
              <w:rPr>
                <w:sz w:val="20"/>
                <w:szCs w:val="20"/>
                <w:color w:val="auto"/>
              </w:rPr>
            </w:pPr>
            <w:r>
              <w:rPr>
                <w:rFonts w:ascii="Times New Roman" w:cs="Times New Roman" w:eastAsia="Times New Roman" w:hAnsi="Times New Roman"/>
                <w:sz w:val="11"/>
                <w:szCs w:val="11"/>
                <w:color w:val="auto"/>
                <w:w w:val="97"/>
              </w:rPr>
              <w:t>Media: Diversified and Production</w:t>
            </w:r>
          </w:p>
        </w:tc>
        <w:tc>
          <w:tcPr>
            <w:tcW w:w="1460" w:type="dxa"/>
            <w:vAlign w:val="bottom"/>
          </w:tcPr>
          <w:p>
            <w:pPr>
              <w:jc w:val="right"/>
              <w:ind w:right="326"/>
              <w:spacing w:after="0"/>
              <w:rPr>
                <w:sz w:val="20"/>
                <w:szCs w:val="20"/>
                <w:color w:val="auto"/>
              </w:rPr>
            </w:pPr>
            <w:r>
              <w:rPr>
                <w:rFonts w:ascii="Times New Roman" w:cs="Times New Roman" w:eastAsia="Times New Roman" w:hAnsi="Times New Roman"/>
                <w:sz w:val="11"/>
                <w:szCs w:val="11"/>
                <w:color w:val="auto"/>
              </w:rPr>
              <w:t>—</w:t>
            </w:r>
          </w:p>
        </w:tc>
        <w:tc>
          <w:tcPr>
            <w:tcW w:w="980" w:type="dxa"/>
            <w:vAlign w:val="bottom"/>
          </w:tcPr>
          <w:p>
            <w:pPr>
              <w:jc w:val="right"/>
              <w:ind w:right="286"/>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tcPr>
          <w:p>
            <w:pPr>
              <w:jc w:val="right"/>
              <w:ind w:right="186"/>
              <w:spacing w:after="0"/>
              <w:rPr>
                <w:sz w:val="20"/>
                <w:szCs w:val="20"/>
                <w:color w:val="auto"/>
              </w:rPr>
            </w:pPr>
            <w:r>
              <w:rPr>
                <w:rFonts w:ascii="Times New Roman" w:cs="Times New Roman" w:eastAsia="Times New Roman" w:hAnsi="Times New Roman"/>
                <w:sz w:val="11"/>
                <w:szCs w:val="11"/>
                <w:color w:val="auto"/>
              </w:rPr>
              <w:t>349</w:t>
            </w: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2,690</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-1467485</wp:posOffset>
            </wp:positionH>
            <wp:positionV relativeFrom="paragraph">
              <wp:posOffset>-482600</wp:posOffset>
            </wp:positionV>
            <wp:extent cx="7132320" cy="8572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-1467485</wp:posOffset>
            </wp:positionH>
            <wp:positionV relativeFrom="paragraph">
              <wp:posOffset>-259715</wp:posOffset>
            </wp:positionV>
            <wp:extent cx="7132320" cy="34290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132320" cy="342900"/>
                    </a:xfrm>
                    <a:prstGeom prst="rect">
                      <a:avLst/>
                    </a:prstGeom>
                    <a:noFill/>
                  </pic:spPr>
                </pic:pic>
              </a:graphicData>
            </a:graphic>
          </wp:anchor>
        </w:drawing>
      </w:r>
    </w:p>
    <w:p>
      <w:pPr>
        <w:spacing w:after="0" w:line="106" w:lineRule="exact"/>
        <w:rPr>
          <w:sz w:val="20"/>
          <w:szCs w:val="20"/>
          <w:color w:val="auto"/>
        </w:rPr>
      </w:pPr>
    </w:p>
    <w:p>
      <w:pPr>
        <w:sectPr>
          <w:pgSz w:w="11900" w:h="16838" w:orient="portrait"/>
          <w:cols w:equalWidth="0" w:num="2">
            <w:col w:w="2300" w:space="20"/>
            <w:col w:w="8920"/>
          </w:cols>
          <w:pgMar w:left="320" w:top="114" w:right="339" w:bottom="1440" w:gutter="0" w:footer="0" w:header="0"/>
          <w:type w:val="continuous"/>
        </w:sectPr>
      </w:pPr>
    </w:p>
    <w:tbl>
      <w:tblPr>
        <w:tblLayout w:type="fixed"/>
        <w:tblInd w:w="0" w:type="dxa"/>
        <w:tblCellMar>
          <w:top w:w="0" w:type="dxa"/>
          <w:left w:w="0" w:type="dxa"/>
          <w:bottom w:w="0" w:type="dxa"/>
          <w:right w:w="0" w:type="dxa"/>
        </w:tblCellMar>
      </w:tblPr>
      <w:tr>
        <w:trPr>
          <w:trHeight w:val="119"/>
        </w:trPr>
        <w:tc>
          <w:tcPr>
            <w:tcW w:w="3000" w:type="dxa"/>
            <w:vAlign w:val="bottom"/>
          </w:tcPr>
          <w:p>
            <w:pPr>
              <w:ind w:left="20"/>
              <w:spacing w:after="0" w:line="119" w:lineRule="exact"/>
              <w:rPr>
                <w:sz w:val="20"/>
                <w:szCs w:val="20"/>
                <w:color w:val="auto"/>
              </w:rPr>
            </w:pPr>
            <w:r>
              <w:rPr>
                <w:rFonts w:ascii="Times New Roman" w:cs="Times New Roman" w:eastAsia="Times New Roman" w:hAnsi="Times New Roman"/>
                <w:sz w:val="10"/>
                <w:szCs w:val="10"/>
                <w:color w:val="auto"/>
              </w:rPr>
              <w:t xml:space="preserve">PennantPark Senior Secured Loan Fund I LLC </w:t>
            </w:r>
            <w:r>
              <w:rPr>
                <w:rFonts w:ascii="Times New Roman" w:cs="Times New Roman" w:eastAsia="Times New Roman" w:hAnsi="Times New Roman"/>
                <w:sz w:val="13"/>
                <w:szCs w:val="13"/>
                <w:color w:val="auto"/>
                <w:vertAlign w:val="superscript"/>
              </w:rPr>
              <w:t>(7), (9),</w:t>
            </w:r>
          </w:p>
        </w:tc>
        <w:tc>
          <w:tcPr>
            <w:tcW w:w="720" w:type="dxa"/>
            <w:vAlign w:val="bottom"/>
          </w:tcPr>
          <w:p>
            <w:pPr>
              <w:ind w:left="40"/>
              <w:spacing w:after="0" w:line="119" w:lineRule="exact"/>
              <w:rPr>
                <w:sz w:val="20"/>
                <w:szCs w:val="20"/>
                <w:color w:val="auto"/>
              </w:rPr>
            </w:pPr>
            <w:r>
              <w:rPr>
                <w:rFonts w:ascii="Times New Roman" w:cs="Times New Roman" w:eastAsia="Times New Roman" w:hAnsi="Times New Roman"/>
                <w:sz w:val="11"/>
                <w:szCs w:val="11"/>
                <w:color w:val="auto"/>
              </w:rPr>
              <w:t>—</w:t>
            </w:r>
          </w:p>
        </w:tc>
        <w:tc>
          <w:tcPr>
            <w:tcW w:w="2300" w:type="dxa"/>
            <w:vAlign w:val="bottom"/>
          </w:tcPr>
          <w:p>
            <w:pPr>
              <w:ind w:left="580"/>
              <w:spacing w:after="0" w:line="119" w:lineRule="exact"/>
              <w:rPr>
                <w:sz w:val="20"/>
                <w:szCs w:val="20"/>
                <w:color w:val="auto"/>
              </w:rPr>
            </w:pPr>
            <w:r>
              <w:rPr>
                <w:rFonts w:ascii="Times New Roman" w:cs="Times New Roman" w:eastAsia="Times New Roman" w:hAnsi="Times New Roman"/>
                <w:sz w:val="11"/>
                <w:szCs w:val="11"/>
                <w:color w:val="auto"/>
              </w:rPr>
              <w:t>Financial Services</w:t>
            </w:r>
          </w:p>
        </w:tc>
        <w:tc>
          <w:tcPr>
            <w:tcW w:w="1500" w:type="dxa"/>
            <w:vAlign w:val="bottom"/>
          </w:tcPr>
          <w:p>
            <w:pPr>
              <w:ind w:left="920"/>
              <w:spacing w:after="0" w:line="119" w:lineRule="exact"/>
              <w:rPr>
                <w:sz w:val="20"/>
                <w:szCs w:val="20"/>
                <w:color w:val="auto"/>
              </w:rPr>
            </w:pPr>
            <w:r>
              <w:rPr>
                <w:rFonts w:ascii="Times New Roman" w:cs="Times New Roman" w:eastAsia="Times New Roman" w:hAnsi="Times New Roman"/>
                <w:sz w:val="11"/>
                <w:szCs w:val="11"/>
                <w:color w:val="auto"/>
              </w:rPr>
              <w:t>—</w:t>
            </w:r>
          </w:p>
        </w:tc>
        <w:tc>
          <w:tcPr>
            <w:tcW w:w="920" w:type="dxa"/>
            <w:vAlign w:val="bottom"/>
          </w:tcPr>
          <w:p>
            <w:pPr>
              <w:ind w:left="460"/>
              <w:spacing w:after="0" w:line="119" w:lineRule="exact"/>
              <w:rPr>
                <w:sz w:val="20"/>
                <w:szCs w:val="20"/>
                <w:color w:val="auto"/>
              </w:rPr>
            </w:pPr>
            <w:r>
              <w:rPr>
                <w:rFonts w:ascii="Times New Roman" w:cs="Times New Roman" w:eastAsia="Times New Roman" w:hAnsi="Times New Roman"/>
                <w:sz w:val="11"/>
                <w:szCs w:val="11"/>
                <w:color w:val="auto"/>
              </w:rPr>
              <w:t>—</w:t>
            </w:r>
          </w:p>
        </w:tc>
        <w:tc>
          <w:tcPr>
            <w:tcW w:w="900" w:type="dxa"/>
            <w:vAlign w:val="bottom"/>
          </w:tcPr>
          <w:p>
            <w:pPr>
              <w:jc w:val="right"/>
              <w:ind w:right="189"/>
              <w:spacing w:after="0" w:line="119" w:lineRule="exact"/>
              <w:rPr>
                <w:sz w:val="20"/>
                <w:szCs w:val="20"/>
                <w:color w:val="auto"/>
              </w:rPr>
            </w:pPr>
            <w:r>
              <w:rPr>
                <w:rFonts w:ascii="Times New Roman" w:cs="Times New Roman" w:eastAsia="Times New Roman" w:hAnsi="Times New Roman"/>
                <w:sz w:val="11"/>
                <w:szCs w:val="11"/>
                <w:color w:val="auto"/>
              </w:rPr>
              <w:t>60,375</w:t>
            </w:r>
          </w:p>
        </w:tc>
        <w:tc>
          <w:tcPr>
            <w:tcW w:w="200" w:type="dxa"/>
            <w:vAlign w:val="bottom"/>
          </w:tcPr>
          <w:p>
            <w:pPr>
              <w:spacing w:after="0"/>
              <w:rPr>
                <w:sz w:val="10"/>
                <w:szCs w:val="10"/>
                <w:color w:val="auto"/>
              </w:rPr>
            </w:pPr>
          </w:p>
        </w:tc>
        <w:tc>
          <w:tcPr>
            <w:tcW w:w="580" w:type="dxa"/>
            <w:vAlign w:val="bottom"/>
          </w:tcPr>
          <w:p>
            <w:pPr>
              <w:jc w:val="right"/>
              <w:spacing w:after="0" w:line="119" w:lineRule="exact"/>
              <w:rPr>
                <w:sz w:val="20"/>
                <w:szCs w:val="20"/>
                <w:color w:val="auto"/>
              </w:rPr>
            </w:pPr>
            <w:r>
              <w:rPr>
                <w:rFonts w:ascii="Times New Roman" w:cs="Times New Roman" w:eastAsia="Times New Roman" w:hAnsi="Times New Roman"/>
                <w:sz w:val="11"/>
                <w:szCs w:val="11"/>
                <w:color w:val="auto"/>
              </w:rPr>
              <w:t>60,375</w:t>
            </w: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0" w:type="dxa"/>
            <w:vAlign w:val="bottom"/>
          </w:tcPr>
          <w:p>
            <w:pPr>
              <w:jc w:val="right"/>
              <w:spacing w:after="0" w:line="119" w:lineRule="exact"/>
              <w:rPr>
                <w:sz w:val="20"/>
                <w:szCs w:val="20"/>
                <w:color w:val="auto"/>
              </w:rPr>
            </w:pPr>
            <w:r>
              <w:rPr>
                <w:rFonts w:ascii="Times New Roman" w:cs="Times New Roman" w:eastAsia="Times New Roman" w:hAnsi="Times New Roman"/>
                <w:sz w:val="11"/>
                <w:szCs w:val="11"/>
                <w:color w:val="auto"/>
              </w:rPr>
              <w:t>44,856</w:t>
            </w:r>
          </w:p>
        </w:tc>
        <w:tc>
          <w:tcPr>
            <w:tcW w:w="100" w:type="dxa"/>
            <w:vAlign w:val="bottom"/>
          </w:tcPr>
          <w:p>
            <w:pPr>
              <w:spacing w:after="0"/>
              <w:rPr>
                <w:sz w:val="10"/>
                <w:szCs w:val="10"/>
                <w:color w:val="auto"/>
              </w:rPr>
            </w:pPr>
          </w:p>
        </w:tc>
      </w:tr>
      <w:tr>
        <w:trPr>
          <w:trHeight w:val="102"/>
        </w:trPr>
        <w:tc>
          <w:tcPr>
            <w:tcW w:w="3000" w:type="dxa"/>
            <w:vAlign w:val="bottom"/>
          </w:tcPr>
          <w:p>
            <w:pPr>
              <w:ind w:left="20"/>
              <w:spacing w:after="0"/>
              <w:rPr>
                <w:sz w:val="20"/>
                <w:szCs w:val="20"/>
                <w:color w:val="auto"/>
              </w:rPr>
            </w:pPr>
            <w:r>
              <w:rPr>
                <w:rFonts w:ascii="Times New Roman" w:cs="Times New Roman" w:eastAsia="Times New Roman" w:hAnsi="Times New Roman"/>
                <w:sz w:val="7"/>
                <w:szCs w:val="7"/>
                <w:color w:val="auto"/>
              </w:rPr>
              <w:t>(10)</w:t>
            </w:r>
          </w:p>
        </w:tc>
        <w:tc>
          <w:tcPr>
            <w:tcW w:w="720" w:type="dxa"/>
            <w:vAlign w:val="bottom"/>
          </w:tcPr>
          <w:p>
            <w:pPr>
              <w:spacing w:after="0"/>
              <w:rPr>
                <w:sz w:val="8"/>
                <w:szCs w:val="8"/>
                <w:color w:val="auto"/>
              </w:rPr>
            </w:pPr>
          </w:p>
        </w:tc>
        <w:tc>
          <w:tcPr>
            <w:tcW w:w="2300" w:type="dxa"/>
            <w:vAlign w:val="bottom"/>
          </w:tcPr>
          <w:p>
            <w:pPr>
              <w:spacing w:after="0"/>
              <w:rPr>
                <w:sz w:val="8"/>
                <w:szCs w:val="8"/>
                <w:color w:val="auto"/>
              </w:rPr>
            </w:pPr>
          </w:p>
        </w:tc>
        <w:tc>
          <w:tcPr>
            <w:tcW w:w="1500" w:type="dxa"/>
            <w:vAlign w:val="bottom"/>
          </w:tcPr>
          <w:p>
            <w:pPr>
              <w:spacing w:after="0"/>
              <w:rPr>
                <w:sz w:val="8"/>
                <w:szCs w:val="8"/>
                <w:color w:val="auto"/>
              </w:rPr>
            </w:pPr>
          </w:p>
        </w:tc>
        <w:tc>
          <w:tcPr>
            <w:tcW w:w="92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r>
      <w:tr>
        <w:trPr>
          <w:trHeight w:val="135"/>
        </w:trPr>
        <w:tc>
          <w:tcPr>
            <w:tcW w:w="300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1"/>
                <w:szCs w:val="11"/>
                <w:b w:val="1"/>
                <w:bCs w:val="1"/>
                <w:color w:val="auto"/>
              </w:rPr>
              <w:t>Total Equity Interests</w:t>
            </w:r>
          </w:p>
        </w:tc>
        <w:tc>
          <w:tcPr>
            <w:tcW w:w="720" w:type="dxa"/>
            <w:vAlign w:val="bottom"/>
            <w:tcBorders>
              <w:bottom w:val="single" w:sz="8" w:color="CCECFF"/>
            </w:tcBorders>
            <w:shd w:val="clear" w:color="auto" w:fill="CCECFF"/>
          </w:tcPr>
          <w:p>
            <w:pPr>
              <w:spacing w:after="0"/>
              <w:rPr>
                <w:sz w:val="11"/>
                <w:szCs w:val="11"/>
                <w:color w:val="auto"/>
              </w:rPr>
            </w:pPr>
          </w:p>
        </w:tc>
        <w:tc>
          <w:tcPr>
            <w:tcW w:w="2300" w:type="dxa"/>
            <w:vAlign w:val="bottom"/>
            <w:tcBorders>
              <w:bottom w:val="single" w:sz="8" w:color="CCECFF"/>
            </w:tcBorders>
            <w:shd w:val="clear" w:color="auto" w:fill="CCECFF"/>
          </w:tcPr>
          <w:p>
            <w:pPr>
              <w:spacing w:after="0"/>
              <w:rPr>
                <w:sz w:val="11"/>
                <w:szCs w:val="11"/>
                <w:color w:val="auto"/>
              </w:rPr>
            </w:pPr>
          </w:p>
        </w:tc>
        <w:tc>
          <w:tcPr>
            <w:tcW w:w="1500" w:type="dxa"/>
            <w:vAlign w:val="bottom"/>
            <w:tcBorders>
              <w:bottom w:val="single" w:sz="8" w:color="CCECFF"/>
            </w:tcBorders>
            <w:shd w:val="clear" w:color="auto" w:fill="CCECFF"/>
          </w:tcPr>
          <w:p>
            <w:pPr>
              <w:spacing w:after="0"/>
              <w:rPr>
                <w:sz w:val="11"/>
                <w:szCs w:val="11"/>
                <w:color w:val="auto"/>
              </w:rPr>
            </w:pPr>
          </w:p>
        </w:tc>
        <w:tc>
          <w:tcPr>
            <w:tcW w:w="920" w:type="dxa"/>
            <w:vAlign w:val="bottom"/>
            <w:tcBorders>
              <w:bottom w:val="single" w:sz="8" w:color="CCECFF"/>
            </w:tcBorders>
            <w:shd w:val="clear" w:color="auto" w:fill="CCECFF"/>
          </w:tcPr>
          <w:p>
            <w:pPr>
              <w:spacing w:after="0"/>
              <w:rPr>
                <w:sz w:val="11"/>
                <w:szCs w:val="11"/>
                <w:color w:val="auto"/>
              </w:rPr>
            </w:pPr>
          </w:p>
        </w:tc>
        <w:tc>
          <w:tcPr>
            <w:tcW w:w="900" w:type="dxa"/>
            <w:vAlign w:val="bottom"/>
            <w:tcBorders>
              <w:bottom w:val="single" w:sz="8" w:color="CCECFF"/>
            </w:tcBorders>
            <w:shd w:val="clear" w:color="auto" w:fill="CCECFF"/>
          </w:tcPr>
          <w:p>
            <w:pPr>
              <w:spacing w:after="0"/>
              <w:rPr>
                <w:sz w:val="11"/>
                <w:szCs w:val="11"/>
                <w:color w:val="auto"/>
              </w:rPr>
            </w:pPr>
          </w:p>
        </w:tc>
        <w:tc>
          <w:tcPr>
            <w:tcW w:w="200" w:type="dxa"/>
            <w:vAlign w:val="bottom"/>
            <w:tcBorders>
              <w:bottom w:val="single" w:sz="8" w:color="auto"/>
            </w:tcBorders>
            <w:shd w:val="clear" w:color="auto" w:fill="CCECFF"/>
          </w:tcPr>
          <w:p>
            <w:pPr>
              <w:spacing w:after="0"/>
              <w:rPr>
                <w:sz w:val="11"/>
                <w:szCs w:val="11"/>
                <w:color w:val="auto"/>
              </w:rPr>
            </w:pPr>
          </w:p>
        </w:tc>
        <w:tc>
          <w:tcPr>
            <w:tcW w:w="58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60,375</w:t>
            </w:r>
          </w:p>
        </w:tc>
        <w:tc>
          <w:tcPr>
            <w:tcW w:w="220" w:type="dxa"/>
            <w:vAlign w:val="bottom"/>
            <w:tcBorders>
              <w:bottom w:val="single" w:sz="8" w:color="CCECFF"/>
            </w:tcBorders>
            <w:shd w:val="clear" w:color="auto" w:fill="CCECFF"/>
          </w:tcPr>
          <w:p>
            <w:pPr>
              <w:spacing w:after="0"/>
              <w:rPr>
                <w:sz w:val="11"/>
                <w:szCs w:val="11"/>
                <w:color w:val="auto"/>
              </w:rPr>
            </w:pPr>
          </w:p>
        </w:tc>
        <w:tc>
          <w:tcPr>
            <w:tcW w:w="200" w:type="dxa"/>
            <w:vAlign w:val="bottom"/>
            <w:tcBorders>
              <w:bottom w:val="single" w:sz="8" w:color="auto"/>
            </w:tcBorders>
            <w:shd w:val="clear" w:color="auto" w:fill="CCECFF"/>
          </w:tcPr>
          <w:p>
            <w:pPr>
              <w:spacing w:after="0"/>
              <w:rPr>
                <w:sz w:val="11"/>
                <w:szCs w:val="11"/>
                <w:color w:val="auto"/>
              </w:rPr>
            </w:pPr>
          </w:p>
        </w:tc>
        <w:tc>
          <w:tcPr>
            <w:tcW w:w="6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47,546</w:t>
            </w:r>
          </w:p>
        </w:tc>
        <w:tc>
          <w:tcPr>
            <w:tcW w:w="100" w:type="dxa"/>
            <w:vAlign w:val="bottom"/>
            <w:tcBorders>
              <w:bottom w:val="single" w:sz="8" w:color="CCECFF"/>
            </w:tcBorders>
            <w:shd w:val="clear" w:color="auto" w:fill="CCECFF"/>
          </w:tcPr>
          <w:p>
            <w:pPr>
              <w:spacing w:after="0"/>
              <w:rPr>
                <w:sz w:val="11"/>
                <w:szCs w:val="11"/>
                <w:color w:val="auto"/>
              </w:rPr>
            </w:pPr>
          </w:p>
        </w:tc>
      </w:tr>
      <w:tr>
        <w:trPr>
          <w:trHeight w:val="128"/>
        </w:trPr>
        <w:tc>
          <w:tcPr>
            <w:tcW w:w="300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w w:val="98"/>
              </w:rPr>
              <w:t>Total Investments in Controlled, Affiliated Portfolio Companies</w:t>
            </w:r>
          </w:p>
        </w:tc>
        <w:tc>
          <w:tcPr>
            <w:tcW w:w="720" w:type="dxa"/>
            <w:vAlign w:val="bottom"/>
          </w:tcPr>
          <w:p>
            <w:pPr>
              <w:spacing w:after="0"/>
              <w:rPr>
                <w:sz w:val="11"/>
                <w:szCs w:val="11"/>
                <w:color w:val="auto"/>
              </w:rPr>
            </w:pPr>
          </w:p>
        </w:tc>
        <w:tc>
          <w:tcPr>
            <w:tcW w:w="230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223,714</w:t>
            </w:r>
          </w:p>
        </w:tc>
        <w:tc>
          <w:tcPr>
            <w:tcW w:w="22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217,380</w:t>
            </w:r>
          </w:p>
        </w:tc>
        <w:tc>
          <w:tcPr>
            <w:tcW w:w="100" w:type="dxa"/>
            <w:vAlign w:val="bottom"/>
          </w:tcPr>
          <w:p>
            <w:pPr>
              <w:spacing w:after="0"/>
              <w:rPr>
                <w:sz w:val="11"/>
                <w:szCs w:val="11"/>
                <w:color w:val="auto"/>
              </w:rPr>
            </w:pPr>
          </w:p>
        </w:tc>
      </w:tr>
      <w:tr>
        <w:trPr>
          <w:trHeight w:val="128"/>
        </w:trPr>
        <w:tc>
          <w:tcPr>
            <w:tcW w:w="300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1"/>
                <w:szCs w:val="11"/>
                <w:b w:val="1"/>
                <w:bCs w:val="1"/>
                <w:color w:val="auto"/>
              </w:rPr>
              <w:t>Total Investments—220.5%</w:t>
            </w:r>
          </w:p>
        </w:tc>
        <w:tc>
          <w:tcPr>
            <w:tcW w:w="720" w:type="dxa"/>
            <w:vAlign w:val="bottom"/>
            <w:tcBorders>
              <w:bottom w:val="single" w:sz="8" w:color="CCECFF"/>
            </w:tcBorders>
            <w:shd w:val="clear" w:color="auto" w:fill="CCECFF"/>
          </w:tcPr>
          <w:p>
            <w:pPr>
              <w:spacing w:after="0"/>
              <w:rPr>
                <w:sz w:val="11"/>
                <w:szCs w:val="11"/>
                <w:color w:val="auto"/>
              </w:rPr>
            </w:pPr>
          </w:p>
        </w:tc>
        <w:tc>
          <w:tcPr>
            <w:tcW w:w="2300" w:type="dxa"/>
            <w:vAlign w:val="bottom"/>
            <w:tcBorders>
              <w:bottom w:val="single" w:sz="8" w:color="CCECFF"/>
            </w:tcBorders>
            <w:shd w:val="clear" w:color="auto" w:fill="CCECFF"/>
          </w:tcPr>
          <w:p>
            <w:pPr>
              <w:spacing w:after="0"/>
              <w:rPr>
                <w:sz w:val="11"/>
                <w:szCs w:val="11"/>
                <w:color w:val="auto"/>
              </w:rPr>
            </w:pPr>
          </w:p>
        </w:tc>
        <w:tc>
          <w:tcPr>
            <w:tcW w:w="1500" w:type="dxa"/>
            <w:vAlign w:val="bottom"/>
            <w:tcBorders>
              <w:bottom w:val="single" w:sz="8" w:color="CCECFF"/>
            </w:tcBorders>
            <w:shd w:val="clear" w:color="auto" w:fill="CCECFF"/>
          </w:tcPr>
          <w:p>
            <w:pPr>
              <w:spacing w:after="0"/>
              <w:rPr>
                <w:sz w:val="11"/>
                <w:szCs w:val="11"/>
                <w:color w:val="auto"/>
              </w:rPr>
            </w:pPr>
          </w:p>
        </w:tc>
        <w:tc>
          <w:tcPr>
            <w:tcW w:w="920" w:type="dxa"/>
            <w:vAlign w:val="bottom"/>
            <w:tcBorders>
              <w:bottom w:val="single" w:sz="8" w:color="CCECFF"/>
            </w:tcBorders>
            <w:shd w:val="clear" w:color="auto" w:fill="CCECFF"/>
          </w:tcPr>
          <w:p>
            <w:pPr>
              <w:spacing w:after="0"/>
              <w:rPr>
                <w:sz w:val="11"/>
                <w:szCs w:val="11"/>
                <w:color w:val="auto"/>
              </w:rPr>
            </w:pPr>
          </w:p>
        </w:tc>
        <w:tc>
          <w:tcPr>
            <w:tcW w:w="900" w:type="dxa"/>
            <w:vAlign w:val="bottom"/>
            <w:tcBorders>
              <w:bottom w:val="single" w:sz="8" w:color="CCECFF"/>
            </w:tcBorders>
            <w:shd w:val="clear" w:color="auto" w:fill="CCECFF"/>
          </w:tcPr>
          <w:p>
            <w:pPr>
              <w:spacing w:after="0"/>
              <w:rPr>
                <w:sz w:val="11"/>
                <w:szCs w:val="11"/>
                <w:color w:val="auto"/>
              </w:rPr>
            </w:pPr>
          </w:p>
        </w:tc>
        <w:tc>
          <w:tcPr>
            <w:tcW w:w="200" w:type="dxa"/>
            <w:vAlign w:val="bottom"/>
            <w:tcBorders>
              <w:bottom w:val="single" w:sz="8" w:color="auto"/>
            </w:tcBorders>
            <w:shd w:val="clear" w:color="auto" w:fill="CCECFF"/>
          </w:tcPr>
          <w:p>
            <w:pPr>
              <w:spacing w:after="0"/>
              <w:rPr>
                <w:sz w:val="11"/>
                <w:szCs w:val="11"/>
                <w:color w:val="auto"/>
              </w:rPr>
            </w:pPr>
          </w:p>
        </w:tc>
        <w:tc>
          <w:tcPr>
            <w:tcW w:w="58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1,070,636</w:t>
            </w:r>
          </w:p>
        </w:tc>
        <w:tc>
          <w:tcPr>
            <w:tcW w:w="220" w:type="dxa"/>
            <w:vAlign w:val="bottom"/>
            <w:tcBorders>
              <w:bottom w:val="single" w:sz="8" w:color="CCECFF"/>
            </w:tcBorders>
            <w:shd w:val="clear" w:color="auto" w:fill="CCECFF"/>
          </w:tcPr>
          <w:p>
            <w:pPr>
              <w:spacing w:after="0"/>
              <w:rPr>
                <w:sz w:val="11"/>
                <w:szCs w:val="11"/>
                <w:color w:val="auto"/>
              </w:rPr>
            </w:pPr>
          </w:p>
        </w:tc>
        <w:tc>
          <w:tcPr>
            <w:tcW w:w="200" w:type="dxa"/>
            <w:vAlign w:val="bottom"/>
            <w:tcBorders>
              <w:bottom w:val="single" w:sz="8" w:color="auto"/>
            </w:tcBorders>
            <w:shd w:val="clear" w:color="auto" w:fill="CCECFF"/>
          </w:tcPr>
          <w:p>
            <w:pPr>
              <w:spacing w:after="0"/>
              <w:rPr>
                <w:sz w:val="11"/>
                <w:szCs w:val="11"/>
                <w:color w:val="auto"/>
              </w:rPr>
            </w:pPr>
          </w:p>
        </w:tc>
        <w:tc>
          <w:tcPr>
            <w:tcW w:w="6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1,081,619</w:t>
            </w:r>
          </w:p>
        </w:tc>
        <w:tc>
          <w:tcPr>
            <w:tcW w:w="100" w:type="dxa"/>
            <w:vAlign w:val="bottom"/>
            <w:tcBorders>
              <w:bottom w:val="single" w:sz="8" w:color="CCECFF"/>
            </w:tcBorders>
            <w:shd w:val="clear" w:color="auto" w:fill="CCECFF"/>
          </w:tcPr>
          <w:p>
            <w:pPr>
              <w:spacing w:after="0"/>
              <w:rPr>
                <w:sz w:val="11"/>
                <w:szCs w:val="11"/>
                <w:color w:val="auto"/>
              </w:rPr>
            </w:pPr>
          </w:p>
        </w:tc>
      </w:tr>
      <w:tr>
        <w:trPr>
          <w:trHeight w:val="129"/>
        </w:trPr>
        <w:tc>
          <w:tcPr>
            <w:tcW w:w="300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Cash and Cash Equivalents—10.2%</w:t>
            </w:r>
          </w:p>
        </w:tc>
        <w:tc>
          <w:tcPr>
            <w:tcW w:w="720" w:type="dxa"/>
            <w:vAlign w:val="bottom"/>
          </w:tcPr>
          <w:p>
            <w:pPr>
              <w:spacing w:after="0"/>
              <w:rPr>
                <w:sz w:val="11"/>
                <w:szCs w:val="11"/>
                <w:color w:val="auto"/>
              </w:rPr>
            </w:pPr>
          </w:p>
        </w:tc>
        <w:tc>
          <w:tcPr>
            <w:tcW w:w="230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30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BlackRock Federal FD Institutional 30</w:t>
            </w:r>
          </w:p>
        </w:tc>
        <w:tc>
          <w:tcPr>
            <w:tcW w:w="720" w:type="dxa"/>
            <w:vAlign w:val="bottom"/>
            <w:shd w:val="clear" w:color="auto" w:fill="CCECFF"/>
          </w:tcPr>
          <w:p>
            <w:pPr>
              <w:spacing w:after="0"/>
              <w:rPr>
                <w:sz w:val="11"/>
                <w:szCs w:val="11"/>
                <w:color w:val="auto"/>
              </w:rPr>
            </w:pPr>
          </w:p>
        </w:tc>
        <w:tc>
          <w:tcPr>
            <w:tcW w:w="2300" w:type="dxa"/>
            <w:vAlign w:val="bottom"/>
            <w:shd w:val="clear" w:color="auto" w:fill="CCECFF"/>
          </w:tcPr>
          <w:p>
            <w:pPr>
              <w:spacing w:after="0"/>
              <w:rPr>
                <w:sz w:val="11"/>
                <w:szCs w:val="11"/>
                <w:color w:val="auto"/>
              </w:rPr>
            </w:pPr>
          </w:p>
        </w:tc>
        <w:tc>
          <w:tcPr>
            <w:tcW w:w="1500" w:type="dxa"/>
            <w:vAlign w:val="bottom"/>
            <w:shd w:val="clear" w:color="auto" w:fill="CCECFF"/>
          </w:tcPr>
          <w:p>
            <w:pPr>
              <w:spacing w:after="0"/>
              <w:rPr>
                <w:sz w:val="11"/>
                <w:szCs w:val="11"/>
                <w:color w:val="auto"/>
              </w:rPr>
            </w:pPr>
          </w:p>
        </w:tc>
        <w:tc>
          <w:tcPr>
            <w:tcW w:w="920" w:type="dxa"/>
            <w:vAlign w:val="bottom"/>
            <w:shd w:val="clear" w:color="auto" w:fill="CCECFF"/>
          </w:tcPr>
          <w:p>
            <w:pPr>
              <w:spacing w:after="0"/>
              <w:rPr>
                <w:sz w:val="11"/>
                <w:szCs w:val="11"/>
                <w:color w:val="auto"/>
              </w:rPr>
            </w:pPr>
          </w:p>
        </w:tc>
        <w:tc>
          <w:tcPr>
            <w:tcW w:w="900" w:type="dxa"/>
            <w:vAlign w:val="bottom"/>
            <w:shd w:val="clear" w:color="auto" w:fill="CCECFF"/>
          </w:tcPr>
          <w:p>
            <w:pPr>
              <w:spacing w:after="0"/>
              <w:rPr>
                <w:sz w:val="11"/>
                <w:szCs w:val="11"/>
                <w:color w:val="auto"/>
              </w:rPr>
            </w:pPr>
          </w:p>
        </w:tc>
        <w:tc>
          <w:tcPr>
            <w:tcW w:w="20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7,433</w:t>
            </w:r>
          </w:p>
        </w:tc>
        <w:tc>
          <w:tcPr>
            <w:tcW w:w="220" w:type="dxa"/>
            <w:vAlign w:val="bottom"/>
            <w:shd w:val="clear" w:color="auto" w:fill="CCECFF"/>
          </w:tcPr>
          <w:p>
            <w:pPr>
              <w:spacing w:after="0"/>
              <w:rPr>
                <w:sz w:val="11"/>
                <w:szCs w:val="11"/>
                <w:color w:val="auto"/>
              </w:rPr>
            </w:pPr>
          </w:p>
        </w:tc>
        <w:tc>
          <w:tcPr>
            <w:tcW w:w="2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7,433</w:t>
            </w:r>
          </w:p>
        </w:tc>
        <w:tc>
          <w:tcPr>
            <w:tcW w:w="100" w:type="dxa"/>
            <w:vAlign w:val="bottom"/>
            <w:shd w:val="clear" w:color="auto" w:fill="CCECFF"/>
          </w:tcPr>
          <w:p>
            <w:pPr>
              <w:spacing w:after="0"/>
              <w:rPr>
                <w:sz w:val="11"/>
                <w:szCs w:val="11"/>
                <w:color w:val="auto"/>
              </w:rPr>
            </w:pPr>
          </w:p>
        </w:tc>
      </w:tr>
      <w:tr>
        <w:trPr>
          <w:trHeight w:val="135"/>
        </w:trPr>
        <w:tc>
          <w:tcPr>
            <w:tcW w:w="30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BNY Mellon Cash</w:t>
            </w:r>
          </w:p>
        </w:tc>
        <w:tc>
          <w:tcPr>
            <w:tcW w:w="720" w:type="dxa"/>
            <w:vAlign w:val="bottom"/>
          </w:tcPr>
          <w:p>
            <w:pPr>
              <w:spacing w:after="0"/>
              <w:rPr>
                <w:sz w:val="11"/>
                <w:szCs w:val="11"/>
                <w:color w:val="auto"/>
              </w:rPr>
            </w:pPr>
          </w:p>
        </w:tc>
        <w:tc>
          <w:tcPr>
            <w:tcW w:w="230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42,392</w:t>
            </w:r>
          </w:p>
        </w:tc>
        <w:tc>
          <w:tcPr>
            <w:tcW w:w="22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42,392</w:t>
            </w:r>
          </w:p>
        </w:tc>
        <w:tc>
          <w:tcPr>
            <w:tcW w:w="100" w:type="dxa"/>
            <w:vAlign w:val="bottom"/>
          </w:tcPr>
          <w:p>
            <w:pPr>
              <w:spacing w:after="0"/>
              <w:rPr>
                <w:sz w:val="11"/>
                <w:szCs w:val="11"/>
                <w:color w:val="auto"/>
              </w:rPr>
            </w:pPr>
          </w:p>
        </w:tc>
      </w:tr>
      <w:tr>
        <w:trPr>
          <w:trHeight w:val="128"/>
        </w:trPr>
        <w:tc>
          <w:tcPr>
            <w:tcW w:w="300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1"/>
                <w:szCs w:val="11"/>
                <w:b w:val="1"/>
                <w:bCs w:val="1"/>
                <w:color w:val="auto"/>
              </w:rPr>
              <w:t>Total Cash and Cash Equivalents</w:t>
            </w:r>
          </w:p>
        </w:tc>
        <w:tc>
          <w:tcPr>
            <w:tcW w:w="720" w:type="dxa"/>
            <w:vAlign w:val="bottom"/>
            <w:tcBorders>
              <w:bottom w:val="single" w:sz="8" w:color="CCECFF"/>
            </w:tcBorders>
            <w:shd w:val="clear" w:color="auto" w:fill="CCECFF"/>
          </w:tcPr>
          <w:p>
            <w:pPr>
              <w:spacing w:after="0"/>
              <w:rPr>
                <w:sz w:val="11"/>
                <w:szCs w:val="11"/>
                <w:color w:val="auto"/>
              </w:rPr>
            </w:pPr>
          </w:p>
        </w:tc>
        <w:tc>
          <w:tcPr>
            <w:tcW w:w="2300" w:type="dxa"/>
            <w:vAlign w:val="bottom"/>
            <w:tcBorders>
              <w:bottom w:val="single" w:sz="8" w:color="CCECFF"/>
            </w:tcBorders>
            <w:shd w:val="clear" w:color="auto" w:fill="CCECFF"/>
          </w:tcPr>
          <w:p>
            <w:pPr>
              <w:spacing w:after="0"/>
              <w:rPr>
                <w:sz w:val="11"/>
                <w:szCs w:val="11"/>
                <w:color w:val="auto"/>
              </w:rPr>
            </w:pPr>
          </w:p>
        </w:tc>
        <w:tc>
          <w:tcPr>
            <w:tcW w:w="1500" w:type="dxa"/>
            <w:vAlign w:val="bottom"/>
            <w:tcBorders>
              <w:bottom w:val="single" w:sz="8" w:color="CCECFF"/>
            </w:tcBorders>
            <w:shd w:val="clear" w:color="auto" w:fill="CCECFF"/>
          </w:tcPr>
          <w:p>
            <w:pPr>
              <w:spacing w:after="0"/>
              <w:rPr>
                <w:sz w:val="11"/>
                <w:szCs w:val="11"/>
                <w:color w:val="auto"/>
              </w:rPr>
            </w:pPr>
          </w:p>
        </w:tc>
        <w:tc>
          <w:tcPr>
            <w:tcW w:w="920" w:type="dxa"/>
            <w:vAlign w:val="bottom"/>
            <w:tcBorders>
              <w:bottom w:val="single" w:sz="8" w:color="CCECFF"/>
            </w:tcBorders>
            <w:shd w:val="clear" w:color="auto" w:fill="CCECFF"/>
          </w:tcPr>
          <w:p>
            <w:pPr>
              <w:spacing w:after="0"/>
              <w:rPr>
                <w:sz w:val="11"/>
                <w:szCs w:val="11"/>
                <w:color w:val="auto"/>
              </w:rPr>
            </w:pPr>
          </w:p>
        </w:tc>
        <w:tc>
          <w:tcPr>
            <w:tcW w:w="900" w:type="dxa"/>
            <w:vAlign w:val="bottom"/>
            <w:tcBorders>
              <w:bottom w:val="single" w:sz="8" w:color="CCECFF"/>
            </w:tcBorders>
            <w:shd w:val="clear" w:color="auto" w:fill="CCECFF"/>
          </w:tcPr>
          <w:p>
            <w:pPr>
              <w:spacing w:after="0"/>
              <w:rPr>
                <w:sz w:val="11"/>
                <w:szCs w:val="11"/>
                <w:color w:val="auto"/>
              </w:rPr>
            </w:pPr>
          </w:p>
        </w:tc>
        <w:tc>
          <w:tcPr>
            <w:tcW w:w="200" w:type="dxa"/>
            <w:vAlign w:val="bottom"/>
            <w:tcBorders>
              <w:bottom w:val="single" w:sz="8" w:color="auto"/>
            </w:tcBorders>
            <w:shd w:val="clear" w:color="auto" w:fill="CCECFF"/>
          </w:tcPr>
          <w:p>
            <w:pPr>
              <w:spacing w:after="0"/>
              <w:rPr>
                <w:sz w:val="11"/>
                <w:szCs w:val="11"/>
                <w:color w:val="auto"/>
              </w:rPr>
            </w:pPr>
          </w:p>
        </w:tc>
        <w:tc>
          <w:tcPr>
            <w:tcW w:w="58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49,825</w:t>
            </w:r>
          </w:p>
        </w:tc>
        <w:tc>
          <w:tcPr>
            <w:tcW w:w="220" w:type="dxa"/>
            <w:vAlign w:val="bottom"/>
            <w:tcBorders>
              <w:bottom w:val="single" w:sz="8" w:color="CCECFF"/>
            </w:tcBorders>
            <w:shd w:val="clear" w:color="auto" w:fill="CCECFF"/>
          </w:tcPr>
          <w:p>
            <w:pPr>
              <w:spacing w:after="0"/>
              <w:rPr>
                <w:sz w:val="11"/>
                <w:szCs w:val="11"/>
                <w:color w:val="auto"/>
              </w:rPr>
            </w:pPr>
          </w:p>
        </w:tc>
        <w:tc>
          <w:tcPr>
            <w:tcW w:w="200" w:type="dxa"/>
            <w:vAlign w:val="bottom"/>
            <w:tcBorders>
              <w:bottom w:val="single" w:sz="8" w:color="auto"/>
            </w:tcBorders>
            <w:shd w:val="clear" w:color="auto" w:fill="CCECFF"/>
          </w:tcPr>
          <w:p>
            <w:pPr>
              <w:spacing w:after="0"/>
              <w:rPr>
                <w:sz w:val="11"/>
                <w:szCs w:val="11"/>
                <w:color w:val="auto"/>
              </w:rPr>
            </w:pPr>
          </w:p>
        </w:tc>
        <w:tc>
          <w:tcPr>
            <w:tcW w:w="6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49,825</w:t>
            </w:r>
          </w:p>
        </w:tc>
        <w:tc>
          <w:tcPr>
            <w:tcW w:w="100" w:type="dxa"/>
            <w:vAlign w:val="bottom"/>
            <w:tcBorders>
              <w:bottom w:val="single" w:sz="8" w:color="CCECFF"/>
            </w:tcBorders>
            <w:shd w:val="clear" w:color="auto" w:fill="CCECFF"/>
          </w:tcPr>
          <w:p>
            <w:pPr>
              <w:spacing w:after="0"/>
              <w:rPr>
                <w:sz w:val="11"/>
                <w:szCs w:val="11"/>
                <w:color w:val="auto"/>
              </w:rPr>
            </w:pPr>
          </w:p>
        </w:tc>
      </w:tr>
      <w:tr>
        <w:trPr>
          <w:trHeight w:val="88"/>
        </w:trPr>
        <w:tc>
          <w:tcPr>
            <w:tcW w:w="3000" w:type="dxa"/>
            <w:vAlign w:val="bottom"/>
          </w:tcPr>
          <w:p>
            <w:pPr>
              <w:ind w:left="20"/>
              <w:spacing w:after="0" w:line="88" w:lineRule="exact"/>
              <w:rPr>
                <w:sz w:val="20"/>
                <w:szCs w:val="20"/>
                <w:color w:val="auto"/>
              </w:rPr>
            </w:pPr>
            <w:r>
              <w:rPr>
                <w:rFonts w:ascii="Times New Roman" w:cs="Times New Roman" w:eastAsia="Times New Roman" w:hAnsi="Times New Roman"/>
                <w:sz w:val="10"/>
                <w:szCs w:val="10"/>
                <w:b w:val="1"/>
                <w:bCs w:val="1"/>
                <w:color w:val="auto"/>
              </w:rPr>
              <w:t>Total Investments and Cash Equivalents—</w:t>
            </w:r>
          </w:p>
        </w:tc>
        <w:tc>
          <w:tcPr>
            <w:tcW w:w="720" w:type="dxa"/>
            <w:vAlign w:val="bottom"/>
          </w:tcPr>
          <w:p>
            <w:pPr>
              <w:spacing w:after="0"/>
              <w:rPr>
                <w:sz w:val="7"/>
                <w:szCs w:val="7"/>
                <w:color w:val="auto"/>
              </w:rPr>
            </w:pPr>
          </w:p>
        </w:tc>
        <w:tc>
          <w:tcPr>
            <w:tcW w:w="2300" w:type="dxa"/>
            <w:vAlign w:val="bottom"/>
          </w:tcPr>
          <w:p>
            <w:pPr>
              <w:spacing w:after="0"/>
              <w:rPr>
                <w:sz w:val="7"/>
                <w:szCs w:val="7"/>
                <w:color w:val="auto"/>
              </w:rPr>
            </w:pPr>
          </w:p>
        </w:tc>
        <w:tc>
          <w:tcPr>
            <w:tcW w:w="1500" w:type="dxa"/>
            <w:vAlign w:val="bottom"/>
          </w:tcPr>
          <w:p>
            <w:pPr>
              <w:spacing w:after="0"/>
              <w:rPr>
                <w:sz w:val="7"/>
                <w:szCs w:val="7"/>
                <w:color w:val="auto"/>
              </w:rPr>
            </w:pPr>
          </w:p>
        </w:tc>
        <w:tc>
          <w:tcPr>
            <w:tcW w:w="920" w:type="dxa"/>
            <w:vAlign w:val="bottom"/>
          </w:tcPr>
          <w:p>
            <w:pPr>
              <w:spacing w:after="0"/>
              <w:rPr>
                <w:sz w:val="7"/>
                <w:szCs w:val="7"/>
                <w:color w:val="auto"/>
              </w:rPr>
            </w:pPr>
          </w:p>
        </w:tc>
        <w:tc>
          <w:tcPr>
            <w:tcW w:w="1100" w:type="dxa"/>
            <w:vAlign w:val="bottom"/>
            <w:gridSpan w:val="2"/>
          </w:tcPr>
          <w:p>
            <w:pPr>
              <w:jc w:val="right"/>
              <w:ind w:right="140"/>
              <w:spacing w:after="0" w:line="88" w:lineRule="exact"/>
              <w:rPr>
                <w:sz w:val="20"/>
                <w:szCs w:val="20"/>
                <w:color w:val="auto"/>
              </w:rPr>
            </w:pPr>
            <w:r>
              <w:rPr>
                <w:rFonts w:ascii="Times New Roman" w:cs="Times New Roman" w:eastAsia="Times New Roman" w:hAnsi="Times New Roman"/>
                <w:sz w:val="10"/>
                <w:szCs w:val="10"/>
                <w:color w:val="auto"/>
              </w:rPr>
              <w:t>$</w:t>
            </w:r>
          </w:p>
        </w:tc>
        <w:tc>
          <w:tcPr>
            <w:tcW w:w="580" w:type="dxa"/>
            <w:vAlign w:val="bottom"/>
          </w:tcPr>
          <w:p>
            <w:pPr>
              <w:jc w:val="right"/>
              <w:spacing w:after="0" w:line="88" w:lineRule="exact"/>
              <w:rPr>
                <w:sz w:val="20"/>
                <w:szCs w:val="20"/>
                <w:color w:val="auto"/>
              </w:rPr>
            </w:pPr>
            <w:r>
              <w:rPr>
                <w:rFonts w:ascii="Times New Roman" w:cs="Times New Roman" w:eastAsia="Times New Roman" w:hAnsi="Times New Roman"/>
                <w:sz w:val="10"/>
                <w:szCs w:val="10"/>
                <w:color w:val="auto"/>
              </w:rPr>
              <w:t>1,120,461</w:t>
            </w:r>
          </w:p>
        </w:tc>
        <w:tc>
          <w:tcPr>
            <w:tcW w:w="420" w:type="dxa"/>
            <w:vAlign w:val="bottom"/>
            <w:gridSpan w:val="2"/>
          </w:tcPr>
          <w:p>
            <w:pPr>
              <w:jc w:val="right"/>
              <w:ind w:right="140"/>
              <w:spacing w:after="0" w:line="88" w:lineRule="exact"/>
              <w:rPr>
                <w:sz w:val="20"/>
                <w:szCs w:val="20"/>
                <w:color w:val="auto"/>
              </w:rPr>
            </w:pPr>
            <w:r>
              <w:rPr>
                <w:rFonts w:ascii="Times New Roman" w:cs="Times New Roman" w:eastAsia="Times New Roman" w:hAnsi="Times New Roman"/>
                <w:sz w:val="10"/>
                <w:szCs w:val="10"/>
                <w:color w:val="auto"/>
              </w:rPr>
              <w:t>$</w:t>
            </w:r>
          </w:p>
        </w:tc>
        <w:tc>
          <w:tcPr>
            <w:tcW w:w="600" w:type="dxa"/>
            <w:vAlign w:val="bottom"/>
          </w:tcPr>
          <w:p>
            <w:pPr>
              <w:jc w:val="right"/>
              <w:spacing w:after="0" w:line="88" w:lineRule="exact"/>
              <w:rPr>
                <w:sz w:val="20"/>
                <w:szCs w:val="20"/>
                <w:color w:val="auto"/>
              </w:rPr>
            </w:pPr>
            <w:r>
              <w:rPr>
                <w:rFonts w:ascii="Times New Roman" w:cs="Times New Roman" w:eastAsia="Times New Roman" w:hAnsi="Times New Roman"/>
                <w:sz w:val="10"/>
                <w:szCs w:val="10"/>
                <w:color w:val="auto"/>
              </w:rPr>
              <w:t>1,131,444</w:t>
            </w:r>
          </w:p>
        </w:tc>
        <w:tc>
          <w:tcPr>
            <w:tcW w:w="100" w:type="dxa"/>
            <w:vAlign w:val="bottom"/>
          </w:tcPr>
          <w:p>
            <w:pPr>
              <w:spacing w:after="0"/>
              <w:rPr>
                <w:sz w:val="7"/>
                <w:szCs w:val="7"/>
                <w:color w:val="auto"/>
              </w:rPr>
            </w:pPr>
          </w:p>
        </w:tc>
      </w:tr>
      <w:tr>
        <w:trPr>
          <w:trHeight w:val="122"/>
        </w:trPr>
        <w:tc>
          <w:tcPr>
            <w:tcW w:w="3000" w:type="dxa"/>
            <w:vAlign w:val="bottom"/>
          </w:tcPr>
          <w:p>
            <w:pPr>
              <w:ind w:left="20"/>
              <w:spacing w:after="0" w:line="122" w:lineRule="exact"/>
              <w:rPr>
                <w:sz w:val="20"/>
                <w:szCs w:val="20"/>
                <w:color w:val="auto"/>
              </w:rPr>
            </w:pPr>
            <w:r>
              <w:rPr>
                <w:rFonts w:ascii="Times New Roman" w:cs="Times New Roman" w:eastAsia="Times New Roman" w:hAnsi="Times New Roman"/>
                <w:sz w:val="11"/>
                <w:szCs w:val="11"/>
                <w:b w:val="1"/>
                <w:bCs w:val="1"/>
                <w:color w:val="auto"/>
              </w:rPr>
              <w:t>230.6%</w:t>
            </w:r>
          </w:p>
        </w:tc>
        <w:tc>
          <w:tcPr>
            <w:tcW w:w="720" w:type="dxa"/>
            <w:vAlign w:val="bottom"/>
          </w:tcPr>
          <w:p>
            <w:pPr>
              <w:spacing w:after="0"/>
              <w:rPr>
                <w:sz w:val="10"/>
                <w:szCs w:val="10"/>
                <w:color w:val="auto"/>
              </w:rPr>
            </w:pPr>
          </w:p>
        </w:tc>
        <w:tc>
          <w:tcPr>
            <w:tcW w:w="230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r>
      <w:tr>
        <w:trPr>
          <w:trHeight w:val="20"/>
        </w:trPr>
        <w:tc>
          <w:tcPr>
            <w:tcW w:w="30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16"/>
        </w:trPr>
        <w:tc>
          <w:tcPr>
            <w:tcW w:w="3000" w:type="dxa"/>
            <w:vAlign w:val="bottom"/>
            <w:tcBorders>
              <w:bottom w:val="single" w:sz="8" w:color="CCECFF"/>
            </w:tcBorders>
            <w:shd w:val="clear" w:color="auto" w:fill="CCECFF"/>
          </w:tcPr>
          <w:p>
            <w:pPr>
              <w:ind w:left="20"/>
              <w:spacing w:after="0" w:line="116" w:lineRule="exact"/>
              <w:rPr>
                <w:sz w:val="20"/>
                <w:szCs w:val="20"/>
                <w:color w:val="auto"/>
              </w:rPr>
            </w:pPr>
            <w:r>
              <w:rPr>
                <w:rFonts w:ascii="Times New Roman" w:cs="Times New Roman" w:eastAsia="Times New Roman" w:hAnsi="Times New Roman"/>
                <w:sz w:val="11"/>
                <w:szCs w:val="11"/>
                <w:b w:val="1"/>
                <w:bCs w:val="1"/>
                <w:color w:val="auto"/>
              </w:rPr>
              <w:t>Liabilities in Excess of Other Assets—(130.6)%</w:t>
            </w:r>
          </w:p>
        </w:tc>
        <w:tc>
          <w:tcPr>
            <w:tcW w:w="720" w:type="dxa"/>
            <w:vAlign w:val="bottom"/>
            <w:tcBorders>
              <w:bottom w:val="single" w:sz="8" w:color="CCECFF"/>
            </w:tcBorders>
            <w:shd w:val="clear" w:color="auto" w:fill="CCECFF"/>
          </w:tcPr>
          <w:p>
            <w:pPr>
              <w:spacing w:after="0"/>
              <w:rPr>
                <w:sz w:val="10"/>
                <w:szCs w:val="10"/>
                <w:color w:val="auto"/>
              </w:rPr>
            </w:pPr>
          </w:p>
        </w:tc>
        <w:tc>
          <w:tcPr>
            <w:tcW w:w="2300" w:type="dxa"/>
            <w:vAlign w:val="bottom"/>
            <w:tcBorders>
              <w:bottom w:val="single" w:sz="8" w:color="CCECFF"/>
            </w:tcBorders>
            <w:shd w:val="clear" w:color="auto" w:fill="CCECFF"/>
          </w:tcPr>
          <w:p>
            <w:pPr>
              <w:spacing w:after="0"/>
              <w:rPr>
                <w:sz w:val="10"/>
                <w:szCs w:val="10"/>
                <w:color w:val="auto"/>
              </w:rPr>
            </w:pPr>
          </w:p>
        </w:tc>
        <w:tc>
          <w:tcPr>
            <w:tcW w:w="1500" w:type="dxa"/>
            <w:vAlign w:val="bottom"/>
            <w:tcBorders>
              <w:bottom w:val="single" w:sz="8" w:color="CCECFF"/>
            </w:tcBorders>
            <w:shd w:val="clear" w:color="auto" w:fill="CCECFF"/>
          </w:tcPr>
          <w:p>
            <w:pPr>
              <w:spacing w:after="0"/>
              <w:rPr>
                <w:sz w:val="10"/>
                <w:szCs w:val="10"/>
                <w:color w:val="auto"/>
              </w:rPr>
            </w:pPr>
          </w:p>
        </w:tc>
        <w:tc>
          <w:tcPr>
            <w:tcW w:w="920" w:type="dxa"/>
            <w:vAlign w:val="bottom"/>
            <w:tcBorders>
              <w:bottom w:val="single" w:sz="8" w:color="CCECFF"/>
            </w:tcBorders>
            <w:shd w:val="clear" w:color="auto" w:fill="CCECFF"/>
          </w:tcPr>
          <w:p>
            <w:pPr>
              <w:spacing w:after="0"/>
              <w:rPr>
                <w:sz w:val="10"/>
                <w:szCs w:val="10"/>
                <w:color w:val="auto"/>
              </w:rPr>
            </w:pPr>
          </w:p>
        </w:tc>
        <w:tc>
          <w:tcPr>
            <w:tcW w:w="900" w:type="dxa"/>
            <w:vAlign w:val="bottom"/>
            <w:tcBorders>
              <w:bottom w:val="single" w:sz="8" w:color="CCECFF"/>
            </w:tcBorders>
            <w:shd w:val="clear" w:color="auto" w:fill="CCECFF"/>
          </w:tcPr>
          <w:p>
            <w:pPr>
              <w:spacing w:after="0"/>
              <w:rPr>
                <w:sz w:val="10"/>
                <w:szCs w:val="10"/>
                <w:color w:val="auto"/>
              </w:rPr>
            </w:pPr>
          </w:p>
        </w:tc>
        <w:tc>
          <w:tcPr>
            <w:tcW w:w="200" w:type="dxa"/>
            <w:vAlign w:val="bottom"/>
            <w:tcBorders>
              <w:bottom w:val="single" w:sz="8" w:color="CCECFF"/>
            </w:tcBorders>
            <w:shd w:val="clear" w:color="auto" w:fill="CCECFF"/>
          </w:tcPr>
          <w:p>
            <w:pPr>
              <w:spacing w:after="0"/>
              <w:rPr>
                <w:sz w:val="10"/>
                <w:szCs w:val="10"/>
                <w:color w:val="auto"/>
              </w:rPr>
            </w:pPr>
          </w:p>
        </w:tc>
        <w:tc>
          <w:tcPr>
            <w:tcW w:w="580" w:type="dxa"/>
            <w:vAlign w:val="bottom"/>
            <w:tcBorders>
              <w:bottom w:val="single" w:sz="8" w:color="CCECFF"/>
            </w:tcBorders>
            <w:shd w:val="clear" w:color="auto" w:fill="CCECFF"/>
          </w:tcPr>
          <w:p>
            <w:pPr>
              <w:spacing w:after="0"/>
              <w:rPr>
                <w:sz w:val="10"/>
                <w:szCs w:val="10"/>
                <w:color w:val="auto"/>
              </w:rPr>
            </w:pPr>
          </w:p>
        </w:tc>
        <w:tc>
          <w:tcPr>
            <w:tcW w:w="220" w:type="dxa"/>
            <w:vAlign w:val="bottom"/>
            <w:tcBorders>
              <w:bottom w:val="single" w:sz="8" w:color="CCECFF"/>
            </w:tcBorders>
            <w:shd w:val="clear" w:color="auto" w:fill="CCECFF"/>
          </w:tcPr>
          <w:p>
            <w:pPr>
              <w:spacing w:after="0"/>
              <w:rPr>
                <w:sz w:val="10"/>
                <w:szCs w:val="10"/>
                <w:color w:val="auto"/>
              </w:rPr>
            </w:pPr>
          </w:p>
        </w:tc>
        <w:tc>
          <w:tcPr>
            <w:tcW w:w="200" w:type="dxa"/>
            <w:vAlign w:val="bottom"/>
            <w:tcBorders>
              <w:bottom w:val="single" w:sz="8" w:color="auto"/>
            </w:tcBorders>
            <w:shd w:val="clear" w:color="auto" w:fill="CCECFF"/>
          </w:tcPr>
          <w:p>
            <w:pPr>
              <w:spacing w:after="0"/>
              <w:rPr>
                <w:sz w:val="10"/>
                <w:szCs w:val="10"/>
                <w:color w:val="auto"/>
              </w:rPr>
            </w:pPr>
          </w:p>
        </w:tc>
        <w:tc>
          <w:tcPr>
            <w:tcW w:w="600" w:type="dxa"/>
            <w:vAlign w:val="bottom"/>
            <w:tcBorders>
              <w:bottom w:val="single" w:sz="8" w:color="auto"/>
            </w:tcBorders>
            <w:shd w:val="clear" w:color="auto" w:fill="CCECFF"/>
          </w:tcPr>
          <w:p>
            <w:pPr>
              <w:jc w:val="right"/>
              <w:spacing w:after="0" w:line="116" w:lineRule="exact"/>
              <w:rPr>
                <w:sz w:val="20"/>
                <w:szCs w:val="20"/>
                <w:color w:val="auto"/>
              </w:rPr>
            </w:pPr>
            <w:r>
              <w:rPr>
                <w:rFonts w:ascii="Times New Roman" w:cs="Times New Roman" w:eastAsia="Times New Roman" w:hAnsi="Times New Roman"/>
                <w:sz w:val="11"/>
                <w:szCs w:val="11"/>
                <w:color w:val="auto"/>
              </w:rPr>
              <w:t>(640,833</w:t>
            </w:r>
          </w:p>
        </w:tc>
        <w:tc>
          <w:tcPr>
            <w:tcW w:w="100" w:type="dxa"/>
            <w:vAlign w:val="bottom"/>
            <w:tcBorders>
              <w:bottom w:val="single" w:sz="8" w:color="CCECFF"/>
            </w:tcBorders>
            <w:shd w:val="clear" w:color="auto" w:fill="CCECFF"/>
          </w:tcPr>
          <w:p>
            <w:pPr>
              <w:jc w:val="right"/>
              <w:ind w:right="22"/>
              <w:spacing w:after="0"/>
              <w:rPr>
                <w:sz w:val="20"/>
                <w:szCs w:val="20"/>
                <w:color w:val="auto"/>
              </w:rPr>
            </w:pPr>
            <w:r>
              <w:rPr>
                <w:rFonts w:ascii="Times New Roman" w:cs="Times New Roman" w:eastAsia="Times New Roman" w:hAnsi="Times New Roman"/>
                <w:sz w:val="8"/>
                <w:szCs w:val="8"/>
                <w:color w:val="auto"/>
                <w:w w:val="73"/>
              </w:rPr>
              <w:t>)</w:t>
            </w:r>
          </w:p>
        </w:tc>
      </w:tr>
      <w:tr>
        <w:trPr>
          <w:trHeight w:val="128"/>
        </w:trPr>
        <w:tc>
          <w:tcPr>
            <w:tcW w:w="300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Net Assets—100.0%</w:t>
            </w:r>
          </w:p>
        </w:tc>
        <w:tc>
          <w:tcPr>
            <w:tcW w:w="720" w:type="dxa"/>
            <w:vAlign w:val="bottom"/>
          </w:tcPr>
          <w:p>
            <w:pPr>
              <w:spacing w:after="0"/>
              <w:rPr>
                <w:sz w:val="11"/>
                <w:szCs w:val="11"/>
                <w:color w:val="auto"/>
              </w:rPr>
            </w:pPr>
          </w:p>
        </w:tc>
        <w:tc>
          <w:tcPr>
            <w:tcW w:w="230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490,611</w:t>
            </w:r>
          </w:p>
        </w:tc>
        <w:tc>
          <w:tcPr>
            <w:tcW w:w="100" w:type="dxa"/>
            <w:vAlign w:val="bottom"/>
          </w:tcPr>
          <w:p>
            <w:pPr>
              <w:spacing w:after="0"/>
              <w:rPr>
                <w:sz w:val="11"/>
                <w:szCs w:val="11"/>
                <w:color w:val="auto"/>
              </w:rPr>
            </w:pPr>
          </w:p>
        </w:tc>
      </w:tr>
      <w:tr>
        <w:trPr>
          <w:trHeight w:val="20"/>
        </w:trPr>
        <w:tc>
          <w:tcPr>
            <w:tcW w:w="30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6425565</wp:posOffset>
            </wp:positionH>
            <wp:positionV relativeFrom="paragraph">
              <wp:posOffset>-925195</wp:posOffset>
            </wp:positionV>
            <wp:extent cx="68580" cy="10287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68580" cy="10287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-925195</wp:posOffset>
            </wp:positionV>
            <wp:extent cx="68580" cy="10287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68580" cy="102870"/>
                    </a:xfrm>
                    <a:prstGeom prst="rect">
                      <a:avLst/>
                    </a:prstGeom>
                    <a:noFill/>
                  </pic:spPr>
                </pic:pic>
              </a:graphicData>
            </a:graphic>
          </wp:anchor>
        </w:drawing>
        <w:drawing>
          <wp:anchor simplePos="0" relativeHeight="251657728" behindDoc="1" locked="0" layoutInCell="0" allowOverlap="1">
            <wp:simplePos x="0" y="0"/>
            <wp:positionH relativeFrom="column">
              <wp:posOffset>6425565</wp:posOffset>
            </wp:positionH>
            <wp:positionV relativeFrom="paragraph">
              <wp:posOffset>-736600</wp:posOffset>
            </wp:positionV>
            <wp:extent cx="68580" cy="9461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68580" cy="946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-736600</wp:posOffset>
            </wp:positionV>
            <wp:extent cx="68580" cy="9461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68580" cy="94615"/>
                    </a:xfrm>
                    <a:prstGeom prst="rect">
                      <a:avLst/>
                    </a:prstGeom>
                    <a:noFill/>
                  </pic:spPr>
                </pic:pic>
              </a:graphicData>
            </a:graphic>
          </wp:anchor>
        </w:drawing>
        <w:drawing>
          <wp:anchor simplePos="0" relativeHeight="251657728" behindDoc="1" locked="0" layoutInCell="0" allowOverlap="1">
            <wp:simplePos x="0" y="0"/>
            <wp:positionH relativeFrom="column">
              <wp:posOffset>6425565</wp:posOffset>
            </wp:positionH>
            <wp:positionV relativeFrom="paragraph">
              <wp:posOffset>-376555</wp:posOffset>
            </wp:positionV>
            <wp:extent cx="68580" cy="17145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-376555</wp:posOffset>
            </wp:positionV>
            <wp:extent cx="68580" cy="17145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-119380</wp:posOffset>
            </wp:positionV>
            <wp:extent cx="68580" cy="12001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668655</wp:posOffset>
            </wp:positionV>
            <wp:extent cx="1191260" cy="825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11912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380" w:right="20" w:hanging="372"/>
        <w:spacing w:after="0" w:line="235" w:lineRule="auto"/>
        <w:tabs>
          <w:tab w:leader="none" w:pos="380"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Represents floating rate instruments that accrue interest at a predetermined spread relative to an index, typically the applicable LIBOR or “L” or Prime rate, or “P.” The spread may change based on the type of rate used. The terms in the Schedule of Investments disclose the actual interest rate in effect as of the reporting period. LIBOR loans are typically indexed to a 30-day, 60-day, 90-day or 180-day LIBOR rate (1M L, 2M L, 3M L, or 6M L, respectively), at the borrower’s option. All securities are subject to a LIBOR or Prime rate floor where a spread is provided, unless noted. The spread provided includes PIK interest and other fee rates, if any.</w:t>
      </w:r>
    </w:p>
    <w:p>
      <w:pPr>
        <w:spacing w:after="0" w:line="26" w:lineRule="exact"/>
        <w:rPr>
          <w:rFonts w:ascii="Times New Roman" w:cs="Times New Roman" w:eastAsia="Times New Roman" w:hAnsi="Times New Roman"/>
          <w:sz w:val="12"/>
          <w:szCs w:val="12"/>
          <w:color w:val="auto"/>
        </w:rPr>
      </w:pPr>
    </w:p>
    <w:p>
      <w:pPr>
        <w:ind w:left="380" w:hanging="372"/>
        <w:spacing w:after="0"/>
        <w:tabs>
          <w:tab w:leader="none" w:pos="380"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Valued based on our accounting policy (See Note 2). The value of all securities was determined using significant unobservable inputs (See Note 5).</w:t>
      </w:r>
    </w:p>
    <w:p>
      <w:pPr>
        <w:spacing w:after="0" w:line="37" w:lineRule="exact"/>
        <w:rPr>
          <w:rFonts w:ascii="Times New Roman" w:cs="Times New Roman" w:eastAsia="Times New Roman" w:hAnsi="Times New Roman"/>
          <w:sz w:val="12"/>
          <w:szCs w:val="12"/>
          <w:color w:val="auto"/>
        </w:rPr>
      </w:pPr>
    </w:p>
    <w:p>
      <w:pPr>
        <w:ind w:left="380" w:right="220" w:hanging="372"/>
        <w:spacing w:after="0" w:line="255" w:lineRule="auto"/>
        <w:tabs>
          <w:tab w:leader="none" w:pos="380"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provisions of the 1940 Act classify investments based on the level of control that we maintain in a particular portfolio company. As defined in the 1940 Act, a company is generally presumed to be “non-controlled” when we own 25% or less of the portfolio company’s voting securities and “controlled” when we own more than 25% of the portfolio company’s voting securities.</w:t>
      </w:r>
    </w:p>
    <w:p>
      <w:pPr>
        <w:spacing w:after="0" w:line="3" w:lineRule="exact"/>
        <w:rPr>
          <w:rFonts w:ascii="Times New Roman" w:cs="Times New Roman" w:eastAsia="Times New Roman" w:hAnsi="Times New Roman"/>
          <w:sz w:val="12"/>
          <w:szCs w:val="12"/>
          <w:color w:val="auto"/>
        </w:rPr>
      </w:pPr>
    </w:p>
    <w:p>
      <w:pPr>
        <w:ind w:left="380" w:hanging="372"/>
        <w:spacing w:after="0" w:line="255" w:lineRule="auto"/>
        <w:tabs>
          <w:tab w:leader="none" w:pos="380"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provisions of the 1940 Act classify investments further based on the level of ownership that we maintain in a particular portfolio company. As defined in the 1940 Act, a company is generally deemed as “non-affiliated” when we own less than 5% of a portfolio company’s voting securities and “affiliated” when we own 5% or more of a portfolio company’s voting securities.</w:t>
      </w:r>
    </w:p>
    <w:p>
      <w:pPr>
        <w:spacing w:after="0" w:line="17" w:lineRule="exact"/>
        <w:rPr>
          <w:rFonts w:ascii="Times New Roman" w:cs="Times New Roman" w:eastAsia="Times New Roman" w:hAnsi="Times New Roman"/>
          <w:sz w:val="12"/>
          <w:szCs w:val="12"/>
          <w:color w:val="auto"/>
        </w:rPr>
      </w:pPr>
    </w:p>
    <w:p>
      <w:pPr>
        <w:ind w:left="380" w:hanging="372"/>
        <w:spacing w:after="0"/>
        <w:tabs>
          <w:tab w:leader="none" w:pos="380"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Non-U.S. company or principal place of business outside the United States.</w:t>
      </w:r>
    </w:p>
    <w:p>
      <w:pPr>
        <w:spacing w:after="0" w:line="24" w:lineRule="exact"/>
        <w:rPr>
          <w:rFonts w:ascii="Times New Roman" w:cs="Times New Roman" w:eastAsia="Times New Roman" w:hAnsi="Times New Roman"/>
          <w:sz w:val="12"/>
          <w:szCs w:val="12"/>
          <w:color w:val="auto"/>
        </w:rPr>
      </w:pPr>
    </w:p>
    <w:p>
      <w:pPr>
        <w:ind w:left="380" w:hanging="372"/>
        <w:spacing w:after="0"/>
        <w:tabs>
          <w:tab w:leader="none" w:pos="380"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Non-income producing securities.</w:t>
      </w:r>
    </w:p>
    <w:p>
      <w:pPr>
        <w:spacing w:after="0" w:line="37" w:lineRule="exact"/>
        <w:rPr>
          <w:rFonts w:ascii="Times New Roman" w:cs="Times New Roman" w:eastAsia="Times New Roman" w:hAnsi="Times New Roman"/>
          <w:sz w:val="12"/>
          <w:szCs w:val="12"/>
          <w:color w:val="auto"/>
        </w:rPr>
      </w:pPr>
    </w:p>
    <w:p>
      <w:pPr>
        <w:ind w:left="380" w:hanging="372"/>
        <w:spacing w:after="0"/>
        <w:tabs>
          <w:tab w:leader="none" w:pos="380"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securities, or a portion thereof, are not 1) pledged as collateral under the Credit Facility and held through Funding I; or 2) securing the 2031 Asset-Backed Debt (See Note 11) and held through PennantPark CLO I, Ltd.</w:t>
      </w:r>
    </w:p>
    <w:p>
      <w:pPr>
        <w:spacing w:after="0" w:line="37" w:lineRule="exact"/>
        <w:rPr>
          <w:rFonts w:ascii="Times New Roman" w:cs="Times New Roman" w:eastAsia="Times New Roman" w:hAnsi="Times New Roman"/>
          <w:sz w:val="12"/>
          <w:szCs w:val="12"/>
          <w:color w:val="auto"/>
        </w:rPr>
      </w:pPr>
    </w:p>
    <w:p>
      <w:pPr>
        <w:ind w:left="380" w:hanging="372"/>
        <w:spacing w:after="0"/>
        <w:tabs>
          <w:tab w:leader="none" w:pos="380"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Investment is held through our Taxable Subsidiary (See Note 1).</w:t>
      </w:r>
    </w:p>
    <w:p>
      <w:pPr>
        <w:spacing w:after="0" w:line="9" w:lineRule="exact"/>
        <w:rPr>
          <w:rFonts w:ascii="Times New Roman" w:cs="Times New Roman" w:eastAsia="Times New Roman" w:hAnsi="Times New Roman"/>
          <w:sz w:val="12"/>
          <w:szCs w:val="12"/>
          <w:color w:val="auto"/>
        </w:rPr>
      </w:pPr>
    </w:p>
    <w:p>
      <w:pPr>
        <w:ind w:left="380" w:hanging="372"/>
        <w:spacing w:after="0"/>
        <w:tabs>
          <w:tab w:leader="none" w:pos="380"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Represents the purchase of a security with delayed settlement or a revolving line of credit that is currently an unfunded investment. This security does not earn a basis point spread above an index while it is unfunded.</w:t>
      </w:r>
    </w:p>
    <w:p>
      <w:pPr>
        <w:spacing w:after="0" w:line="12" w:lineRule="exact"/>
        <w:rPr>
          <w:rFonts w:ascii="Times New Roman" w:cs="Times New Roman" w:eastAsia="Times New Roman" w:hAnsi="Times New Roman"/>
          <w:sz w:val="12"/>
          <w:szCs w:val="12"/>
          <w:color w:val="auto"/>
        </w:rPr>
      </w:pPr>
    </w:p>
    <w:p>
      <w:pPr>
        <w:ind w:left="380" w:right="20" w:hanging="372"/>
        <w:spacing w:after="0" w:line="245" w:lineRule="auto"/>
        <w:tabs>
          <w:tab w:leader="none" w:pos="380"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investment is treated as a non-qualifying asset under Section 55(a) of the 1940 Act. Under the 1940 Act, we may not acquire any non-qualifying asset unless, at the time the acquisition is made, qualifying assets represent at least 70% of our total assets. As of September 30, 2021, qualifying assets represent 81% of our total assets and non-qualifying assets represent 19% of our total assets.</w:t>
      </w:r>
    </w:p>
    <w:p>
      <w:pPr>
        <w:spacing w:after="0"/>
        <w:rPr>
          <w:sz w:val="20"/>
          <w:szCs w:val="20"/>
          <w:color w:val="auto"/>
        </w:rPr>
      </w:pPr>
      <w:r>
        <w:rPr>
          <w:rFonts w:ascii="Times New Roman" w:cs="Times New Roman" w:eastAsia="Times New Roman" w:hAnsi="Times New Roman"/>
          <w:sz w:val="12"/>
          <w:szCs w:val="12"/>
          <w:color w:val="auto"/>
        </w:rPr>
        <w:t>Par amount is denominated in Canadian Dollars (C$) as denoted.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type w:val="continuous"/>
        </w:sectPr>
      </w:pPr>
    </w:p>
    <w:bookmarkStart w:id="23" w:name="page24"/>
    <w:bookmarkEnd w:id="2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1)"/>
      <w:numFmt w:val="lowerLetter"/>
      <w:start w:val="1"/>
    </w:lvl>
  </w:abstractNum>
  <w:abstractNum w:abstractNumId="2">
    <w:nsid w:val="46E87CCD"/>
    <w:multiLevelType w:val="hybridMultilevel"/>
    <w:lvl w:ilvl="0">
      <w:lvlJc w:val="left"/>
      <w:lvlText w:val="(%1)"/>
      <w:numFmt w:val="decimal"/>
      <w:start w:val="1"/>
    </w:lvl>
  </w:abstractNum>
  <w:abstractNum w:abstractNumId="3">
    <w:nsid w:val="3D1B58BA"/>
    <w:multiLevelType w:val="hybridMultilevel"/>
    <w:lvl w:ilvl="0">
      <w:lvlJc w:val="left"/>
      <w:lvlText w:val="(%1)"/>
      <w:numFmt w:val="decimal"/>
      <w:start w:val="888"/>
    </w:lvl>
  </w:abstractNum>
  <w:abstractNum w:abstractNumId="4">
    <w:nsid w:val="507ED7AB"/>
    <w:multiLevelType w:val="hybridMultilevel"/>
    <w:lvl w:ilvl="0">
      <w:lvlJc w:val="left"/>
      <w:lvlText w:val="(%1)"/>
      <w:numFmt w:val="decimal"/>
      <w:start w:val="212"/>
    </w:lvl>
  </w:abstractNum>
  <w:abstractNum w:abstractNumId="5">
    <w:nsid w:val="2EB141F2"/>
    <w:multiLevelType w:val="hybridMultilevel"/>
    <w:lvl w:ilvl="0">
      <w:lvlJc w:val="left"/>
      <w:lvlText w:val="(%1)"/>
      <w:numFmt w:val="decimal"/>
      <w:start w:val="1"/>
    </w:lvl>
  </w:abstractNum>
  <w:abstractNum w:abstractNumId="6">
    <w:nsid w:val="41B71E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2022-11-16T15:11:33Z</dcterms:created>
  <dcterms:modified xsi:type="dcterms:W3CDTF">2022-11-16T15:11:33Z</dcterms:modified>
</cp:coreProperties>
</file>