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28, 2021</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28, 2021, PennantPark Floating Rate Capital Ltd. issued a press release, a copy of which is furnished as Exhibit 99.1to this report on Form 8-K.</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00" w:hanging="547"/>
        <w:spacing w:after="0" w:line="250" w:lineRule="auto"/>
        <w:tabs>
          <w:tab w:leader="none" w:pos="32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780" w:hanging="547"/>
        <w:spacing w:after="0" w:line="250" w:lineRule="auto"/>
        <w:tabs>
          <w:tab w:leader="none" w:pos="305"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320" w:hanging="267"/>
        <w:spacing w:after="0"/>
        <w:tabs>
          <w:tab w:leader="none" w:pos="32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Floating Rate Capital Ltd. Dated January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2021</w:t>
            </w:r>
          </w:p>
        </w:tc>
        <w:tc>
          <w:tcPr>
            <w:tcW w:w="50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46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PennantPark Floating Rate Capital Ltd.’s Unconsolidated Joint Venture, PennantPark Senior Secured Loan Fund I, LLC Completes $300.7 Million CLO</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Jan. 28, 2021 (GLOBE NEWSWIRE) -- PennantPark Floating Rate Capital Ltd. (the “Company”) (NASDAQ: PFLT) (TASE: PFLT) today announced that PennantPark Senior Secured Loan Fund I, LLC, “PSSL”, through PSSL’s wholly-owned and consolidated subsidiary, PennantPark CLO II, Ltd. has closed a three-year reinvestment period, eleven-year final maturity $300.7 million debt securitization in the form of a collateralized loan obligation (“CLO”). The debt issued in the CLO (the “Debt”) is structured in the following manner: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2"/>
                <w:szCs w:val="22"/>
                <w:color w:val="auto"/>
              </w:rPr>
            </w:pPr>
          </w:p>
        </w:tc>
        <w:tc>
          <w:tcPr>
            <w:tcW w:w="208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9"/>
              </w:rPr>
              <w:t>Par Amount</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 of Capital</w:t>
            </w:r>
          </w:p>
        </w:tc>
        <w:tc>
          <w:tcPr>
            <w:tcW w:w="1800" w:type="dxa"/>
            <w:vAlign w:val="bottom"/>
          </w:tcPr>
          <w:p>
            <w:pPr>
              <w:spacing w:after="0"/>
              <w:rPr>
                <w:sz w:val="22"/>
                <w:szCs w:val="22"/>
                <w:color w:val="auto"/>
              </w:rPr>
            </w:pP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Expected Rating</w:t>
            </w:r>
          </w:p>
        </w:tc>
        <w:tc>
          <w:tcPr>
            <w:tcW w:w="17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Issuance</w:t>
            </w:r>
          </w:p>
        </w:tc>
      </w:tr>
      <w:tr>
        <w:trPr>
          <w:trHeight w:val="283"/>
        </w:trPr>
        <w:tc>
          <w:tcPr>
            <w:tcW w:w="17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Class</w:t>
            </w:r>
          </w:p>
        </w:tc>
        <w:tc>
          <w:tcPr>
            <w:tcW w:w="208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6"/>
              </w:rPr>
              <w:t>($ in millions)</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Structure</w:t>
            </w:r>
          </w:p>
        </w:tc>
        <w:tc>
          <w:tcPr>
            <w:tcW w:w="18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color w:val="auto"/>
                <w:w w:val="97"/>
              </w:rPr>
              <w:t>Coupon</w:t>
            </w:r>
          </w:p>
        </w:tc>
        <w:tc>
          <w:tcPr>
            <w:tcW w:w="20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color w:val="auto"/>
                <w:w w:val="99"/>
              </w:rPr>
              <w:t>(S&amp;P)</w:t>
            </w:r>
          </w:p>
        </w:tc>
        <w:tc>
          <w:tcPr>
            <w:tcW w:w="1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2"/>
                <w:szCs w:val="22"/>
                <w:color w:val="auto"/>
              </w:rPr>
              <w:t>Price</w:t>
            </w:r>
          </w:p>
        </w:tc>
      </w:tr>
      <w:tr>
        <w:trPr>
          <w:trHeight w:val="223"/>
        </w:trPr>
        <w:tc>
          <w:tcPr>
            <w:tcW w:w="170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A-1 Notes</w:t>
            </w:r>
          </w:p>
        </w:tc>
        <w:tc>
          <w:tcPr>
            <w:tcW w:w="2080" w:type="dxa"/>
            <w:vAlign w:val="bottom"/>
          </w:tcPr>
          <w:p>
            <w:pPr>
              <w:jc w:val="center"/>
              <w:ind w:left="72"/>
              <w:spacing w:after="0" w:line="223" w:lineRule="exact"/>
              <w:rPr>
                <w:sz w:val="20"/>
                <w:szCs w:val="20"/>
                <w:color w:val="auto"/>
              </w:rPr>
            </w:pPr>
            <w:r>
              <w:rPr>
                <w:rFonts w:ascii="Times New Roman" w:cs="Times New Roman" w:eastAsia="Times New Roman" w:hAnsi="Times New Roman"/>
                <w:sz w:val="22"/>
                <w:szCs w:val="22"/>
                <w:color w:val="auto"/>
                <w:w w:val="98"/>
              </w:rPr>
              <w:t>41,000,000</w:t>
            </w:r>
          </w:p>
        </w:tc>
        <w:tc>
          <w:tcPr>
            <w:tcW w:w="1820" w:type="dxa"/>
            <w:vAlign w:val="bottom"/>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13.6%</w:t>
            </w:r>
          </w:p>
        </w:tc>
        <w:tc>
          <w:tcPr>
            <w:tcW w:w="1800" w:type="dxa"/>
            <w:vAlign w:val="bottom"/>
          </w:tcPr>
          <w:p>
            <w:pPr>
              <w:jc w:val="center"/>
              <w:ind w:left="12"/>
              <w:spacing w:after="0" w:line="22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AAA</w:t>
            </w:r>
          </w:p>
        </w:tc>
        <w:tc>
          <w:tcPr>
            <w:tcW w:w="1760" w:type="dxa"/>
            <w:vAlign w:val="bottom"/>
          </w:tcPr>
          <w:p>
            <w:pPr>
              <w:ind w:left="400"/>
              <w:spacing w:after="0" w:line="22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+ 1.90%</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3"/>
        </w:trPr>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A-1 Loans</w:t>
            </w:r>
          </w:p>
        </w:tc>
        <w:tc>
          <w:tcPr>
            <w:tcW w:w="20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color w:val="auto"/>
                <w:w w:val="98"/>
              </w:rPr>
              <w:t>130,000,000</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43.2%</w:t>
            </w:r>
          </w:p>
        </w:tc>
        <w:tc>
          <w:tcPr>
            <w:tcW w:w="18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AAA</w:t>
            </w:r>
          </w:p>
        </w:tc>
        <w:tc>
          <w:tcPr>
            <w:tcW w:w="17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+ 1.90%</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3"/>
        </w:trPr>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A-2</w:t>
            </w:r>
          </w:p>
        </w:tc>
        <w:tc>
          <w:tcPr>
            <w:tcW w:w="20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7"/>
              </w:rPr>
              <w:t>6,000,000</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18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AAA</w:t>
            </w:r>
          </w:p>
        </w:tc>
        <w:tc>
          <w:tcPr>
            <w:tcW w:w="17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+ 2.25%</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3"/>
        </w:trPr>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B-1</w:t>
            </w:r>
          </w:p>
        </w:tc>
        <w:tc>
          <w:tcPr>
            <w:tcW w:w="20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8"/>
              </w:rPr>
              <w:t>15,500,000</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18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rPr>
              <w:t>AA</w:t>
            </w:r>
          </w:p>
        </w:tc>
        <w:tc>
          <w:tcPr>
            <w:tcW w:w="17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+ 2.60%</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B-2</w:t>
            </w:r>
          </w:p>
        </w:tc>
        <w:tc>
          <w:tcPr>
            <w:tcW w:w="208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7"/>
              </w:rPr>
              <w:t>8,500,000</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2.8%</w:t>
            </w:r>
          </w:p>
        </w:tc>
        <w:tc>
          <w:tcPr>
            <w:tcW w:w="1800" w:type="dxa"/>
            <w:vAlign w:val="bottom"/>
          </w:tcPr>
          <w:p>
            <w:pPr>
              <w:jc w:val="center"/>
              <w:ind w:left="32"/>
              <w:spacing w:after="0"/>
              <w:rPr>
                <w:sz w:val="20"/>
                <w:szCs w:val="20"/>
                <w:color w:val="auto"/>
              </w:rPr>
            </w:pPr>
            <w:r>
              <w:rPr>
                <w:rFonts w:ascii="Times New Roman" w:cs="Times New Roman" w:eastAsia="Times New Roman" w:hAnsi="Times New Roman"/>
                <w:sz w:val="22"/>
                <w:szCs w:val="22"/>
                <w:color w:val="auto"/>
                <w:w w:val="94"/>
              </w:rPr>
              <w:t>3.14%</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rPr>
              <w:t>AA</w:t>
            </w:r>
          </w:p>
        </w:tc>
        <w:tc>
          <w:tcPr>
            <w:tcW w:w="17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100.0%</w:t>
            </w:r>
          </w:p>
        </w:tc>
      </w:tr>
      <w:tr>
        <w:trPr>
          <w:trHeight w:val="243"/>
        </w:trPr>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w:t>
            </w:r>
          </w:p>
        </w:tc>
        <w:tc>
          <w:tcPr>
            <w:tcW w:w="20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8"/>
              </w:rPr>
              <w:t>27,000,000</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18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rPr>
              <w:t>A</w:t>
            </w:r>
          </w:p>
        </w:tc>
        <w:tc>
          <w:tcPr>
            <w:tcW w:w="17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+ 4.25%</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3"/>
        </w:trPr>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w:t>
            </w:r>
          </w:p>
        </w:tc>
        <w:tc>
          <w:tcPr>
            <w:tcW w:w="20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color w:val="auto"/>
                <w:w w:val="98"/>
              </w:rPr>
              <w:t>18,000,000</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6.0%</w:t>
            </w:r>
          </w:p>
        </w:tc>
        <w:tc>
          <w:tcPr>
            <w:tcW w:w="18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color w:val="auto"/>
                <w:w w:val="97"/>
              </w:rPr>
              <w:t>3 Mo LIBOR</w:t>
            </w:r>
          </w:p>
        </w:tc>
        <w:tc>
          <w:tcPr>
            <w:tcW w:w="2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BBB-</w:t>
            </w:r>
          </w:p>
        </w:tc>
        <w:tc>
          <w:tcPr>
            <w:tcW w:w="17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100.0%</w:t>
            </w:r>
          </w:p>
        </w:tc>
      </w:tr>
      <w:tr>
        <w:trPr>
          <w:trHeight w:val="270"/>
        </w:trPr>
        <w:tc>
          <w:tcPr>
            <w:tcW w:w="170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w w:val="96"/>
              </w:rPr>
              <w:t>+ 6.50%</w:t>
            </w:r>
          </w:p>
        </w:tc>
        <w:tc>
          <w:tcPr>
            <w:tcW w:w="20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p>
        </w:tc>
        <w:tc>
          <w:tcPr>
            <w:tcW w:w="2080" w:type="dxa"/>
            <w:vAlign w:val="bottom"/>
          </w:tcPr>
          <w:p>
            <w:pPr>
              <w:jc w:val="center"/>
              <w:ind w:left="72"/>
              <w:spacing w:after="0"/>
              <w:rPr>
                <w:sz w:val="20"/>
                <w:szCs w:val="20"/>
                <w:color w:val="auto"/>
              </w:rPr>
            </w:pPr>
            <w:r>
              <w:rPr>
                <w:rFonts w:ascii="Times New Roman" w:cs="Times New Roman" w:eastAsia="Times New Roman" w:hAnsi="Times New Roman"/>
                <w:sz w:val="22"/>
                <w:szCs w:val="22"/>
                <w:color w:val="auto"/>
                <w:w w:val="98"/>
              </w:rPr>
              <w:t>18,000,000</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6.0%</w:t>
            </w:r>
          </w:p>
        </w:tc>
        <w:tc>
          <w:tcPr>
            <w:tcW w:w="18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rPr>
              <w:t>NA</w:t>
            </w:r>
          </w:p>
        </w:tc>
        <w:tc>
          <w:tcPr>
            <w:tcW w:w="208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BB-</w:t>
            </w:r>
          </w:p>
        </w:tc>
        <w:tc>
          <w:tcPr>
            <w:tcW w:w="17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NA</w:t>
            </w:r>
          </w:p>
        </w:tc>
      </w:tr>
      <w:tr>
        <w:trPr>
          <w:trHeight w:val="283"/>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Sub Notes</w:t>
            </w:r>
          </w:p>
        </w:tc>
        <w:tc>
          <w:tcPr>
            <w:tcW w:w="208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22"/>
                <w:szCs w:val="22"/>
                <w:color w:val="auto"/>
                <w:w w:val="98"/>
              </w:rPr>
              <w:t>36,700,000</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12.2%</w:t>
            </w:r>
          </w:p>
        </w:tc>
        <w:tc>
          <w:tcPr>
            <w:tcW w:w="1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NR</w:t>
            </w: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2"/>
                <w:szCs w:val="22"/>
                <w:color w:val="auto"/>
              </w:rPr>
              <w:t>NA</w:t>
            </w:r>
          </w:p>
        </w:tc>
      </w:tr>
      <w:tr>
        <w:trPr>
          <w:trHeight w:val="277"/>
        </w:trPr>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w:t>
            </w:r>
          </w:p>
        </w:tc>
        <w:tc>
          <w:tcPr>
            <w:tcW w:w="2080" w:type="dxa"/>
            <w:vAlign w:val="bottom"/>
          </w:tcPr>
          <w:p>
            <w:pPr>
              <w:jc w:val="center"/>
              <w:ind w:left="52"/>
              <w:spacing w:after="0"/>
              <w:rPr>
                <w:sz w:val="20"/>
                <w:szCs w:val="20"/>
                <w:color w:val="auto"/>
              </w:rPr>
            </w:pPr>
            <w:r>
              <w:rPr>
                <w:rFonts w:ascii="Times New Roman" w:cs="Times New Roman" w:eastAsia="Times New Roman" w:hAnsi="Times New Roman"/>
                <w:sz w:val="22"/>
                <w:szCs w:val="22"/>
                <w:color w:val="auto"/>
                <w:w w:val="98"/>
              </w:rPr>
              <w:t>300,700,000</w:t>
            </w: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1"/>
          <w:szCs w:val="21"/>
          <w:color w:val="auto"/>
        </w:rPr>
        <w:t>PSSL will retain all the Class E Notes and Subordinated Notes through a consolidated subsidiary. The reinvestment period for the term debt securitization ends in January 2024 and the Debt is scheduled to mature in January 2032. The term debt securitization is expected to be approximately 95% funded at close. The proceeds from the Debt will be used to repay a portion of PSSL’s $325 million secured credit facility. In addition, PSSL acts as retention holder in the transaction to retain exposure to the performance of the securitized assets. GreensLedge Capital Markets LLC acted as lead placement agent on the CLO Transaction.</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transaction allows PSSL to grow with low cost, long term financing which is well matched to the lower risk nature of the underlying assets,” said Arthur Penn, Chief Executive Officer of PFLT. “Having a three-year reinvestment period, an 11-year final maturity, and attractive pricing will enhance returns for the Company and PSSL. The resiliency of the portfolio through COVID along with the strong performance of the Company’s first CLO led to a successful execution.”</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1"/>
          <w:szCs w:val="21"/>
          <w:color w:val="auto"/>
        </w:rPr>
        <w:t>The notes offered as part of the term debt securitization have not been and will not be registered under the Securities Act of 1933, as amended, or the Securities Act, or any state “blue sky” laws, and may not be offered or sold in the United States absent registration under Section 5 of the Securities Act or an applicable exemption from such registration requirements. The CLO is a form of secured financing incurred and consolidated by PSSL.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SENIOR SECURED LOAN FUND I, LLC</w:t>
      </w:r>
    </w:p>
    <w:p>
      <w:pPr>
        <w:spacing w:after="0" w:line="20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PennantPark Senior Secured Loan Fund I LLC, is a joint venture between PennantPark Floating Rate Capital Ltd. and a subsidiary of Kemper Corporation (NYSE: KMPR), Trinity Universal Insurance Company, and primarily invests in U.S. middle-market companies whose debt is rated below investment grade.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w:t>
      </w:r>
    </w:p>
    <w:p>
      <w:pPr>
        <w:sectPr>
          <w:pgSz w:w="11900" w:h="16878" w:orient="portrait"/>
          <w:cols w:equalWidth="0" w:num="1">
            <w:col w:w="11240"/>
          </w:cols>
          <w:pgMar w:left="320" w:top="108" w:right="339" w:bottom="0" w:gutter="0" w:footer="0" w:header="0"/>
        </w:sectPr>
      </w:pPr>
    </w:p>
    <w:bookmarkStart w:id="4" w:name="page5"/>
    <w:bookmarkEnd w:id="4"/>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2021-01-28T08:02:24Z</dcterms:created>
  <dcterms:modified xsi:type="dcterms:W3CDTF">2021-01-28T08:02:24Z</dcterms:modified>
</cp:coreProperties>
</file>