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9"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7"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7"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 February 5, 2020</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080"/>
          </w:cols>
          <w:pgMar w:left="320" w:top="723" w:right="49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60"/>
          </w:cols>
          <w:pgMar w:left="320" w:top="723" w:right="499" w:bottom="1440" w:gutter="0" w:footer="0" w:header="0"/>
          <w:type w:val="continuous"/>
        </w:sectPr>
      </w:pPr>
    </w:p>
    <w:p>
      <w:pPr>
        <w:spacing w:after="0" w:line="200" w:lineRule="exact"/>
        <w:rPr>
          <w:sz w:val="24"/>
          <w:szCs w:val="24"/>
          <w:color w:val="auto"/>
        </w:rPr>
      </w:pPr>
    </w:p>
    <w:p>
      <w:pPr>
        <w:spacing w:after="0" w:line="26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0"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69"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20" w:firstLine="291"/>
        <w:spacing w:after="0" w:line="489"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080"/>
          </w:cols>
          <w:pgMar w:left="320" w:top="723" w:right="499" w:bottom="1440" w:gutter="0" w:footer="0" w:header="0"/>
          <w:type w:val="continuous"/>
        </w:sectPr>
      </w:pPr>
    </w:p>
    <w:p>
      <w:pPr>
        <w:spacing w:after="0" w:line="1" w:lineRule="exact"/>
        <w:rPr>
          <w:sz w:val="24"/>
          <w:szCs w:val="24"/>
          <w:color w:val="auto"/>
        </w:r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2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40"/>
          </w:cols>
          <w:pgMar w:left="320" w:top="723" w:right="499" w:bottom="1440" w:gutter="0" w:footer="0" w:header="0"/>
          <w:type w:val="continuous"/>
        </w:sectPr>
      </w:pPr>
    </w:p>
    <w:p>
      <w:pPr>
        <w:spacing w:after="0" w:line="1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6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13676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765" cy="20955"/>
                    </a:xfrm>
                    <a:prstGeom prst="rect">
                      <a:avLst/>
                    </a:prstGeom>
                    <a:noFill/>
                  </pic:spPr>
                </pic:pic>
              </a:graphicData>
            </a:graphic>
          </wp:anchor>
        </w:drawing>
      </w:r>
    </w:p>
    <w:p>
      <w:pPr>
        <w:sectPr>
          <w:pgSz w:w="11900" w:h="16838" w:orient="portrait"/>
          <w:cols w:equalWidth="0" w:num="1">
            <w:col w:w="11080"/>
          </w:cols>
          <w:pgMar w:left="320" w:top="723"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620"/>
        <w:spacing w:after="0" w:line="341" w:lineRule="auto"/>
        <w:rPr>
          <w:sz w:val="20"/>
          <w:szCs w:val="20"/>
          <w:color w:val="auto"/>
        </w:rPr>
      </w:pPr>
      <w:r>
        <w:rPr>
          <w:rFonts w:ascii="Arial" w:cs="Arial" w:eastAsia="Arial" w:hAnsi="Arial"/>
          <w:sz w:val="16"/>
          <w:szCs w:val="16"/>
          <w:color w:val="auto"/>
        </w:rPr>
        <w:t>On February 5, 2020, PennantPark Floating Rate Capital Ltd. issued a press release announcing its financial results for the first fiscal quarter ended December 31, 2019. A copy of the press release is furnished as Exhibit 99.1 to this report pursuant to Item 2.02 on Form 8-K and Regulation FD.</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3"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360" w:right="9320" w:hanging="352"/>
        <w:spacing w:after="0" w:line="26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color w:val="auto"/>
        </w:rPr>
      </w:pPr>
    </w:p>
    <w:p>
      <w:pPr>
        <w:ind w:left="360" w:right="8420" w:hanging="352"/>
        <w:spacing w:after="0" w:line="250" w:lineRule="auto"/>
        <w:tabs>
          <w:tab w:leader="none" w:pos="26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360" w:right="8800" w:hanging="352"/>
        <w:spacing w:after="0" w:line="250" w:lineRule="auto"/>
        <w:tabs>
          <w:tab w:leader="none" w:pos="24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36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February 5,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3676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765"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4980" w:type="dxa"/>
            <w:vAlign w:val="bottom"/>
            <w:gridSpan w:val="3"/>
          </w:tcPr>
          <w:p>
            <w:pPr>
              <w:ind w:left="190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7"/>
        </w:trPr>
        <w:tc>
          <w:tcPr>
            <w:tcW w:w="3560" w:type="dxa"/>
            <w:vAlign w:val="bottom"/>
          </w:tcPr>
          <w:p>
            <w:pPr>
              <w:spacing w:after="0"/>
              <w:rPr>
                <w:sz w:val="20"/>
                <w:szCs w:val="20"/>
                <w:color w:val="auto"/>
              </w:rPr>
            </w:pPr>
            <w:r>
              <w:rPr>
                <w:rFonts w:ascii="Arial" w:cs="Arial" w:eastAsia="Arial" w:hAnsi="Arial"/>
                <w:sz w:val="18"/>
                <w:szCs w:val="18"/>
                <w:color w:val="auto"/>
              </w:rPr>
              <w:t>Date: February 5, 2020</w:t>
            </w:r>
          </w:p>
        </w:tc>
        <w:tc>
          <w:tcPr>
            <w:tcW w:w="4980" w:type="dxa"/>
            <w:vAlign w:val="bottom"/>
            <w:gridSpan w:val="3"/>
          </w:tcPr>
          <w:p>
            <w:pPr>
              <w:ind w:left="1900"/>
              <w:spacing w:after="0"/>
              <w:rPr>
                <w:sz w:val="20"/>
                <w:szCs w:val="20"/>
                <w:color w:val="auto"/>
              </w:rPr>
            </w:pPr>
            <w:r>
              <w:rPr>
                <w:rFonts w:ascii="Arial" w:cs="Arial" w:eastAsia="Arial" w:hAnsi="Arial"/>
                <w:sz w:val="18"/>
                <w:szCs w:val="18"/>
                <w:color w:val="auto"/>
              </w:rPr>
              <w:t>By: /s/ Aviv Efrat</w:t>
            </w:r>
          </w:p>
        </w:tc>
      </w:tr>
      <w:tr>
        <w:trPr>
          <w:trHeight w:val="222"/>
        </w:trPr>
        <w:tc>
          <w:tcPr>
            <w:tcW w:w="35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284605" cy="299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460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PennantPark Floating Rate Capital Ltd. Announces Financial Results for the Quarter Ended December 31, 2019</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NEW YORK, Feb. 05, 2020 (GLOBE NEWSWIRE) -- PennantPark Floating Rate Capital Ltd. (NASDAQ: PFLT) (TASE:</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PFLT) announced today financial results for the first fiscal quarter ended December 31, 2019.</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Quarter ended December 31, 2019</w:t>
      </w:r>
    </w:p>
    <w:p>
      <w:pPr>
        <w:spacing w:after="0"/>
        <w:rPr>
          <w:sz w:val="20"/>
          <w:szCs w:val="20"/>
          <w:color w:val="auto"/>
        </w:rPr>
      </w:pPr>
      <w:r>
        <w:rPr>
          <w:rFonts w:ascii="Arial" w:cs="Arial" w:eastAsia="Arial" w:hAnsi="Arial"/>
          <w:sz w:val="22"/>
          <w:szCs w:val="22"/>
          <w:color w:val="auto"/>
        </w:rPr>
        <w:t>($ in millions, except per share amounts)</w:t>
      </w:r>
    </w:p>
    <w:p>
      <w:pPr>
        <w:spacing w:after="0" w:line="201" w:lineRule="exact"/>
        <w:rPr>
          <w:sz w:val="20"/>
          <w:szCs w:val="20"/>
          <w:color w:val="auto"/>
        </w:rPr>
      </w:pPr>
    </w:p>
    <w:tbl>
      <w:tblPr>
        <w:tblLayout w:type="fixed"/>
        <w:tblInd w:w="140" w:type="dxa"/>
        <w:tblCellMar>
          <w:top w:w="0" w:type="dxa"/>
          <w:left w:w="0" w:type="dxa"/>
          <w:bottom w:w="0" w:type="dxa"/>
          <w:right w:w="0" w:type="dxa"/>
        </w:tblCellMar>
      </w:tblPr>
      <w:tr>
        <w:trPr>
          <w:trHeight w:val="274"/>
        </w:trPr>
        <w:tc>
          <w:tcPr>
            <w:tcW w:w="6340" w:type="dxa"/>
            <w:vAlign w:val="bottom"/>
            <w:gridSpan w:val="2"/>
          </w:tcPr>
          <w:p>
            <w:pPr>
              <w:spacing w:after="0"/>
              <w:rPr>
                <w:sz w:val="20"/>
                <w:szCs w:val="20"/>
                <w:color w:val="auto"/>
              </w:rPr>
            </w:pPr>
            <w:r>
              <w:rPr>
                <w:rFonts w:ascii="Arial" w:cs="Arial" w:eastAsia="Arial" w:hAnsi="Arial"/>
                <w:sz w:val="22"/>
                <w:szCs w:val="22"/>
                <w:color w:val="auto"/>
              </w:rPr>
              <w:t>Assets and Liabilities:</w:t>
            </w:r>
          </w:p>
        </w:tc>
        <w:tc>
          <w:tcPr>
            <w:tcW w:w="3300" w:type="dxa"/>
            <w:vAlign w:val="bottom"/>
            <w:vMerge w:val="restart"/>
          </w:tcPr>
          <w:p>
            <w:pPr>
              <w:jc w:val="right"/>
              <w:ind w:right="352"/>
              <w:spacing w:after="0"/>
              <w:rPr>
                <w:sz w:val="20"/>
                <w:szCs w:val="20"/>
                <w:color w:val="auto"/>
              </w:rPr>
            </w:pPr>
            <w:r>
              <w:rPr>
                <w:rFonts w:ascii="Arial" w:cs="Arial" w:eastAsia="Arial" w:hAnsi="Arial"/>
                <w:sz w:val="22"/>
                <w:szCs w:val="22"/>
                <w:color w:val="auto"/>
              </w:rPr>
              <w:t>$</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9"/>
        </w:trPr>
        <w:tc>
          <w:tcPr>
            <w:tcW w:w="6340" w:type="dxa"/>
            <w:vAlign w:val="bottom"/>
            <w:gridSpan w:val="2"/>
          </w:tcPr>
          <w:p>
            <w:pPr>
              <w:ind w:left="120"/>
              <w:spacing w:after="0" w:line="319" w:lineRule="exact"/>
              <w:rPr>
                <w:sz w:val="20"/>
                <w:szCs w:val="20"/>
                <w:color w:val="auto"/>
              </w:rPr>
            </w:pPr>
            <w:r>
              <w:rPr>
                <w:rFonts w:ascii="Arial" w:cs="Arial" w:eastAsia="Arial" w:hAnsi="Arial"/>
                <w:sz w:val="22"/>
                <w:szCs w:val="22"/>
                <w:color w:val="auto"/>
              </w:rPr>
              <w:t xml:space="preserve">Investment portfolio </w:t>
            </w:r>
            <w:r>
              <w:rPr>
                <w:rFonts w:ascii="Arial" w:cs="Arial" w:eastAsia="Arial" w:hAnsi="Arial"/>
                <w:sz w:val="35"/>
                <w:szCs w:val="35"/>
                <w:color w:val="auto"/>
                <w:vertAlign w:val="superscript"/>
              </w:rPr>
              <w:t>(1)</w:t>
            </w:r>
          </w:p>
        </w:tc>
        <w:tc>
          <w:tcPr>
            <w:tcW w:w="3300" w:type="dxa"/>
            <w:vAlign w:val="bottom"/>
            <w:vMerge w:val="continue"/>
          </w:tcPr>
          <w:p>
            <w:pPr>
              <w:spacing w:after="0"/>
              <w:rPr>
                <w:sz w:val="24"/>
                <w:szCs w:val="24"/>
                <w:color w:val="auto"/>
              </w:rPr>
            </w:pPr>
          </w:p>
        </w:tc>
        <w:tc>
          <w:tcPr>
            <w:tcW w:w="1280" w:type="dxa"/>
            <w:vAlign w:val="bottom"/>
          </w:tcPr>
          <w:p>
            <w:pPr>
              <w:jc w:val="right"/>
              <w:ind w:right="72"/>
              <w:spacing w:after="0"/>
              <w:rPr>
                <w:sz w:val="20"/>
                <w:szCs w:val="20"/>
                <w:color w:val="auto"/>
              </w:rPr>
            </w:pPr>
            <w:r>
              <w:rPr>
                <w:rFonts w:ascii="Arial" w:cs="Arial" w:eastAsia="Arial" w:hAnsi="Arial"/>
                <w:sz w:val="22"/>
                <w:szCs w:val="22"/>
                <w:color w:val="auto"/>
              </w:rPr>
              <w:t>1,176.1</w:t>
            </w:r>
          </w:p>
        </w:tc>
        <w:tc>
          <w:tcPr>
            <w:tcW w:w="0" w:type="dxa"/>
            <w:vAlign w:val="bottom"/>
          </w:tcPr>
          <w:p>
            <w:pPr>
              <w:spacing w:after="0"/>
              <w:rPr>
                <w:sz w:val="1"/>
                <w:szCs w:val="1"/>
                <w:color w:val="auto"/>
              </w:rPr>
            </w:pPr>
          </w:p>
        </w:tc>
      </w:tr>
      <w:tr>
        <w:trPr>
          <w:trHeight w:val="270"/>
        </w:trPr>
        <w:tc>
          <w:tcPr>
            <w:tcW w:w="6340" w:type="dxa"/>
            <w:vAlign w:val="bottom"/>
            <w:gridSpan w:val="2"/>
          </w:tcPr>
          <w:p>
            <w:pPr>
              <w:ind w:left="120"/>
              <w:spacing w:after="0"/>
              <w:rPr>
                <w:sz w:val="20"/>
                <w:szCs w:val="20"/>
                <w:color w:val="auto"/>
              </w:rPr>
            </w:pPr>
            <w:r>
              <w:rPr>
                <w:rFonts w:ascii="Arial" w:cs="Arial" w:eastAsia="Arial" w:hAnsi="Arial"/>
                <w:sz w:val="22"/>
                <w:szCs w:val="22"/>
                <w:color w:val="auto"/>
              </w:rPr>
              <w:t>PSSL investment portfolio</w:t>
            </w:r>
          </w:p>
        </w:tc>
        <w:tc>
          <w:tcPr>
            <w:tcW w:w="330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rPr>
              <w:t>493.2</w:t>
            </w:r>
          </w:p>
        </w:tc>
        <w:tc>
          <w:tcPr>
            <w:tcW w:w="0" w:type="dxa"/>
            <w:vAlign w:val="bottom"/>
          </w:tcPr>
          <w:p>
            <w:pPr>
              <w:spacing w:after="0"/>
              <w:rPr>
                <w:sz w:val="1"/>
                <w:szCs w:val="1"/>
                <w:color w:val="auto"/>
              </w:rPr>
            </w:pPr>
          </w:p>
        </w:tc>
      </w:tr>
      <w:tr>
        <w:trPr>
          <w:trHeight w:val="270"/>
        </w:trPr>
        <w:tc>
          <w:tcPr>
            <w:tcW w:w="6340" w:type="dxa"/>
            <w:vAlign w:val="bottom"/>
            <w:gridSpan w:val="2"/>
          </w:tcPr>
          <w:p>
            <w:pPr>
              <w:ind w:left="120"/>
              <w:spacing w:after="0"/>
              <w:rPr>
                <w:sz w:val="20"/>
                <w:szCs w:val="20"/>
                <w:color w:val="auto"/>
              </w:rPr>
            </w:pPr>
            <w:r>
              <w:rPr>
                <w:rFonts w:ascii="Arial" w:cs="Arial" w:eastAsia="Arial" w:hAnsi="Arial"/>
                <w:sz w:val="22"/>
                <w:szCs w:val="22"/>
                <w:color w:val="auto"/>
              </w:rPr>
              <w:t>Net assets</w:t>
            </w:r>
          </w:p>
        </w:tc>
        <w:tc>
          <w:tcPr>
            <w:tcW w:w="330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rPr>
              <w:t>502.0</w:t>
            </w:r>
          </w:p>
        </w:tc>
        <w:tc>
          <w:tcPr>
            <w:tcW w:w="0" w:type="dxa"/>
            <w:vAlign w:val="bottom"/>
          </w:tcPr>
          <w:p>
            <w:pPr>
              <w:spacing w:after="0"/>
              <w:rPr>
                <w:sz w:val="1"/>
                <w:szCs w:val="1"/>
                <w:color w:val="auto"/>
              </w:rPr>
            </w:pPr>
          </w:p>
        </w:tc>
      </w:tr>
      <w:tr>
        <w:trPr>
          <w:trHeight w:val="274"/>
        </w:trPr>
        <w:tc>
          <w:tcPr>
            <w:tcW w:w="6340" w:type="dxa"/>
            <w:vAlign w:val="bottom"/>
            <w:gridSpan w:val="2"/>
          </w:tcPr>
          <w:p>
            <w:pPr>
              <w:ind w:left="120"/>
              <w:spacing w:after="0"/>
              <w:rPr>
                <w:sz w:val="20"/>
                <w:szCs w:val="20"/>
                <w:color w:val="auto"/>
              </w:rPr>
            </w:pPr>
            <w:r>
              <w:rPr>
                <w:rFonts w:ascii="Arial" w:cs="Arial" w:eastAsia="Arial" w:hAnsi="Arial"/>
                <w:sz w:val="22"/>
                <w:szCs w:val="22"/>
                <w:color w:val="auto"/>
              </w:rPr>
              <w:t>Net asset value per share</w:t>
            </w:r>
          </w:p>
        </w:tc>
        <w:tc>
          <w:tcPr>
            <w:tcW w:w="330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rPr>
              <w:t>12.95</w:t>
            </w:r>
          </w:p>
        </w:tc>
        <w:tc>
          <w:tcPr>
            <w:tcW w:w="0" w:type="dxa"/>
            <w:vAlign w:val="bottom"/>
          </w:tcPr>
          <w:p>
            <w:pPr>
              <w:spacing w:after="0"/>
              <w:rPr>
                <w:sz w:val="1"/>
                <w:szCs w:val="1"/>
                <w:color w:val="auto"/>
              </w:rPr>
            </w:pPr>
          </w:p>
        </w:tc>
      </w:tr>
      <w:tr>
        <w:trPr>
          <w:trHeight w:val="535"/>
        </w:trPr>
        <w:tc>
          <w:tcPr>
            <w:tcW w:w="6340" w:type="dxa"/>
            <w:vAlign w:val="bottom"/>
            <w:gridSpan w:val="2"/>
          </w:tcPr>
          <w:p>
            <w:pPr>
              <w:ind w:left="120"/>
              <w:spacing w:after="0"/>
              <w:rPr>
                <w:sz w:val="20"/>
                <w:szCs w:val="20"/>
                <w:color w:val="auto"/>
              </w:rPr>
            </w:pPr>
            <w:r>
              <w:rPr>
                <w:rFonts w:ascii="Arial" w:cs="Arial" w:eastAsia="Arial" w:hAnsi="Arial"/>
                <w:sz w:val="22"/>
                <w:szCs w:val="22"/>
                <w:color w:val="auto"/>
              </w:rPr>
              <w:t>Credit Facility</w:t>
            </w:r>
          </w:p>
        </w:tc>
        <w:tc>
          <w:tcPr>
            <w:tcW w:w="330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rPr>
              <w:t>334.0</w:t>
            </w:r>
          </w:p>
        </w:tc>
        <w:tc>
          <w:tcPr>
            <w:tcW w:w="0" w:type="dxa"/>
            <w:vAlign w:val="bottom"/>
          </w:tcPr>
          <w:p>
            <w:pPr>
              <w:spacing w:after="0"/>
              <w:rPr>
                <w:sz w:val="1"/>
                <w:szCs w:val="1"/>
                <w:color w:val="auto"/>
              </w:rPr>
            </w:pPr>
          </w:p>
        </w:tc>
      </w:tr>
      <w:tr>
        <w:trPr>
          <w:trHeight w:val="270"/>
        </w:trPr>
        <w:tc>
          <w:tcPr>
            <w:tcW w:w="560" w:type="dxa"/>
            <w:vAlign w:val="bottom"/>
          </w:tcPr>
          <w:p>
            <w:pPr>
              <w:ind w:left="120"/>
              <w:spacing w:after="0"/>
              <w:rPr>
                <w:sz w:val="20"/>
                <w:szCs w:val="20"/>
                <w:color w:val="auto"/>
              </w:rPr>
            </w:pPr>
            <w:r>
              <w:rPr>
                <w:rFonts w:ascii="Arial" w:cs="Arial" w:eastAsia="Arial" w:hAnsi="Arial"/>
                <w:sz w:val="22"/>
                <w:szCs w:val="22"/>
                <w:color w:val="auto"/>
                <w:w w:val="85"/>
              </w:rPr>
              <w:t>2023</w:t>
            </w:r>
          </w:p>
        </w:tc>
        <w:tc>
          <w:tcPr>
            <w:tcW w:w="5780" w:type="dxa"/>
            <w:vAlign w:val="bottom"/>
          </w:tcPr>
          <w:p>
            <w:pPr>
              <w:ind w:left="40"/>
              <w:spacing w:after="0"/>
              <w:rPr>
                <w:sz w:val="20"/>
                <w:szCs w:val="20"/>
                <w:color w:val="auto"/>
              </w:rPr>
            </w:pPr>
            <w:r>
              <w:rPr>
                <w:rFonts w:ascii="Arial" w:cs="Arial" w:eastAsia="Arial" w:hAnsi="Arial"/>
                <w:sz w:val="22"/>
                <w:szCs w:val="22"/>
                <w:color w:val="auto"/>
              </w:rPr>
              <w:t>Notes</w:t>
            </w:r>
          </w:p>
        </w:tc>
        <w:tc>
          <w:tcPr>
            <w:tcW w:w="330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rPr>
              <w:t>133.8</w:t>
            </w:r>
          </w:p>
        </w:tc>
        <w:tc>
          <w:tcPr>
            <w:tcW w:w="0" w:type="dxa"/>
            <w:vAlign w:val="bottom"/>
          </w:tcPr>
          <w:p>
            <w:pPr>
              <w:spacing w:after="0"/>
              <w:rPr>
                <w:sz w:val="1"/>
                <w:szCs w:val="1"/>
                <w:color w:val="auto"/>
              </w:rPr>
            </w:pPr>
          </w:p>
        </w:tc>
      </w:tr>
      <w:tr>
        <w:trPr>
          <w:trHeight w:val="274"/>
        </w:trPr>
        <w:tc>
          <w:tcPr>
            <w:tcW w:w="560" w:type="dxa"/>
            <w:vAlign w:val="bottom"/>
          </w:tcPr>
          <w:p>
            <w:pPr>
              <w:ind w:left="120"/>
              <w:spacing w:after="0"/>
              <w:rPr>
                <w:sz w:val="20"/>
                <w:szCs w:val="20"/>
                <w:color w:val="auto"/>
              </w:rPr>
            </w:pPr>
            <w:r>
              <w:rPr>
                <w:rFonts w:ascii="Arial" w:cs="Arial" w:eastAsia="Arial" w:hAnsi="Arial"/>
                <w:sz w:val="22"/>
                <w:szCs w:val="22"/>
                <w:color w:val="auto"/>
                <w:w w:val="85"/>
              </w:rPr>
              <w:t>2031</w:t>
            </w:r>
          </w:p>
        </w:tc>
        <w:tc>
          <w:tcPr>
            <w:tcW w:w="5780" w:type="dxa"/>
            <w:vAlign w:val="bottom"/>
          </w:tcPr>
          <w:p>
            <w:pPr>
              <w:ind w:left="40"/>
              <w:spacing w:after="0"/>
              <w:rPr>
                <w:sz w:val="20"/>
                <w:szCs w:val="20"/>
                <w:color w:val="auto"/>
              </w:rPr>
            </w:pPr>
            <w:r>
              <w:rPr>
                <w:rFonts w:ascii="Arial" w:cs="Arial" w:eastAsia="Arial" w:hAnsi="Arial"/>
                <w:sz w:val="22"/>
                <w:szCs w:val="22"/>
                <w:color w:val="auto"/>
              </w:rPr>
              <w:t>Asset-Backed Debt</w:t>
            </w:r>
          </w:p>
        </w:tc>
        <w:tc>
          <w:tcPr>
            <w:tcW w:w="330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rPr>
              <w:t>224.4</w:t>
            </w:r>
          </w:p>
        </w:tc>
        <w:tc>
          <w:tcPr>
            <w:tcW w:w="0" w:type="dxa"/>
            <w:vAlign w:val="bottom"/>
          </w:tcPr>
          <w:p>
            <w:pPr>
              <w:spacing w:after="0"/>
              <w:rPr>
                <w:sz w:val="1"/>
                <w:szCs w:val="1"/>
                <w:color w:val="auto"/>
              </w:rPr>
            </w:pPr>
          </w:p>
        </w:tc>
      </w:tr>
      <w:tr>
        <w:trPr>
          <w:trHeight w:val="539"/>
        </w:trPr>
        <w:tc>
          <w:tcPr>
            <w:tcW w:w="6340" w:type="dxa"/>
            <w:vAlign w:val="bottom"/>
            <w:gridSpan w:val="2"/>
          </w:tcPr>
          <w:p>
            <w:pPr>
              <w:ind w:left="120"/>
              <w:spacing w:after="0"/>
              <w:rPr>
                <w:sz w:val="20"/>
                <w:szCs w:val="20"/>
                <w:color w:val="auto"/>
              </w:rPr>
            </w:pPr>
            <w:r>
              <w:rPr>
                <w:rFonts w:ascii="Arial" w:cs="Arial" w:eastAsia="Arial" w:hAnsi="Arial"/>
                <w:sz w:val="22"/>
                <w:szCs w:val="22"/>
                <w:color w:val="auto"/>
              </w:rPr>
              <w:t>Yield on debt investments at quarter-end</w:t>
            </w:r>
          </w:p>
        </w:tc>
        <w:tc>
          <w:tcPr>
            <w:tcW w:w="33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140" w:type="dxa"/>
        <w:tblCellMar>
          <w:top w:w="0" w:type="dxa"/>
          <w:left w:w="0" w:type="dxa"/>
          <w:bottom w:w="0" w:type="dxa"/>
          <w:right w:w="0" w:type="dxa"/>
        </w:tblCellMar>
      </w:tblP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Operating Results:</w:t>
            </w:r>
          </w:p>
        </w:tc>
        <w:tc>
          <w:tcPr>
            <w:tcW w:w="30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6980" w:type="dxa"/>
            <w:vAlign w:val="bottom"/>
          </w:tcPr>
          <w:p>
            <w:pPr>
              <w:ind w:left="120"/>
              <w:spacing w:after="0"/>
              <w:rPr>
                <w:sz w:val="20"/>
                <w:szCs w:val="20"/>
                <w:color w:val="auto"/>
              </w:rPr>
            </w:pPr>
            <w:r>
              <w:rPr>
                <w:rFonts w:ascii="Arial" w:cs="Arial" w:eastAsia="Arial" w:hAnsi="Arial"/>
                <w:sz w:val="22"/>
                <w:szCs w:val="22"/>
                <w:color w:val="auto"/>
              </w:rPr>
              <w:t>Net investment income</w:t>
            </w:r>
          </w:p>
        </w:tc>
        <w:tc>
          <w:tcPr>
            <w:tcW w:w="306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800" w:type="dxa"/>
            <w:vAlign w:val="bottom"/>
          </w:tcPr>
          <w:p>
            <w:pPr>
              <w:jc w:val="right"/>
              <w:spacing w:after="0"/>
              <w:rPr>
                <w:sz w:val="20"/>
                <w:szCs w:val="20"/>
                <w:color w:val="auto"/>
              </w:rPr>
            </w:pPr>
            <w:r>
              <w:rPr>
                <w:rFonts w:ascii="Arial" w:cs="Arial" w:eastAsia="Arial" w:hAnsi="Arial"/>
                <w:sz w:val="22"/>
                <w:szCs w:val="22"/>
                <w:color w:val="auto"/>
              </w:rPr>
              <w:t>11.1</w:t>
            </w:r>
          </w:p>
        </w:tc>
      </w:tr>
      <w:tr>
        <w:trPr>
          <w:trHeight w:val="270"/>
        </w:trPr>
        <w:tc>
          <w:tcPr>
            <w:tcW w:w="6980" w:type="dxa"/>
            <w:vAlign w:val="bottom"/>
          </w:tcPr>
          <w:p>
            <w:pPr>
              <w:ind w:left="120"/>
              <w:spacing w:after="0"/>
              <w:rPr>
                <w:sz w:val="20"/>
                <w:szCs w:val="20"/>
                <w:color w:val="auto"/>
              </w:rPr>
            </w:pPr>
            <w:r>
              <w:rPr>
                <w:rFonts w:ascii="Arial" w:cs="Arial" w:eastAsia="Arial" w:hAnsi="Arial"/>
                <w:sz w:val="22"/>
                <w:szCs w:val="22"/>
                <w:color w:val="auto"/>
              </w:rPr>
              <w:t>Net investment income per share</w:t>
            </w:r>
          </w:p>
        </w:tc>
        <w:tc>
          <w:tcPr>
            <w:tcW w:w="306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800" w:type="dxa"/>
            <w:vAlign w:val="bottom"/>
          </w:tcPr>
          <w:p>
            <w:pPr>
              <w:jc w:val="right"/>
              <w:spacing w:after="0"/>
              <w:rPr>
                <w:sz w:val="20"/>
                <w:szCs w:val="20"/>
                <w:color w:val="auto"/>
              </w:rPr>
            </w:pPr>
            <w:r>
              <w:rPr>
                <w:rFonts w:ascii="Arial" w:cs="Arial" w:eastAsia="Arial" w:hAnsi="Arial"/>
                <w:sz w:val="22"/>
                <w:szCs w:val="22"/>
                <w:color w:val="auto"/>
              </w:rPr>
              <w:t>0.29</w:t>
            </w:r>
          </w:p>
        </w:tc>
      </w:tr>
      <w:tr>
        <w:trPr>
          <w:trHeight w:val="274"/>
        </w:trPr>
        <w:tc>
          <w:tcPr>
            <w:tcW w:w="6980" w:type="dxa"/>
            <w:vAlign w:val="bottom"/>
          </w:tcPr>
          <w:p>
            <w:pPr>
              <w:ind w:left="120"/>
              <w:spacing w:after="0"/>
              <w:rPr>
                <w:sz w:val="20"/>
                <w:szCs w:val="20"/>
                <w:color w:val="auto"/>
              </w:rPr>
            </w:pPr>
            <w:r>
              <w:rPr>
                <w:rFonts w:ascii="Arial" w:cs="Arial" w:eastAsia="Arial" w:hAnsi="Arial"/>
                <w:sz w:val="22"/>
                <w:szCs w:val="22"/>
                <w:color w:val="auto"/>
              </w:rPr>
              <w:t>Distributions declared per share</w:t>
            </w:r>
          </w:p>
        </w:tc>
        <w:tc>
          <w:tcPr>
            <w:tcW w:w="306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800" w:type="dxa"/>
            <w:vAlign w:val="bottom"/>
          </w:tcPr>
          <w:p>
            <w:pPr>
              <w:jc w:val="right"/>
              <w:spacing w:after="0"/>
              <w:rPr>
                <w:sz w:val="20"/>
                <w:szCs w:val="20"/>
                <w:color w:val="auto"/>
              </w:rPr>
            </w:pPr>
            <w:r>
              <w:rPr>
                <w:rFonts w:ascii="Arial" w:cs="Arial" w:eastAsia="Arial" w:hAnsi="Arial"/>
                <w:sz w:val="22"/>
                <w:szCs w:val="22"/>
                <w:color w:val="auto"/>
              </w:rPr>
              <w:t>0.285</w:t>
            </w:r>
          </w:p>
        </w:tc>
      </w:tr>
      <w:tr>
        <w:trPr>
          <w:trHeight w:val="535"/>
        </w:trPr>
        <w:tc>
          <w:tcPr>
            <w:tcW w:w="6980" w:type="dxa"/>
            <w:vAlign w:val="bottom"/>
          </w:tcPr>
          <w:p>
            <w:pPr>
              <w:spacing w:after="0"/>
              <w:rPr>
                <w:sz w:val="20"/>
                <w:szCs w:val="20"/>
                <w:color w:val="auto"/>
              </w:rPr>
            </w:pPr>
            <w:r>
              <w:rPr>
                <w:rFonts w:ascii="Arial" w:cs="Arial" w:eastAsia="Arial" w:hAnsi="Arial"/>
                <w:sz w:val="22"/>
                <w:szCs w:val="22"/>
                <w:color w:val="auto"/>
              </w:rPr>
              <w:t>Portfolio Activity:</w:t>
            </w:r>
          </w:p>
        </w:tc>
        <w:tc>
          <w:tcPr>
            <w:tcW w:w="30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6980" w:type="dxa"/>
            <w:vAlign w:val="bottom"/>
          </w:tcPr>
          <w:p>
            <w:pPr>
              <w:ind w:left="120"/>
              <w:spacing w:after="0"/>
              <w:rPr>
                <w:sz w:val="20"/>
                <w:szCs w:val="20"/>
                <w:color w:val="auto"/>
              </w:rPr>
            </w:pPr>
            <w:r>
              <w:rPr>
                <w:rFonts w:ascii="Arial" w:cs="Arial" w:eastAsia="Arial" w:hAnsi="Arial"/>
                <w:sz w:val="22"/>
                <w:szCs w:val="22"/>
                <w:color w:val="auto"/>
              </w:rPr>
              <w:t>Purchases of investments</w:t>
            </w:r>
          </w:p>
        </w:tc>
        <w:tc>
          <w:tcPr>
            <w:tcW w:w="306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800" w:type="dxa"/>
            <w:vAlign w:val="bottom"/>
          </w:tcPr>
          <w:p>
            <w:pPr>
              <w:jc w:val="right"/>
              <w:spacing w:after="0"/>
              <w:rPr>
                <w:sz w:val="20"/>
                <w:szCs w:val="20"/>
                <w:color w:val="auto"/>
              </w:rPr>
            </w:pPr>
            <w:r>
              <w:rPr>
                <w:rFonts w:ascii="Arial" w:cs="Arial" w:eastAsia="Arial" w:hAnsi="Arial"/>
                <w:sz w:val="22"/>
                <w:szCs w:val="22"/>
                <w:color w:val="auto"/>
              </w:rPr>
              <w:t>239.4</w:t>
            </w:r>
          </w:p>
        </w:tc>
      </w:tr>
      <w:tr>
        <w:trPr>
          <w:trHeight w:val="274"/>
        </w:trPr>
        <w:tc>
          <w:tcPr>
            <w:tcW w:w="6980" w:type="dxa"/>
            <w:vAlign w:val="bottom"/>
          </w:tcPr>
          <w:p>
            <w:pPr>
              <w:ind w:left="120"/>
              <w:spacing w:after="0"/>
              <w:rPr>
                <w:sz w:val="20"/>
                <w:szCs w:val="20"/>
                <w:color w:val="auto"/>
              </w:rPr>
            </w:pPr>
            <w:r>
              <w:rPr>
                <w:rFonts w:ascii="Arial" w:cs="Arial" w:eastAsia="Arial" w:hAnsi="Arial"/>
                <w:sz w:val="22"/>
                <w:szCs w:val="22"/>
                <w:color w:val="auto"/>
              </w:rPr>
              <w:t>Sales and repayments of investments</w:t>
            </w:r>
          </w:p>
        </w:tc>
        <w:tc>
          <w:tcPr>
            <w:tcW w:w="306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800" w:type="dxa"/>
            <w:vAlign w:val="bottom"/>
          </w:tcPr>
          <w:p>
            <w:pPr>
              <w:jc w:val="right"/>
              <w:spacing w:after="0"/>
              <w:rPr>
                <w:sz w:val="20"/>
                <w:szCs w:val="20"/>
                <w:color w:val="auto"/>
              </w:rPr>
            </w:pPr>
            <w:r>
              <w:rPr>
                <w:rFonts w:ascii="Arial" w:cs="Arial" w:eastAsia="Arial" w:hAnsi="Arial"/>
                <w:sz w:val="22"/>
                <w:szCs w:val="22"/>
                <w:color w:val="auto"/>
              </w:rPr>
              <w:t>143.7</w:t>
            </w:r>
          </w:p>
        </w:tc>
      </w:tr>
      <w:tr>
        <w:trPr>
          <w:trHeight w:val="535"/>
        </w:trPr>
        <w:tc>
          <w:tcPr>
            <w:tcW w:w="6980" w:type="dxa"/>
            <w:vAlign w:val="bottom"/>
          </w:tcPr>
          <w:p>
            <w:pPr>
              <w:ind w:left="120"/>
              <w:spacing w:after="0"/>
              <w:rPr>
                <w:sz w:val="20"/>
                <w:szCs w:val="20"/>
                <w:color w:val="auto"/>
              </w:rPr>
            </w:pPr>
            <w:r>
              <w:rPr>
                <w:rFonts w:ascii="Arial" w:cs="Arial" w:eastAsia="Arial" w:hAnsi="Arial"/>
                <w:sz w:val="22"/>
                <w:szCs w:val="22"/>
                <w:color w:val="auto"/>
              </w:rPr>
              <w:t>Number of new portfolio companies invested</w:t>
            </w:r>
          </w:p>
        </w:tc>
        <w:tc>
          <w:tcPr>
            <w:tcW w:w="30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70"/>
        </w:trPr>
        <w:tc>
          <w:tcPr>
            <w:tcW w:w="6980" w:type="dxa"/>
            <w:vAlign w:val="bottom"/>
          </w:tcPr>
          <w:p>
            <w:pPr>
              <w:ind w:left="120"/>
              <w:spacing w:after="0"/>
              <w:rPr>
                <w:sz w:val="20"/>
                <w:szCs w:val="20"/>
                <w:color w:val="auto"/>
              </w:rPr>
            </w:pPr>
            <w:r>
              <w:rPr>
                <w:rFonts w:ascii="Arial" w:cs="Arial" w:eastAsia="Arial" w:hAnsi="Arial"/>
                <w:sz w:val="22"/>
                <w:szCs w:val="22"/>
                <w:color w:val="auto"/>
              </w:rPr>
              <w:t>Number of existing portfolio companies invested</w:t>
            </w:r>
          </w:p>
        </w:tc>
        <w:tc>
          <w:tcPr>
            <w:tcW w:w="30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74"/>
        </w:trPr>
        <w:tc>
          <w:tcPr>
            <w:tcW w:w="6980" w:type="dxa"/>
            <w:vAlign w:val="bottom"/>
          </w:tcPr>
          <w:p>
            <w:pPr>
              <w:ind w:left="120"/>
              <w:spacing w:after="0"/>
              <w:rPr>
                <w:sz w:val="20"/>
                <w:szCs w:val="20"/>
                <w:color w:val="auto"/>
              </w:rPr>
            </w:pPr>
            <w:r>
              <w:rPr>
                <w:rFonts w:ascii="Arial" w:cs="Arial" w:eastAsia="Arial" w:hAnsi="Arial"/>
                <w:sz w:val="22"/>
                <w:szCs w:val="22"/>
                <w:color w:val="auto"/>
              </w:rPr>
              <w:t>Number of ending portfolio companies</w:t>
            </w:r>
          </w:p>
        </w:tc>
        <w:tc>
          <w:tcPr>
            <w:tcW w:w="30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102</w:t>
            </w:r>
          </w:p>
        </w:tc>
      </w:tr>
    </w:tbl>
    <w:p>
      <w:pPr>
        <w:spacing w:after="0" w:line="252" w:lineRule="exact"/>
        <w:rPr>
          <w:sz w:val="20"/>
          <w:szCs w:val="20"/>
          <w:color w:val="auto"/>
        </w:rPr>
      </w:pPr>
    </w:p>
    <w:p>
      <w:pPr>
        <w:ind w:right="420" w:firstLine="8"/>
        <w:spacing w:after="0" w:line="215" w:lineRule="auto"/>
        <w:tabs>
          <w:tab w:leader="none" w:pos="263" w:val="left"/>
        </w:tabs>
        <w:numPr>
          <w:ilvl w:val="0"/>
          <w:numId w:val="3"/>
        </w:numPr>
        <w:rPr>
          <w:rFonts w:ascii="Arial" w:cs="Arial" w:eastAsia="Arial" w:hAnsi="Arial"/>
          <w:sz w:val="31"/>
          <w:szCs w:val="31"/>
          <w:color w:val="auto"/>
          <w:vertAlign w:val="superscript"/>
        </w:rPr>
      </w:pPr>
      <w:r>
        <w:rPr>
          <w:rFonts w:ascii="Arial" w:cs="Arial" w:eastAsia="Arial" w:hAnsi="Arial"/>
          <w:sz w:val="19"/>
          <w:szCs w:val="19"/>
          <w:color w:val="auto"/>
        </w:rPr>
        <w:t>Includes investments in PennantPark Senior Secured Loan Fund I LLC, or PSSL, an unconsolidated joint venture, totaling $171.9 million, at fair value.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FEBRUARY 6, 2020</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PennantPark Floating Rate Capital Ltd. (“we,” “our,” “us” or the “Company”) will host a conference call at 10:00 a.m. (Eastern Time) on Thursday, February 6, 2020 to discuss its financial results. All interested parties are welcome to participate. You can access the conference call by dialing toll-free (800) 289-0438 approximately 5-10 minutes prior to the call. International callers should dial (929) 477-0402. All callers should reference conference ID #4990670 or PennantPark Floating Rate Capital Ltd. An archived replay of the call will be available through February 20, 2020 by calling toll-free (888) 203-1112. International callers please dial (719) 457-0820. For all phone replays, please reference conference ID #4990670.</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“We are pleased that our current run rate net investment income covers the dividend due to the selective growth of the portfolio, as well as the maturation of PSSL,” said Arthur Penn, Chairman and CEO. “Our earnings stream should have a nice tailwind based on a gradual increase in our debt to equity ratio, while still maintaining a prudent debt profile.”</w:t>
      </w:r>
    </w:p>
    <w:p>
      <w:pPr>
        <w:spacing w:after="0" w:line="150"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As of December 31, 2019, our portfolio totaled $1,176.1 million and consisted of $1,042.5 million of first lien secured debt (including $122.2 million in PSSL), $32.9 million of second lien secured debt and $100.7 million of preferred and common equity (including $49.7 million in PSSL). Our debt portfolio consisted of 99% variable-rate investments. As of December 31, 2019, we had one portfolio company on non-accrual, representing 0.4% and zero of our overall portfolio on a cost and fair value basis, respectively. Overall, the portfolio had net unrealized depreciation of $7.0 million. Our overall portfolio consisted of 102 companies with an average investment size of $11.5 million, had a weighted average yield on debt investments of 8.4%, and was</w:t>
      </w:r>
    </w:p>
    <w:p>
      <w:pPr>
        <w:sectPr>
          <w:pgSz w:w="11900" w:h="16838" w:orient="portrait"/>
          <w:cols w:equalWidth="0" w:num="1">
            <w:col w:w="11240"/>
          </w:cols>
          <w:pgMar w:left="320" w:top="112" w:right="339" w:bottom="0" w:gutter="0" w:footer="0" w:header="0"/>
        </w:sectPr>
      </w:pPr>
    </w:p>
    <w:bookmarkStart w:id="4" w:name="page5"/>
    <w:bookmarkEnd w:id="4"/>
    <w:p>
      <w:pPr>
        <w:jc w:val="both"/>
        <w:spacing w:after="0"/>
        <w:rPr>
          <w:sz w:val="20"/>
          <w:szCs w:val="20"/>
          <w:color w:val="auto"/>
        </w:rPr>
      </w:pPr>
      <w:r>
        <w:rPr>
          <w:rFonts w:ascii="Arial" w:cs="Arial" w:eastAsia="Arial" w:hAnsi="Arial"/>
          <w:sz w:val="22"/>
          <w:szCs w:val="22"/>
          <w:color w:val="auto"/>
        </w:rPr>
        <w:t>invested 89% in first lien secured debt (including 10% in PSSL), 3% in second lien secured debt and 8% in preferred and common equity (including 4% in PSSL). As of December 31, 2019, 97% of the investments held by PSSL were first lien secured debt.</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As of September 30, 2019, our portfolio totaled $1,081.7 million and consisted of $944.9 million of first lien secured debt (including $122.2 million in PSSL), $34.4 million of second lien secured debt and $102.4 million of preferred and common equity (including $50.0 million in PSSL). Our debt portfolio consisted of 99% variable-rate investments. As of September 30, 2019, we had one portfolio company on non-accrual, representing 0.4% and zero of our overall portfolio on a cost and fair value basis, respectively. Overall, the portfolio had net unrealized depreciation of $3.5 million. Our overall portfolio consisted of 95 companies with an average investment size of $11.4 million, had a weighted average yield on debt investments of 8.7%, and was invested 87% in first lien secured debt (including 11% in PSSL), 3% in second lien secured debt and 10% in preferred and common equity (including 5% in PSSL). As of September 30, 2019, 97% of the investments held by PSSL were first lien secured debt.</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December 31, 2019, we invested $239.4 million in 10 new and 31 existing portfolio companies with a weighted average yield on debt investments of 8.2%. Sales and repayments of investments for the three months ended December 31, 2019 totaled $143.7 million.</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December 31, 2018, we invested $180.7 million in nine new and 24 existing portfolio companies with a weighted average yield on debt investments of 8.6%. Sales and repayments of investments for the three months ended December 31, 2018 totaled $190.3 million.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Senior Secured Loan Fund I LLC</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As of December 31, 2019, PSSL’s portfolio totaled $493.2 million, consisted of 49 companies with an average investment size of $10.1 million and had a weighted average yield on debt investments of 7.4%. As of September 30, 2019, PSSL’s portfolio totaled $488.5 million, consisted of 45 companies with an average investment size of $10.9 million and had a weighted average yield on debt investments of 7.6%.</w:t>
      </w:r>
    </w:p>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For the three months ended December 31, 2019, PSSL invested $69.1 million (of which $68.9 million was purchased from the Company) in eight new and one existing portfolio companies with a weighted average yield on debt investments of 7.5%. PSSL’s sales and repayments of investments for the three months ended December 31, 2019 totaled $66.4 million. For the three months ended December 31, 2018, PSSL invested $142.4 million (of which $38.0 million was purchased from the Company) in nine new and three existing portfolio companies with a weighted average yield on debt investments of 8.1%. PSSL’s sales and repayments of investments for the three months ended December 31, 2018 totaled $70.7 million.</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months ended December 31, 2019 and 2018.</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Investment income for the three months ended December 31, 2019 was $24.6 million and was attributable to $22.4 million from first lien secured debt and $2.2 million from second lien secured debt, subordinated debt and preferred and common equity, respectively. This compares to investment income for the three months ended December 31, 2018, which was $23.2 million and was attributable to $21.1 million from first lien secured debt and $2.1 million from second lien secured debt, subordinated debt and preferred and common equity, respectively. The increase in investment income compared to the same periods in the prior year was primarily due to the growth of our portfolio.</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Expenses for the three months ended December 31, 2019 totaled $13.5 million. Base management fee for the same period totaled $2.8 million, incentive fee totaled $2.3 million (including $2.3 million on net investment income and zero accrued but not payable on realized gains), debt related interest and expenses totaled $7.3 million, general and administrative expenses totaled $1.0 million, and provision for taxes of $0.1 million. This compares to expenses for the three months ended December 31, 2018, which totaled $12.2 million. Base management fee for the same period totaled $2.5 million, incentive fee totaled $(1.2) million (including $0.2 million on net investment income and $(1.4) million accrued but not payable on realized gains), debt related interest and expenses totaled $9.8 million (including $4.5 million in Credit Facility amendment costs) and general and administrative expenses totaled $1.1 million. The increase in expenses for the three months ended December 31, 2019 compared to the same period in the prior year was primarily due to increase in management and incentive fees and debt related interest and expenses due to the growth of our portfolio in the current period.</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Net investment income totaled $11.1 million or $0.29 for the three months ended December 31, 2019. Net investment income totaled $10.9 million or $0.28 per share for the three months ended December 31, 2018. The change in net investment income compared to the same period in the prior year was primarily due to the growth of our portfolio in the current year as well as financing costs incurred in the prior year.</w:t>
      </w:r>
    </w:p>
    <w:p>
      <w:pPr>
        <w:sectPr>
          <w:pgSz w:w="11900" w:h="16838" w:orient="portrait"/>
          <w:cols w:equalWidth="0" w:num="1">
            <w:col w:w="11240"/>
          </w:cols>
          <w:pgMar w:left="320" w:top="118" w:right="339" w:bottom="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Sales and repayments of investments for the three months ended December 31, 2019 totaled $143.7 million and net realized gains totaled $1.0 million. Sales and repayments of investments for the three months ended December 31, 2018 totaled $190.3 million, and net realized gains totaled $0.9 million. The change in realized gains/losses was primarily due to changes in the market conditions of our investments and the values at which they were realized.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the Credit Facility and the 2023 Notes</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For the three months ended December 31, 2019, we reported net change in unrealized depreciation on investments of $3.5 million. For the three months ended December 31, 2018, we reported net change in unrealized depreciation on investments of $12.4 million. As of December 31, 2019 and 2018, our net unrealized depreciation on investments totaled $7.0 million and $13.3 million, respectively. The net change in unrealized depreciation on our investments compared to the same period in the prior year was primarily due to changes in the capital market conditions, the financial performance of certain portfolio companies and the reversal of unrealized appreciation/depreciation on investments that were realized.</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For the three months ended December 31, 2019 and 2018, the Credit Facility and the 2023 Notes had a net change in unrealized appreciation of $1.4 million and $5.5 million, respectively. As of December 31, 2019 and 2018, the net unrealized depreciation on the Credit Facility and the 2023 Notes totaled $6.0 million and $4.7 million, respectively. The net change in net unrealized depreciation compared to the same period in the prior year was primarily due to changes in the capital markets.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Net change in net assets resulting from operations totaled $10.0 million or $0.26 per share, respectively, for the three months ended December 31, 2019. This compares to a net change in net assets resulting from operations of $5.0 million or $0.13 per share for the three months ended December 31, 2018. The increase net assets from operations compared to the same period in the prior year was primarily due to appreciation of the portfolio in the current period.</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w:t>
      </w:r>
    </w:p>
    <w:p>
      <w:pPr>
        <w:spacing w:after="0" w:line="186"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The annualized weighted average cost of debt for the three months ended December 31, 2019 and 2018, inclusive of the fee on the undrawn commitment on the Credit Facility, amendment costs and debt issuance costs, was 4.5% and 5.3%, respectively. As of December 31, 2019 and September 30, 2019, we had $184.7 million and $254.7 million of unused borrowing capacity under the Credit Facility, respectively, subject to the regulatory restrictions.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As of December 31, 2019 and September 30, 2019, PennantPark Floating Rate Funding I, LLC, or Funding I, borrowed $335.3 million and $265.3 under the Credit Facility, respectively. The Credit Facility had a weighted average interest rate of 3.7% and 4.1%, exclusive of the fee on undrawn commitments as of December 31, 2019 and September 30, 2019, respectively.</w:t>
      </w:r>
    </w:p>
    <w:p>
      <w:pPr>
        <w:spacing w:after="0" w:line="150"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December 31, 2019 and September 30, 2019, we had cash equivalents of $56.3 million and $63.3 million, respectively, available for investing and general corporate purposes. We believe our liquidity and capital resources are sufficient to take advantage of market opportunities.</w:t>
      </w:r>
    </w:p>
    <w:p>
      <w:pPr>
        <w:spacing w:after="0" w:line="185" w:lineRule="exact"/>
        <w:rPr>
          <w:sz w:val="20"/>
          <w:szCs w:val="20"/>
          <w:color w:val="auto"/>
        </w:rPr>
      </w:pPr>
    </w:p>
    <w:p>
      <w:pPr>
        <w:jc w:val="both"/>
        <w:ind w:right="20"/>
        <w:spacing w:after="0" w:line="237" w:lineRule="auto"/>
        <w:rPr>
          <w:sz w:val="20"/>
          <w:szCs w:val="20"/>
          <w:color w:val="auto"/>
        </w:rPr>
      </w:pPr>
      <w:r>
        <w:rPr>
          <w:rFonts w:ascii="Arial" w:cs="Arial" w:eastAsia="Arial" w:hAnsi="Arial"/>
          <w:sz w:val="22"/>
          <w:szCs w:val="22"/>
          <w:color w:val="auto"/>
        </w:rPr>
        <w:t>Our operating activities used cash of $66.1 million for the three months ended December 31, 2019, and our financing activities provided cash of $58.9 million for the same period. Our operating activities used cash primarily for our investment activities and our financing activities provided cash primarily from draws on our credit facility, partially offset by distributions paid to stockholders.</w:t>
      </w:r>
    </w:p>
    <w:p>
      <w:pPr>
        <w:spacing w:after="0" w:line="187" w:lineRule="exact"/>
        <w:rPr>
          <w:sz w:val="20"/>
          <w:szCs w:val="20"/>
          <w:color w:val="auto"/>
        </w:rPr>
      </w:pPr>
    </w:p>
    <w:p>
      <w:pPr>
        <w:jc w:val="both"/>
        <w:ind w:right="20"/>
        <w:spacing w:after="0" w:line="237" w:lineRule="auto"/>
        <w:rPr>
          <w:sz w:val="20"/>
          <w:szCs w:val="20"/>
          <w:color w:val="auto"/>
        </w:rPr>
      </w:pPr>
      <w:r>
        <w:rPr>
          <w:rFonts w:ascii="Arial" w:cs="Arial" w:eastAsia="Arial" w:hAnsi="Arial"/>
          <w:sz w:val="22"/>
          <w:szCs w:val="22"/>
          <w:color w:val="auto"/>
        </w:rPr>
        <w:t>Our operating activities used cash of $43.6 million for the three months ended December 31, 2018 and our financing activities provided cash of $6.1 million for the same period. Our operating activities used cash primarily for our investment activities and our financing activities provided cash primarily from draws on our credit facility, partially offset by distributions paid to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During the three months ended December 31, 2019 and 2018, we declared distributions of $0.285 per share, for total distributions of $11.1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ectPr>
          <w:pgSz w:w="11900" w:h="16838" w:orient="portrait"/>
          <w:cols w:equalWidth="0" w:num="1">
            <w:col w:w="11240"/>
          </w:cols>
          <w:pgMar w:left="320" w:top="112" w:right="339" w:bottom="0" w:gutter="0" w:footer="0" w:header="0"/>
        </w:sectPr>
      </w:pPr>
    </w:p>
    <w:bookmarkStart w:id="6" w:name="page7"/>
    <w:bookmarkEnd w:id="6"/>
    <w:p>
      <w:pPr>
        <w:spacing w:after="0" w:line="250" w:lineRule="auto"/>
        <w:rPr>
          <w:sz w:val="20"/>
          <w:szCs w:val="20"/>
          <w:color w:val="auto"/>
        </w:rPr>
      </w:pPr>
      <w:r>
        <w:rPr>
          <w:rFonts w:ascii="Arial" w:cs="Arial" w:eastAsia="Arial" w:hAnsi="Arial"/>
          <w:sz w:val="22"/>
          <w:szCs w:val="22"/>
          <w:color w:val="auto"/>
        </w:rPr>
        <w:t xml:space="preserve">The Company makes available on its website its report on Form 10-Q filed with the SEC and stockholders may find the report on its website at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169"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PENNANTPARK FLOATING RATE CAPITAL LTD. AND SUBSIDIARIES</w:t>
      </w:r>
    </w:p>
    <w:p>
      <w:pPr>
        <w:spacing w:after="0" w:line="14" w:lineRule="exact"/>
        <w:rPr>
          <w:sz w:val="20"/>
          <w:szCs w:val="20"/>
          <w:color w:val="auto"/>
        </w:rPr>
      </w:pPr>
    </w:p>
    <w:p>
      <w:pPr>
        <w:ind w:left="2440"/>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22"/>
                <w:szCs w:val="22"/>
                <w:b w:val="1"/>
                <w:bCs w:val="1"/>
                <w:color w:val="auto"/>
                <w:w w:val="88"/>
              </w:rPr>
              <w:t>December 31,</w:t>
            </w:r>
          </w:p>
        </w:tc>
        <w:tc>
          <w:tcPr>
            <w:tcW w:w="14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22"/>
                <w:szCs w:val="22"/>
                <w:b w:val="1"/>
                <w:bCs w:val="1"/>
                <w:color w:val="auto"/>
                <w:w w:val="86"/>
              </w:rPr>
              <w:t>September 30,</w:t>
            </w: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center"/>
              <w:ind w:right="32"/>
              <w:spacing w:after="0"/>
              <w:rPr>
                <w:sz w:val="20"/>
                <w:szCs w:val="20"/>
                <w:color w:val="auto"/>
              </w:rPr>
            </w:pPr>
            <w:r>
              <w:rPr>
                <w:rFonts w:ascii="Arial" w:cs="Arial" w:eastAsia="Arial" w:hAnsi="Arial"/>
                <w:sz w:val="22"/>
                <w:szCs w:val="22"/>
                <w:b w:val="1"/>
                <w:bCs w:val="1"/>
                <w:color w:val="auto"/>
                <w:w w:val="85"/>
              </w:rPr>
              <w:t>2019</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ind w:right="472"/>
              <w:spacing w:after="0"/>
              <w:rPr>
                <w:sz w:val="20"/>
                <w:szCs w:val="20"/>
                <w:color w:val="auto"/>
              </w:rPr>
            </w:pPr>
            <w:r>
              <w:rPr>
                <w:rFonts w:ascii="Arial" w:cs="Arial" w:eastAsia="Arial" w:hAnsi="Arial"/>
                <w:sz w:val="22"/>
                <w:szCs w:val="22"/>
                <w:b w:val="1"/>
                <w:bCs w:val="1"/>
                <w:color w:val="auto"/>
              </w:rPr>
              <w:t>2019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800" w:type="dxa"/>
            <w:vAlign w:val="bottom"/>
            <w:vMerge w:val="restart"/>
          </w:tcPr>
          <w:p>
            <w:pPr>
              <w:spacing w:after="0"/>
              <w:rPr>
                <w:sz w:val="20"/>
                <w:szCs w:val="20"/>
                <w:color w:val="auto"/>
              </w:rPr>
            </w:pPr>
            <w:r>
              <w:rPr>
                <w:rFonts w:ascii="Arial" w:cs="Arial" w:eastAsia="Arial" w:hAnsi="Arial"/>
                <w:sz w:val="22"/>
                <w:szCs w:val="22"/>
                <w:b w:val="1"/>
                <w:bCs w:val="1"/>
                <w:color w:val="auto"/>
              </w:rPr>
              <w:t>Assets</w:t>
            </w:r>
          </w:p>
        </w:tc>
        <w:tc>
          <w:tcPr>
            <w:tcW w:w="140" w:type="dxa"/>
            <w:vAlign w:val="bottom"/>
          </w:tcPr>
          <w:p>
            <w:pPr>
              <w:spacing w:after="0"/>
              <w:rPr>
                <w:sz w:val="24"/>
                <w:szCs w:val="2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22"/>
                <w:szCs w:val="22"/>
                <w:b w:val="1"/>
                <w:bCs w:val="1"/>
                <w:color w:val="auto"/>
                <w:w w:val="88"/>
              </w:rPr>
              <w:t>(unaudited)</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7800" w:type="dxa"/>
            <w:vAlign w:val="bottom"/>
            <w:vMerge w:val="continue"/>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780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line="243" w:lineRule="exact"/>
              <w:rPr>
                <w:sz w:val="20"/>
                <w:szCs w:val="20"/>
                <w:color w:val="auto"/>
              </w:rPr>
            </w:pPr>
            <w:r>
              <w:rPr>
                <w:rFonts w:ascii="Arial" w:cs="Arial" w:eastAsia="Arial" w:hAnsi="Arial"/>
                <w:sz w:val="22"/>
                <w:szCs w:val="22"/>
                <w:color w:val="auto"/>
                <w:w w:val="93"/>
              </w:rPr>
              <w:t>Non-controlled, non-affiliated investments (cost—$983,709,595 and $886,955,156,</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0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400" w:type="dxa"/>
            <w:vAlign w:val="bottom"/>
          </w:tcPr>
          <w:p>
            <w:pPr>
              <w:jc w:val="right"/>
              <w:spacing w:after="0"/>
              <w:rPr>
                <w:sz w:val="20"/>
                <w:szCs w:val="20"/>
                <w:color w:val="auto"/>
              </w:rPr>
            </w:pPr>
            <w:r>
              <w:rPr>
                <w:rFonts w:ascii="Arial" w:cs="Arial" w:eastAsia="Arial" w:hAnsi="Arial"/>
                <w:sz w:val="22"/>
                <w:szCs w:val="22"/>
                <w:color w:val="auto"/>
              </w:rPr>
              <w:t>988,154,489</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60" w:type="dxa"/>
            <w:vAlign w:val="bottom"/>
          </w:tcPr>
          <w:p>
            <w:pPr>
              <w:jc w:val="right"/>
              <w:spacing w:after="0"/>
              <w:rPr>
                <w:sz w:val="20"/>
                <w:szCs w:val="20"/>
                <w:color w:val="auto"/>
              </w:rPr>
            </w:pPr>
            <w:r>
              <w:rPr>
                <w:rFonts w:ascii="Arial" w:cs="Arial" w:eastAsia="Arial" w:hAnsi="Arial"/>
                <w:sz w:val="22"/>
                <w:szCs w:val="22"/>
                <w:color w:val="auto"/>
              </w:rPr>
              <w:t>889,113,264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line="243" w:lineRule="exact"/>
              <w:rPr>
                <w:sz w:val="20"/>
                <w:szCs w:val="20"/>
                <w:color w:val="auto"/>
              </w:rPr>
            </w:pPr>
            <w:r>
              <w:rPr>
                <w:rFonts w:ascii="Arial" w:cs="Arial" w:eastAsia="Arial" w:hAnsi="Arial"/>
                <w:sz w:val="22"/>
                <w:szCs w:val="22"/>
                <w:color w:val="auto"/>
              </w:rPr>
              <w:t>Non-controlled, affiliated investments (cost—$24,922,178 and $23,645,693,</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0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16,039,827</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20,430,565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line="243" w:lineRule="exact"/>
              <w:rPr>
                <w:sz w:val="20"/>
                <w:szCs w:val="20"/>
                <w:color w:val="auto"/>
              </w:rPr>
            </w:pPr>
            <w:r>
              <w:rPr>
                <w:rFonts w:ascii="Arial" w:cs="Arial" w:eastAsia="Arial" w:hAnsi="Arial"/>
                <w:sz w:val="22"/>
                <w:szCs w:val="22"/>
                <w:color w:val="auto"/>
              </w:rPr>
              <w:t>Controlled, affiliated investments (cost—$174,562,500 and $174,562,500,</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780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171,921,598</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172,163,080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7800" w:type="dxa"/>
            <w:vAlign w:val="bottom"/>
          </w:tcPr>
          <w:p>
            <w:pPr>
              <w:ind w:left="260"/>
              <w:spacing w:after="0"/>
              <w:rPr>
                <w:sz w:val="20"/>
                <w:szCs w:val="20"/>
                <w:color w:val="auto"/>
              </w:rPr>
            </w:pPr>
            <w:r>
              <w:rPr>
                <w:rFonts w:ascii="Arial" w:cs="Arial" w:eastAsia="Arial" w:hAnsi="Arial"/>
                <w:sz w:val="22"/>
                <w:szCs w:val="22"/>
                <w:color w:val="auto"/>
                <w:w w:val="98"/>
              </w:rPr>
              <w:t>Total of investments (cost—$1,183,194,273 and $1,085,172,349, respectively)</w:t>
            </w: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w w:val="96"/>
              </w:rPr>
              <w:t>1,176,115,914</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1,081,706,909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0"/>
                <w:szCs w:val="20"/>
                <w:color w:val="auto"/>
              </w:rPr>
            </w:pPr>
            <w:r>
              <w:rPr>
                <w:rFonts w:ascii="Arial" w:cs="Arial" w:eastAsia="Arial" w:hAnsi="Arial"/>
                <w:sz w:val="22"/>
                <w:szCs w:val="22"/>
                <w:color w:val="auto"/>
              </w:rPr>
              <w:t>Cash and cash equivalents (cost—$56,261,842 and $63,367,237, respectively)</w:t>
            </w: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56,292,541</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63,337,728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0"/>
                <w:szCs w:val="20"/>
                <w:color w:val="auto"/>
              </w:rPr>
            </w:pPr>
            <w:r>
              <w:rPr>
                <w:rFonts w:ascii="Arial" w:cs="Arial" w:eastAsia="Arial" w:hAnsi="Arial"/>
                <w:sz w:val="22"/>
                <w:szCs w:val="22"/>
                <w:color w:val="auto"/>
              </w:rPr>
              <w:t>Interest receivable</w:t>
            </w: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3,144,695</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3,892,292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0"/>
                <w:szCs w:val="20"/>
                <w:color w:val="auto"/>
              </w:rPr>
            </w:pPr>
            <w:r>
              <w:rPr>
                <w:rFonts w:ascii="Arial" w:cs="Arial" w:eastAsia="Arial" w:hAnsi="Arial"/>
                <w:sz w:val="22"/>
                <w:szCs w:val="22"/>
                <w:color w:val="auto"/>
              </w:rPr>
              <w:t>Receivable for investments sold</w:t>
            </w: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58,425,962</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2,997,546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80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402,760</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441,337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80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1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1,294,381,872</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1,152,375,812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780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0"/>
                <w:szCs w:val="20"/>
                <w:color w:val="auto"/>
              </w:rPr>
            </w:pPr>
            <w:r>
              <w:rPr>
                <w:rFonts w:ascii="Arial" w:cs="Arial" w:eastAsia="Arial" w:hAnsi="Arial"/>
                <w:sz w:val="22"/>
                <w:szCs w:val="22"/>
                <w:color w:val="auto"/>
              </w:rPr>
              <w:t>Distributions payable</w:t>
            </w: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3,683,347</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3,683,347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85,457,647</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12,033,794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800" w:type="dxa"/>
            <w:vAlign w:val="bottom"/>
          </w:tcPr>
          <w:p>
            <w:pPr>
              <w:spacing w:after="0" w:line="243" w:lineRule="exact"/>
              <w:rPr>
                <w:sz w:val="20"/>
                <w:szCs w:val="20"/>
                <w:color w:val="auto"/>
              </w:rPr>
            </w:pPr>
            <w:r>
              <w:rPr>
                <w:rFonts w:ascii="Arial" w:cs="Arial" w:eastAsia="Arial" w:hAnsi="Arial"/>
                <w:sz w:val="22"/>
                <w:szCs w:val="22"/>
                <w:color w:val="auto"/>
              </w:rPr>
              <w:t>Credit Facility payable, at fair value (cost—$335,307,500 and $265,307,500,</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0"/>
                <w:szCs w:val="20"/>
                <w:color w:val="auto"/>
              </w:rPr>
            </w:pPr>
            <w:r>
              <w:rPr>
                <w:rFonts w:ascii="Arial" w:cs="Arial" w:eastAsia="Arial" w:hAnsi="Arial"/>
                <w:sz w:val="22"/>
                <w:szCs w:val="22"/>
                <w:color w:val="auto"/>
              </w:rPr>
              <w:t>respectively)</w:t>
            </w: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334,040,510</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263,988,583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0"/>
                <w:szCs w:val="20"/>
                <w:color w:val="auto"/>
              </w:rPr>
            </w:pPr>
            <w:r>
              <w:rPr>
                <w:rFonts w:ascii="Arial" w:cs="Arial" w:eastAsia="Arial" w:hAnsi="Arial"/>
                <w:sz w:val="22"/>
                <w:szCs w:val="22"/>
                <w:color w:val="auto"/>
              </w:rPr>
              <w:t>2023 Notes payable, at fair value (par—$138,579,858)</w:t>
            </w: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133,826,569</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135,240,084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0"/>
                <w:szCs w:val="20"/>
                <w:color w:val="auto"/>
              </w:rPr>
            </w:pPr>
            <w:r>
              <w:rPr>
                <w:rFonts w:ascii="Arial" w:cs="Arial" w:eastAsia="Arial" w:hAnsi="Arial"/>
                <w:sz w:val="22"/>
                <w:szCs w:val="22"/>
                <w:color w:val="auto"/>
              </w:rPr>
              <w:t>2031 Asset-Backed Debt, net (par—$228,000,000)</w:t>
            </w: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224,393,947</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224,321,845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4,085,056</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3,275,481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0"/>
                <w:szCs w:val="20"/>
                <w:color w:val="auto"/>
              </w:rPr>
            </w:pPr>
            <w:r>
              <w:rPr>
                <w:rFonts w:ascii="Arial" w:cs="Arial" w:eastAsia="Arial" w:hAnsi="Arial"/>
                <w:sz w:val="22"/>
                <w:szCs w:val="22"/>
                <w:color w:val="auto"/>
              </w:rPr>
              <w:t>Base management fee payable</w:t>
            </w: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2,830,159</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2,728,019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0"/>
                <w:szCs w:val="20"/>
                <w:color w:val="auto"/>
              </w:rPr>
            </w:pPr>
            <w:r>
              <w:rPr>
                <w:rFonts w:ascii="Arial" w:cs="Arial" w:eastAsia="Arial" w:hAnsi="Arial"/>
                <w:sz w:val="22"/>
                <w:szCs w:val="22"/>
                <w:color w:val="auto"/>
              </w:rPr>
              <w:t>Performance-based incentive fee payable</w:t>
            </w: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2,315,834</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2,532,205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80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1,768,439</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1,514,943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80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1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792,401,508</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649,318,301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780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80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1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800" w:type="dxa"/>
            <w:vAlign w:val="bottom"/>
          </w:tcPr>
          <w:p>
            <w:pPr>
              <w:spacing w:after="0" w:line="243" w:lineRule="exact"/>
              <w:rPr>
                <w:sz w:val="20"/>
                <w:szCs w:val="20"/>
                <w:color w:val="auto"/>
              </w:rPr>
            </w:pPr>
            <w:r>
              <w:rPr>
                <w:rFonts w:ascii="Arial" w:cs="Arial" w:eastAsia="Arial" w:hAnsi="Arial"/>
                <w:sz w:val="22"/>
                <w:szCs w:val="22"/>
                <w:color w:val="auto"/>
                <w:w w:val="92"/>
              </w:rPr>
              <w:t>Common stock, 38,772,074 shares issued and outstanding Par value $0.001 per share</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tcPr>
          <w:p>
            <w:pPr>
              <w:spacing w:after="0" w:line="243" w:lineRule="exact"/>
              <w:rPr>
                <w:sz w:val="20"/>
                <w:szCs w:val="20"/>
                <w:color w:val="auto"/>
              </w:rPr>
            </w:pPr>
            <w:r>
              <w:rPr>
                <w:rFonts w:ascii="Arial" w:cs="Arial" w:eastAsia="Arial" w:hAnsi="Arial"/>
                <w:sz w:val="22"/>
                <w:szCs w:val="22"/>
                <w:color w:val="auto"/>
              </w:rPr>
              <w:t>and 100,000,000</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00" w:type="dxa"/>
            <w:vAlign w:val="bottom"/>
          </w:tcPr>
          <w:p>
            <w:pPr>
              <w:ind w:left="100"/>
              <w:spacing w:after="0"/>
              <w:rPr>
                <w:sz w:val="20"/>
                <w:szCs w:val="20"/>
                <w:color w:val="auto"/>
              </w:rPr>
            </w:pPr>
            <w:r>
              <w:rPr>
                <w:rFonts w:ascii="Arial" w:cs="Arial" w:eastAsia="Arial" w:hAnsi="Arial"/>
                <w:sz w:val="22"/>
                <w:szCs w:val="22"/>
                <w:color w:val="auto"/>
              </w:rPr>
              <w:t>shares authorized</w:t>
            </w: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38,772</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38,772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538,632,828</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538,632,828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800" w:type="dxa"/>
            <w:vAlign w:val="bottom"/>
          </w:tcPr>
          <w:p>
            <w:pPr>
              <w:spacing w:after="0"/>
              <w:rPr>
                <w:sz w:val="20"/>
                <w:szCs w:val="20"/>
                <w:color w:val="auto"/>
              </w:rPr>
            </w:pPr>
            <w:r>
              <w:rPr>
                <w:rFonts w:ascii="Arial" w:cs="Arial" w:eastAsia="Arial" w:hAnsi="Arial"/>
                <w:sz w:val="22"/>
                <w:szCs w:val="22"/>
                <w:color w:val="auto"/>
              </w:rPr>
              <w:t>Distributable income</w:t>
            </w:r>
          </w:p>
        </w:tc>
        <w:tc>
          <w:tcPr>
            <w:tcW w:w="140" w:type="dxa"/>
            <w:vAlign w:val="bottom"/>
          </w:tcPr>
          <w:p>
            <w:pPr>
              <w:spacing w:after="0"/>
              <w:rPr>
                <w:sz w:val="23"/>
                <w:szCs w:val="23"/>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22"/>
                <w:szCs w:val="22"/>
                <w:color w:val="auto"/>
              </w:rPr>
              <w:t>(36,691,236)</w:t>
            </w:r>
          </w:p>
        </w:tc>
        <w:tc>
          <w:tcPr>
            <w:tcW w:w="140" w:type="dxa"/>
            <w:vAlign w:val="bottom"/>
          </w:tcPr>
          <w:p>
            <w:pPr>
              <w:spacing w:after="0"/>
              <w:rPr>
                <w:sz w:val="23"/>
                <w:szCs w:val="23"/>
                <w:color w:val="auto"/>
              </w:rPr>
            </w:pPr>
          </w:p>
        </w:tc>
        <w:tc>
          <w:tcPr>
            <w:tcW w:w="1540" w:type="dxa"/>
            <w:vAlign w:val="bottom"/>
            <w:gridSpan w:val="2"/>
          </w:tcPr>
          <w:p>
            <w:pPr>
              <w:jc w:val="right"/>
              <w:spacing w:after="0"/>
              <w:rPr>
                <w:sz w:val="20"/>
                <w:szCs w:val="20"/>
                <w:color w:val="auto"/>
              </w:rPr>
            </w:pPr>
            <w:r>
              <w:rPr>
                <w:rFonts w:ascii="Arial" w:cs="Arial" w:eastAsia="Arial" w:hAnsi="Arial"/>
                <w:sz w:val="22"/>
                <w:szCs w:val="22"/>
                <w:color w:val="auto"/>
              </w:rPr>
              <w:t>(35,614,089)</w:t>
            </w:r>
          </w:p>
        </w:tc>
        <w:tc>
          <w:tcPr>
            <w:tcW w:w="0" w:type="dxa"/>
            <w:vAlign w:val="bottom"/>
          </w:tcPr>
          <w:p>
            <w:pPr>
              <w:spacing w:after="0"/>
              <w:rPr>
                <w:sz w:val="1"/>
                <w:szCs w:val="1"/>
                <w:color w:val="auto"/>
              </w:rPr>
            </w:pPr>
          </w:p>
        </w:tc>
      </w:tr>
      <w:tr>
        <w:trPr>
          <w:trHeight w:val="267"/>
        </w:trPr>
        <w:tc>
          <w:tcPr>
            <w:tcW w:w="780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501,980,364</w:t>
            </w:r>
          </w:p>
        </w:tc>
        <w:tc>
          <w:tcPr>
            <w:tcW w:w="18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503,057,511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80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1,294,381,872</w:t>
            </w:r>
          </w:p>
        </w:tc>
        <w:tc>
          <w:tcPr>
            <w:tcW w:w="1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1,152,375,812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80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12.95</w:t>
            </w:r>
          </w:p>
        </w:tc>
        <w:tc>
          <w:tcPr>
            <w:tcW w:w="1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12.97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60"/>
        <w:spacing w:after="0" w:line="243" w:lineRule="auto"/>
        <w:rPr>
          <w:sz w:val="20"/>
          <w:szCs w:val="20"/>
          <w:color w:val="auto"/>
        </w:rPr>
      </w:pPr>
      <w:r>
        <w:rPr>
          <w:rFonts w:ascii="Arial" w:cs="Arial" w:eastAsia="Arial" w:hAnsi="Arial"/>
          <w:sz w:val="22"/>
          <w:szCs w:val="22"/>
          <w:b w:val="1"/>
          <w:bCs w:val="1"/>
          <w:color w:val="auto"/>
        </w:rPr>
        <w:t>PENNANTPARK FLOATING RATE CAPITAL LTD. AND SUBSIDIARIES CONSOLIDATED STATEMENTS OF OPERATIONS (Unaudited)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7700" w:type="dxa"/>
            <w:vAlign w:val="bottom"/>
          </w:tcPr>
          <w:p>
            <w:pPr>
              <w:spacing w:after="0"/>
              <w:rPr>
                <w:sz w:val="24"/>
                <w:szCs w:val="24"/>
                <w:color w:val="auto"/>
              </w:rPr>
            </w:pPr>
          </w:p>
        </w:tc>
        <w:tc>
          <w:tcPr>
            <w:tcW w:w="3400" w:type="dxa"/>
            <w:vAlign w:val="bottom"/>
            <w:tcBorders>
              <w:bottom w:val="single" w:sz="8" w:color="auto"/>
            </w:tcBorders>
            <w:gridSpan w:val="5"/>
          </w:tcPr>
          <w:p>
            <w:pPr>
              <w:jc w:val="right"/>
              <w:spacing w:after="0"/>
              <w:rPr>
                <w:sz w:val="20"/>
                <w:szCs w:val="20"/>
                <w:color w:val="auto"/>
              </w:rPr>
            </w:pPr>
            <w:r>
              <w:rPr>
                <w:rFonts w:ascii="Arial" w:cs="Arial" w:eastAsia="Arial" w:hAnsi="Arial"/>
                <w:sz w:val="22"/>
                <w:szCs w:val="22"/>
                <w:b w:val="1"/>
                <w:bCs w:val="1"/>
                <w:color w:val="auto"/>
                <w:w w:val="90"/>
              </w:rPr>
              <w:t>Three Months Ended December 31,</w:t>
            </w:r>
          </w:p>
        </w:tc>
        <w:tc>
          <w:tcPr>
            <w:tcW w:w="0" w:type="dxa"/>
            <w:vAlign w:val="bottom"/>
          </w:tcPr>
          <w:p>
            <w:pPr>
              <w:spacing w:after="0"/>
              <w:rPr>
                <w:sz w:val="1"/>
                <w:szCs w:val="1"/>
                <w:color w:val="auto"/>
              </w:rPr>
            </w:pPr>
          </w:p>
        </w:tc>
      </w:tr>
      <w:tr>
        <w:trPr>
          <w:trHeight w:val="265"/>
        </w:trPr>
        <w:tc>
          <w:tcPr>
            <w:tcW w:w="7700" w:type="dxa"/>
            <w:vAlign w:val="bottom"/>
            <w:vMerge w:val="restart"/>
          </w:tcPr>
          <w:p>
            <w:pPr>
              <w:spacing w:after="0"/>
              <w:rPr>
                <w:sz w:val="20"/>
                <w:szCs w:val="20"/>
                <w:color w:val="auto"/>
              </w:rPr>
            </w:pPr>
            <w:r>
              <w:rPr>
                <w:rFonts w:ascii="Arial" w:cs="Arial" w:eastAsia="Arial" w:hAnsi="Arial"/>
                <w:sz w:val="22"/>
                <w:szCs w:val="22"/>
                <w:b w:val="1"/>
                <w:bCs w:val="1"/>
                <w:color w:val="auto"/>
              </w:rPr>
              <w:t>Investment income:</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2019</w:t>
            </w:r>
          </w:p>
        </w:tc>
        <w:tc>
          <w:tcPr>
            <w:tcW w:w="2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22"/>
                <w:szCs w:val="22"/>
                <w:b w:val="1"/>
                <w:bCs w:val="1"/>
                <w:color w:val="auto"/>
              </w:rPr>
              <w:t>2018</w:t>
            </w:r>
          </w:p>
        </w:tc>
        <w:tc>
          <w:tcPr>
            <w:tcW w:w="0" w:type="dxa"/>
            <w:vAlign w:val="bottom"/>
          </w:tcPr>
          <w:p>
            <w:pPr>
              <w:spacing w:after="0"/>
              <w:rPr>
                <w:sz w:val="1"/>
                <w:szCs w:val="1"/>
                <w:color w:val="auto"/>
              </w:rPr>
            </w:pPr>
          </w:p>
        </w:tc>
      </w:tr>
      <w:tr>
        <w:trPr>
          <w:trHeight w:val="246"/>
        </w:trPr>
        <w:tc>
          <w:tcPr>
            <w:tcW w:w="770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770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18,909,894</w:t>
            </w:r>
          </w:p>
        </w:tc>
        <w:tc>
          <w:tcPr>
            <w:tcW w:w="220" w:type="dxa"/>
            <w:vAlign w:val="bottom"/>
          </w:tcPr>
          <w:p>
            <w:pPr>
              <w:spacing w:after="0"/>
              <w:rPr>
                <w:sz w:val="23"/>
                <w:szCs w:val="23"/>
                <w:color w:val="auto"/>
              </w:rPr>
            </w:pP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300" w:type="dxa"/>
            <w:vAlign w:val="bottom"/>
          </w:tcPr>
          <w:p>
            <w:pPr>
              <w:jc w:val="right"/>
              <w:spacing w:after="0"/>
              <w:rPr>
                <w:sz w:val="20"/>
                <w:szCs w:val="20"/>
                <w:color w:val="auto"/>
              </w:rPr>
            </w:pPr>
            <w:r>
              <w:rPr>
                <w:rFonts w:ascii="Arial" w:cs="Arial" w:eastAsia="Arial" w:hAnsi="Arial"/>
                <w:sz w:val="22"/>
                <w:szCs w:val="22"/>
                <w:color w:val="auto"/>
              </w:rPr>
              <w:t>18,169,998</w:t>
            </w:r>
          </w:p>
        </w:tc>
        <w:tc>
          <w:tcPr>
            <w:tcW w:w="0" w:type="dxa"/>
            <w:vAlign w:val="bottom"/>
          </w:tcPr>
          <w:p>
            <w:pPr>
              <w:spacing w:after="0"/>
              <w:rPr>
                <w:sz w:val="1"/>
                <w:szCs w:val="1"/>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3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773,103</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621,189</w:t>
            </w:r>
          </w:p>
        </w:tc>
        <w:tc>
          <w:tcPr>
            <w:tcW w:w="0" w:type="dxa"/>
            <w:vAlign w:val="bottom"/>
          </w:tcPr>
          <w:p>
            <w:pPr>
              <w:spacing w:after="0"/>
              <w:rPr>
                <w:sz w:val="1"/>
                <w:szCs w:val="1"/>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3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225,353</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3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3,155,324</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2,818,045</w:t>
            </w:r>
          </w:p>
        </w:tc>
        <w:tc>
          <w:tcPr>
            <w:tcW w:w="0" w:type="dxa"/>
            <w:vAlign w:val="bottom"/>
          </w:tcPr>
          <w:p>
            <w:pPr>
              <w:spacing w:after="0"/>
              <w:rPr>
                <w:sz w:val="1"/>
                <w:szCs w:val="1"/>
                <w:color w:val="auto"/>
              </w:rPr>
            </w:pP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Dividend</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1,575,000</w:t>
            </w:r>
          </w:p>
        </w:tc>
        <w:tc>
          <w:tcPr>
            <w:tcW w:w="2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1,575,000</w:t>
            </w:r>
          </w:p>
        </w:tc>
        <w:tc>
          <w:tcPr>
            <w:tcW w:w="0" w:type="dxa"/>
            <w:vAlign w:val="bottom"/>
          </w:tcPr>
          <w:p>
            <w:pPr>
              <w:spacing w:after="0"/>
              <w:rPr>
                <w:sz w:val="1"/>
                <w:szCs w:val="1"/>
                <w:color w:val="auto"/>
              </w:rPr>
            </w:pPr>
          </w:p>
        </w:tc>
      </w:tr>
      <w:tr>
        <w:trPr>
          <w:trHeight w:val="267"/>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rPr>
              <w:t>Total investment income</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24,638,674</w:t>
            </w:r>
          </w:p>
        </w:tc>
        <w:tc>
          <w:tcPr>
            <w:tcW w:w="2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23,184,232</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0" w:gutter="0" w:footer="0" w:header="0"/>
        </w:sectPr>
      </w:pPr>
    </w:p>
    <w:bookmarkStart w:id="7" w:name="page8"/>
    <w:bookmarkEnd w:id="7"/>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770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Base management fee</w:t>
            </w:r>
          </w:p>
        </w:tc>
        <w:tc>
          <w:tcPr>
            <w:tcW w:w="3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2,830,159</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2,498,766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Performance-based incentive fee</w:t>
            </w:r>
          </w:p>
        </w:tc>
        <w:tc>
          <w:tcPr>
            <w:tcW w:w="3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2,315,834</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(1,192,409)</w:t>
            </w:r>
          </w:p>
        </w:tc>
        <w:tc>
          <w:tcPr>
            <w:tcW w:w="0" w:type="dxa"/>
            <w:vAlign w:val="bottom"/>
          </w:tcPr>
          <w:p>
            <w:pPr>
              <w:spacing w:after="0"/>
              <w:rPr>
                <w:sz w:val="1"/>
                <w:szCs w:val="1"/>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Interest and expenses on debt</w:t>
            </w:r>
          </w:p>
        </w:tc>
        <w:tc>
          <w:tcPr>
            <w:tcW w:w="3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7,307,264</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5,305,478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Administrative services expenses</w:t>
            </w:r>
          </w:p>
        </w:tc>
        <w:tc>
          <w:tcPr>
            <w:tcW w:w="3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350,000</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500,000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Other general and administrative expenses</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616,077</w:t>
            </w:r>
          </w:p>
        </w:tc>
        <w:tc>
          <w:tcPr>
            <w:tcW w:w="2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616,075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w w:val="88"/>
              </w:rPr>
              <w:t>Expenses before amendment costs, debt issuance costs and provision for taxes</w:t>
            </w: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13,419,334</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7,727,910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Credit Facility amendment costs and debt issuance costs</w:t>
            </w:r>
          </w:p>
        </w:tc>
        <w:tc>
          <w:tcPr>
            <w:tcW w:w="320" w:type="dxa"/>
            <w:vAlign w:val="bottom"/>
          </w:tcPr>
          <w:p>
            <w:pPr>
              <w:spacing w:after="0"/>
              <w:rPr>
                <w:sz w:val="23"/>
                <w:szCs w:val="23"/>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4,512,279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Provision for taxes</w:t>
            </w:r>
          </w:p>
        </w:tc>
        <w:tc>
          <w:tcPr>
            <w:tcW w:w="3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100,000</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7"/>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rPr>
              <w:t>Total expenses</w:t>
            </w:r>
          </w:p>
        </w:tc>
        <w:tc>
          <w:tcPr>
            <w:tcW w:w="32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13,519,334</w:t>
            </w:r>
          </w:p>
        </w:tc>
        <w:tc>
          <w:tcPr>
            <w:tcW w:w="220" w:type="dxa"/>
            <w:vAlign w:val="bottom"/>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12,240,189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rPr>
              <w:t>Net investment income</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11,119,340</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10,944,043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700" w:type="dxa"/>
            <w:vAlign w:val="bottom"/>
          </w:tcPr>
          <w:p>
            <w:pPr>
              <w:spacing w:after="0"/>
              <w:rPr>
                <w:sz w:val="20"/>
                <w:szCs w:val="20"/>
                <w:color w:val="auto"/>
              </w:rPr>
            </w:pPr>
            <w:r>
              <w:rPr>
                <w:rFonts w:ascii="Arial" w:cs="Arial" w:eastAsia="Arial" w:hAnsi="Arial"/>
                <w:sz w:val="22"/>
                <w:szCs w:val="22"/>
                <w:b w:val="1"/>
                <w:bCs w:val="1"/>
                <w:color w:val="auto"/>
              </w:rPr>
              <w:t>Realized and unrealized loss on investments and debt:</w:t>
            </w: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Net realized gain on investments:</w:t>
            </w: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1,012,313</w:t>
            </w:r>
          </w:p>
        </w:tc>
        <w:tc>
          <w:tcPr>
            <w:tcW w:w="2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923,466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rPr>
              <w:t>Net realized loss on investments</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1,012,313</w:t>
            </w:r>
          </w:p>
        </w:tc>
        <w:tc>
          <w:tcPr>
            <w:tcW w:w="2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923,466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7700" w:type="dxa"/>
            <w:vAlign w:val="bottom"/>
          </w:tcPr>
          <w:p>
            <w:pPr>
              <w:spacing w:after="0"/>
              <w:rPr>
                <w:sz w:val="20"/>
                <w:szCs w:val="20"/>
                <w:color w:val="auto"/>
              </w:rPr>
            </w:pPr>
            <w:r>
              <w:rPr>
                <w:rFonts w:ascii="Arial" w:cs="Arial" w:eastAsia="Arial" w:hAnsi="Arial"/>
                <w:sz w:val="22"/>
                <w:szCs w:val="22"/>
                <w:color w:val="auto"/>
              </w:rPr>
              <w:t>Net change in unrealized depreciation on:</w:t>
            </w: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770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3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2,379,358</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(10,041,539)</w:t>
            </w:r>
          </w:p>
        </w:tc>
        <w:tc>
          <w:tcPr>
            <w:tcW w:w="0" w:type="dxa"/>
            <w:vAlign w:val="bottom"/>
          </w:tcPr>
          <w:p>
            <w:pPr>
              <w:spacing w:after="0"/>
              <w:rPr>
                <w:sz w:val="1"/>
                <w:szCs w:val="1"/>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Controlled and non-controlled, affiliated investments</w:t>
            </w:r>
          </w:p>
        </w:tc>
        <w:tc>
          <w:tcPr>
            <w:tcW w:w="320" w:type="dxa"/>
            <w:vAlign w:val="bottom"/>
          </w:tcPr>
          <w:p>
            <w:pPr>
              <w:spacing w:after="0"/>
              <w:rPr>
                <w:sz w:val="23"/>
                <w:szCs w:val="2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22"/>
                <w:szCs w:val="22"/>
                <w:color w:val="auto"/>
              </w:rPr>
              <w:t>(5,899,705)</w:t>
            </w:r>
          </w:p>
        </w:tc>
        <w:tc>
          <w:tcPr>
            <w:tcW w:w="36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(2,364,468)</w:t>
            </w:r>
          </w:p>
        </w:tc>
        <w:tc>
          <w:tcPr>
            <w:tcW w:w="0" w:type="dxa"/>
            <w:vAlign w:val="bottom"/>
          </w:tcPr>
          <w:p>
            <w:pPr>
              <w:spacing w:after="0"/>
              <w:rPr>
                <w:sz w:val="1"/>
                <w:szCs w:val="1"/>
                <w:color w:val="auto"/>
              </w:rPr>
            </w:pP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Debt depreciation</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1,361,588</w:t>
            </w:r>
          </w:p>
        </w:tc>
        <w:tc>
          <w:tcPr>
            <w:tcW w:w="2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5,533,693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rPr>
              <w:t>Net change in unrealized depreciation on investments and debt</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(2,158,759)</w:t>
            </w:r>
          </w:p>
        </w:tc>
        <w:tc>
          <w:tcPr>
            <w:tcW w:w="2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(6,872,314)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700" w:type="dxa"/>
            <w:vAlign w:val="bottom"/>
          </w:tcPr>
          <w:p>
            <w:pPr>
              <w:spacing w:after="0"/>
              <w:rPr>
                <w:sz w:val="20"/>
                <w:szCs w:val="20"/>
                <w:color w:val="auto"/>
              </w:rPr>
            </w:pPr>
            <w:r>
              <w:rPr>
                <w:rFonts w:ascii="Arial" w:cs="Arial" w:eastAsia="Arial" w:hAnsi="Arial"/>
                <w:sz w:val="22"/>
                <w:szCs w:val="22"/>
                <w:b w:val="1"/>
                <w:bCs w:val="1"/>
                <w:color w:val="auto"/>
              </w:rPr>
              <w:t>Net realized and unrealized loss from investments and debt</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(1,146,446)</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(5,948,848)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700" w:type="dxa"/>
            <w:vAlign w:val="bottom"/>
          </w:tcPr>
          <w:p>
            <w:pPr>
              <w:spacing w:after="0"/>
              <w:rPr>
                <w:sz w:val="20"/>
                <w:szCs w:val="20"/>
                <w:color w:val="auto"/>
              </w:rPr>
            </w:pPr>
            <w:r>
              <w:rPr>
                <w:rFonts w:ascii="Arial" w:cs="Arial" w:eastAsia="Arial" w:hAnsi="Arial"/>
                <w:sz w:val="22"/>
                <w:szCs w:val="22"/>
                <w:b w:val="1"/>
                <w:bCs w:val="1"/>
                <w:color w:val="auto"/>
              </w:rPr>
              <w:t>Net increase in net assets resulting from operations</w:t>
            </w: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9,972,894</w:t>
            </w:r>
          </w:p>
        </w:tc>
        <w:tc>
          <w:tcPr>
            <w:tcW w:w="220" w:type="dxa"/>
            <w:vAlign w:val="bottom"/>
          </w:tcPr>
          <w:p>
            <w:pPr>
              <w:spacing w:after="0"/>
              <w:rPr>
                <w:sz w:val="22"/>
                <w:szCs w:val="22"/>
                <w:color w:val="auto"/>
              </w:rPr>
            </w:pPr>
          </w:p>
        </w:tc>
        <w:tc>
          <w:tcPr>
            <w:tcW w:w="3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4,995,195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22"/>
                <w:szCs w:val="22"/>
                <w:color w:val="auto"/>
              </w:rPr>
              <w:t>Net increase in net assets resulting from operations per common share</w:t>
            </w: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700" w:type="dxa"/>
            <w:vAlign w:val="bottom"/>
            <w:vMerge w:val="continue"/>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0.26</w:t>
            </w:r>
          </w:p>
        </w:tc>
        <w:tc>
          <w:tcPr>
            <w:tcW w:w="220" w:type="dxa"/>
            <w:vAlign w:val="bottom"/>
          </w:tcPr>
          <w:p>
            <w:pPr>
              <w:spacing w:after="0"/>
              <w:rPr>
                <w:sz w:val="22"/>
                <w:szCs w:val="22"/>
                <w:color w:val="auto"/>
              </w:rPr>
            </w:pPr>
          </w:p>
        </w:tc>
        <w:tc>
          <w:tcPr>
            <w:tcW w:w="3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22"/>
                <w:szCs w:val="22"/>
                <w:color w:val="auto"/>
              </w:rPr>
              <w:t>Net investment income per common share</w:t>
            </w: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700" w:type="dxa"/>
            <w:vAlign w:val="bottom"/>
            <w:vMerge w:val="continue"/>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0.29</w:t>
            </w:r>
          </w:p>
        </w:tc>
        <w:tc>
          <w:tcPr>
            <w:tcW w:w="220" w:type="dxa"/>
            <w:vAlign w:val="bottom"/>
          </w:tcPr>
          <w:p>
            <w:pPr>
              <w:spacing w:after="0"/>
              <w:rPr>
                <w:sz w:val="22"/>
                <w:szCs w:val="22"/>
                <w:color w:val="auto"/>
              </w:rPr>
            </w:pPr>
          </w:p>
        </w:tc>
        <w:tc>
          <w:tcPr>
            <w:tcW w:w="3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PennantPark Investment Advisers, LLC is a leading middle market credit platform, which has approximately $3.8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69"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7"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1"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905-1000 </w:t>
      </w:r>
      <w:r>
        <w:rPr>
          <w:rFonts w:ascii="Arial" w:cs="Arial" w:eastAsia="Arial" w:hAnsi="Arial"/>
          <w:sz w:val="19"/>
          <w:szCs w:val="19"/>
          <w:u w:val="single" w:color="auto"/>
          <w:color w:val="auto"/>
        </w:rPr>
        <w:t>www.pennantpark.com</w:t>
      </w:r>
    </w:p>
    <w:sectPr>
      <w:pgSz w:w="11900" w:h="16838" w:orient="portrait"/>
      <w:cols w:equalWidth="0" w:num="1">
        <w:col w:w="11240"/>
      </w:cols>
      <w:pgMar w:left="320" w:top="112" w:right="339" w:bottom="7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2020-05-05T12:04:52Z</dcterms:created>
  <dcterms:modified xsi:type="dcterms:W3CDTF">2020-05-05T12:04:52Z</dcterms:modified>
</cp:coreProperties>
</file>