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 No. 812-[ ]</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168910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the Matter of the Application of:</w:t>
      </w:r>
    </w:p>
    <w:p>
      <w:pPr>
        <w:spacing w:after="0" w:line="221" w:lineRule="exact"/>
        <w:rPr>
          <w:sz w:val="24"/>
          <w:szCs w:val="24"/>
          <w:color w:val="auto"/>
        </w:rPr>
      </w:pPr>
    </w:p>
    <w:p>
      <w:pPr>
        <w:jc w:val="center"/>
        <w:ind w:right="20"/>
        <w:spacing w:after="0" w:line="274" w:lineRule="auto"/>
        <w:rPr>
          <w:sz w:val="20"/>
          <w:szCs w:val="20"/>
          <w:color w:val="auto"/>
        </w:rPr>
      </w:pPr>
      <w:r>
        <w:rPr>
          <w:rFonts w:ascii="Times New Roman" w:cs="Times New Roman" w:eastAsia="Times New Roman" w:hAnsi="Times New Roman"/>
          <w:sz w:val="17"/>
          <w:szCs w:val="17"/>
          <w:b w:val="1"/>
          <w:bCs w:val="1"/>
          <w:color w:val="auto"/>
        </w:rPr>
        <w:t>PENNANTPARK INVESTMENT ADVISERS, LLC, PENNANTPARK INVESTMENT CORPORATION, PENNANTPARK FLOATING RATE CAPITAL LTD., PENNANTPARK PRIVATE INCOME FUND, PENNANTPARK ENHANCED INCOME FUND, PNNT INVESTMENT HOLDINGS, LLC, PFLT INVESTMENT HOLDINGS, LLC, PENNANTPARK FLOATING RATE FUNDING I, LLC,</w:t>
      </w:r>
    </w:p>
    <w:p>
      <w:pPr>
        <w:spacing w:after="0" w:line="1" w:lineRule="exact"/>
        <w:rPr>
          <w:sz w:val="24"/>
          <w:szCs w:val="24"/>
          <w:color w:val="auto"/>
        </w:rPr>
      </w:pPr>
    </w:p>
    <w:p>
      <w:pPr>
        <w:jc w:val="center"/>
        <w:ind w:right="20"/>
        <w:spacing w:after="0" w:line="251" w:lineRule="auto"/>
        <w:rPr>
          <w:sz w:val="20"/>
          <w:szCs w:val="20"/>
          <w:color w:val="auto"/>
        </w:rPr>
      </w:pPr>
      <w:r>
        <w:rPr>
          <w:rFonts w:ascii="Times New Roman" w:cs="Times New Roman" w:eastAsia="Times New Roman" w:hAnsi="Times New Roman"/>
          <w:sz w:val="18"/>
          <w:szCs w:val="18"/>
          <w:b w:val="1"/>
          <w:bCs w:val="1"/>
          <w:color w:val="auto"/>
        </w:rPr>
        <w:t>PENNANTPARK FLOATING RATE FUNDING II, LLC, PENNANTPARK CLO I, LTD., PENNANTPARK CLO II, LTD., PENNANTPARK CLO VI DEPOSITOR, LLC, PENNANTPARK CLO VIII, LLC, PENNANTPARK CLO 11, LLC, PENNANTPARK CLO 12 DEPOSITOR, LLC, PENNANTPARK CAPITAL LIQUIDITY SOLUTIONS, LP, PENNANTPARK CREDIT OPPORTUNITIES FUND II, LP, PENNANTPARK CREDIT OPPORTUNITIES FUND III, LP, PENNANTPARK CREDIT OPPORTUNITIES FUND IV AGGREGATOR, LP, PENNANTPARK SENIOR CREDIT FUND, LLC, PENNANTPARK SENIOR CREDIT FUND LEVERED, LP, PENNANTPARK SENIOR CREDIT FUND II AGGREGATOR, LP, LEVERED SERIES, PENNANTPARK SENIOR CREDIT FUND II AGGREGATOR, LP, UNLEVERED SERIES, PENNANTPARK SENIOR CREDIT FUND II LUXEMBOURG UNLEVERED MASTER FUND SCSP SICAV-RAIF, BERKELEY ROAD WC FUNDING SPV 2, LP, SP CREDIT ACQUISITIONS LLC, PENNANTPARK SENIOR CREDIT FUND SMA, LP, TPDS I PLATINUM HOLDINGS LP, PENNANTPARK SENIOR LOAN FUND, LLC, PENNANTPARK SENIOR SECURED LOAN FUND I LLC, AND PENNANTPARK SENIOR SECURED LOAN FUND II LLC</w:t>
      </w:r>
    </w:p>
    <w:p>
      <w:pPr>
        <w:spacing w:after="0" w:line="1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1691 Michigan Avenue, Suite 500</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Miami Beach, FL 33139</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177165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149225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All Communications, Notices and Orders to:</w:t>
      </w:r>
    </w:p>
    <w:p>
      <w:pPr>
        <w:spacing w:after="0" w:line="2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Arthur H. Penn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PennantPark Investment Advisers, LLC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1691 Michigan Avenue, Suite 500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Miami Beach, FL 33139</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Telephone: (212)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168910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Thomas J. Friedman, Esq.</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Paul S. Stevens, Esq.</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Dechert LLP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One International Place,</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40th Floor, 100 Oliver Street,</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Boston, MA, 02110-2605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(617) 728-7120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177165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December 17, 2025</w:t>
      </w:r>
    </w:p>
    <w:p>
      <w:pPr>
        <w:sectPr>
          <w:pgSz w:w="11900" w:h="16838" w:orient="portrait"/>
          <w:cols w:equalWidth="0" w:num="1">
            <w:col w:w="10980"/>
          </w:cols>
          <w:pgMar w:left="360" w:top="229" w:right="5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BEFORE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20" w:top="266"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MATTER OF</w:t>
      </w:r>
    </w:p>
    <w:p>
      <w:pPr>
        <w:spacing w:after="0" w:line="25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b w:val="1"/>
          <w:bCs w:val="1"/>
          <w:color w:val="auto"/>
        </w:rPr>
        <w:t>PENNANTPARK INVESTMENT ADVISERS, LLC, PENNANTPARK INVESTMENT CORPORATION, PENNANTPARK FLOATING RATE CAPITAL LTD., PENNANTPARK PRIVATE INCOME FUND, PENNANTPARK ENHANCED INCOME FUND, PNNT INVESTMENT HOLDINGS, LLC, PFLT INVESTMENT HOLDINGS, LLC, PENNANTPARK FLOATING RATE FUNDING I, LLC, PENNANTPARK FLOATING RATE FUNDING II, LLC, PENNANTPARK CLO I, LTD., PENNANTPARK CLO II, LTD., PENNANTPARK CLO VI DEPOSITOR, LLC, PENNANTPARK CLO VIII, LLC, PENNANTPARK CLO 11, LLC, PENNANTPARK CLO 12 DEPOSITOR, LLC, PENNANTPARK CAPITAL LIQUIDITY SOLUTIONS, LP, PENNANTPARK CREDIT OPPORTUNITIES FUND II, LP, PENNANTPARK CREDIT OPPORTUNITIES FUND III, LP, PENNANTPARK CREDIT OPPORTUNITIES FUND IV AGGREGATOR, LP, PENNANTPARK SENIOR CREDIT FUND, LLC, PENNANTPARK SENIOR CREDIT FUND LEVERED, LP, PENNANTPARK SENIOR CREDIT FUND II AGGREGATOR, LP, LEVERED SERIES, PENNANTPARK SENIOR CREDIT FUND II AGGREGATOR, LP, UNLEVERED SERIES, PENNANTPARK SENIOR CREDIT FUND II LUXEMBOURG UNLEVERED MASTER FUND SCSP SICAV-RAIF, BERKELEY ROAD WC FUNDING SPV 2, LP, SP CREDIT ACQUISITIONS LLC, PENNANTPARK SENIOR CREDIT FUND SMA, LP, TPDS I PLATINUM HOLDINGS LP, PENNANTPARK SENIOR LOAN FUND, LLC, PENNANTPARK SENIOR SECURED LOAN FUND I LLC, AND PENNANTPARK SENIOR SECURED LOAN FUND II LLC</w:t>
      </w:r>
    </w:p>
    <w:p>
      <w:pPr>
        <w:spacing w:after="0" w:line="200" w:lineRule="exact"/>
        <w:rPr>
          <w:sz w:val="20"/>
          <w:szCs w:val="20"/>
          <w:color w:val="auto"/>
        </w:rPr>
      </w:pPr>
    </w:p>
    <w:p>
      <w:pPr>
        <w:spacing w:after="0" w:line="221" w:lineRule="exact"/>
        <w:rPr>
          <w:sz w:val="20"/>
          <w:szCs w:val="20"/>
          <w:color w:val="auto"/>
        </w:rPr>
      </w:pPr>
    </w:p>
    <w:p>
      <w:pPr>
        <w:ind w:right="2380"/>
        <w:spacing w:after="0" w:line="286" w:lineRule="auto"/>
        <w:rPr>
          <w:sz w:val="20"/>
          <w:szCs w:val="20"/>
          <w:color w:val="auto"/>
        </w:rPr>
      </w:pPr>
      <w:r>
        <w:rPr>
          <w:rFonts w:ascii="Times New Roman" w:cs="Times New Roman" w:eastAsia="Times New Roman" w:hAnsi="Times New Roman"/>
          <w:sz w:val="18"/>
          <w:szCs w:val="18"/>
          <w:b w:val="1"/>
          <w:bCs w:val="1"/>
          <w:color w:val="auto"/>
        </w:rPr>
        <w:t>1691 MICHIGAN AVENUE, SUITE 500 MIAMI BEACH, FL 33139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223" w:hanging="223"/>
        <w:spacing w:after="0"/>
        <w:tabs>
          <w:tab w:leader="none" w:pos="223"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 FOR AN ORDER PURSUANT TO SECTIONS</w:t>
      </w:r>
    </w:p>
    <w:p>
      <w:pPr>
        <w:spacing w:after="0" w:line="31" w:lineRule="exact"/>
        <w:rPr>
          <w:rFonts w:ascii="Times New Roman" w:cs="Times New Roman" w:eastAsia="Times New Roman" w:hAnsi="Times New Roman"/>
          <w:sz w:val="18"/>
          <w:szCs w:val="18"/>
          <w:b w:val="1"/>
          <w:bCs w:val="1"/>
          <w:color w:val="auto"/>
        </w:rPr>
      </w:pPr>
    </w:p>
    <w:p>
      <w:pPr>
        <w:ind w:left="223" w:hanging="223"/>
        <w:spacing w:after="0"/>
        <w:tabs>
          <w:tab w:leader="none" w:pos="223"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17(d) AND 57(i) OF THE INVESTMENT COMPANY ACT OF</w:t>
      </w:r>
    </w:p>
    <w:p>
      <w:pPr>
        <w:spacing w:after="0" w:line="9" w:lineRule="exact"/>
        <w:rPr>
          <w:rFonts w:ascii="Times New Roman" w:cs="Times New Roman" w:eastAsia="Times New Roman" w:hAnsi="Times New Roman"/>
          <w:sz w:val="18"/>
          <w:szCs w:val="18"/>
          <w:b w:val="1"/>
          <w:bCs w:val="1"/>
          <w:color w:val="auto"/>
        </w:rPr>
      </w:pPr>
    </w:p>
    <w:p>
      <w:pPr>
        <w:ind w:left="223" w:hanging="223"/>
        <w:spacing w:after="0"/>
        <w:tabs>
          <w:tab w:leader="none" w:pos="223"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1940 AND RULE 17d-1 UNDER THE INVESTMENT COMPANY</w:t>
      </w:r>
    </w:p>
    <w:p>
      <w:pPr>
        <w:spacing w:after="0" w:line="20" w:lineRule="exact"/>
        <w:rPr>
          <w:rFonts w:ascii="Times New Roman" w:cs="Times New Roman" w:eastAsia="Times New Roman" w:hAnsi="Times New Roman"/>
          <w:sz w:val="17"/>
          <w:szCs w:val="17"/>
          <w:b w:val="1"/>
          <w:bCs w:val="1"/>
          <w:color w:val="auto"/>
        </w:rPr>
      </w:pPr>
    </w:p>
    <w:p>
      <w:pPr>
        <w:ind w:left="223" w:hanging="223"/>
        <w:spacing w:after="0"/>
        <w:tabs>
          <w:tab w:leader="none" w:pos="223"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 OF 1940 PERMITTING CERTAIN JOINT</w:t>
      </w:r>
    </w:p>
    <w:p>
      <w:pPr>
        <w:spacing w:after="0" w:line="9" w:lineRule="exact"/>
        <w:rPr>
          <w:rFonts w:ascii="Times New Roman" w:cs="Times New Roman" w:eastAsia="Times New Roman" w:hAnsi="Times New Roman"/>
          <w:sz w:val="18"/>
          <w:szCs w:val="18"/>
          <w:b w:val="1"/>
          <w:bCs w:val="1"/>
          <w:color w:val="auto"/>
        </w:rPr>
      </w:pPr>
    </w:p>
    <w:p>
      <w:pPr>
        <w:ind w:left="223" w:hanging="223"/>
        <w:spacing w:after="0"/>
        <w:tabs>
          <w:tab w:leader="none" w:pos="223"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OTHERWISE PROHIBITED BY SECTIONS</w:t>
      </w:r>
    </w:p>
    <w:p>
      <w:pPr>
        <w:spacing w:after="0" w:line="9" w:lineRule="exact"/>
        <w:rPr>
          <w:rFonts w:ascii="Times New Roman" w:cs="Times New Roman" w:eastAsia="Times New Roman" w:hAnsi="Times New Roman"/>
          <w:sz w:val="18"/>
          <w:szCs w:val="18"/>
          <w:b w:val="1"/>
          <w:bCs w:val="1"/>
          <w:color w:val="auto"/>
        </w:rPr>
      </w:pPr>
    </w:p>
    <w:p>
      <w:pPr>
        <w:ind w:left="223" w:hanging="223"/>
        <w:spacing w:after="0"/>
        <w:tabs>
          <w:tab w:leader="none" w:pos="223"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17(d) AND 57(a)(4) OF AND RULE 17d-1 UNDER THE</w:t>
      </w:r>
    </w:p>
    <w:p>
      <w:pPr>
        <w:spacing w:after="0" w:line="9" w:lineRule="exact"/>
        <w:rPr>
          <w:rFonts w:ascii="Times New Roman" w:cs="Times New Roman" w:eastAsia="Times New Roman" w:hAnsi="Times New Roman"/>
          <w:sz w:val="18"/>
          <w:szCs w:val="18"/>
          <w:b w:val="1"/>
          <w:bCs w:val="1"/>
          <w:color w:val="auto"/>
        </w:rPr>
      </w:pPr>
    </w:p>
    <w:p>
      <w:pPr>
        <w:ind w:left="223" w:hanging="223"/>
        <w:spacing w:after="0" w:line="221" w:lineRule="auto"/>
        <w:tabs>
          <w:tab w:leader="none" w:pos="223"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COMPANY ACT OF 1940</w:t>
      </w:r>
    </w:p>
    <w:p>
      <w:pPr>
        <w:ind w:left="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460" w:lineRule="exact"/>
        <w:rPr>
          <w:sz w:val="20"/>
          <w:szCs w:val="20"/>
          <w:color w:val="auto"/>
        </w:rPr>
      </w:pPr>
    </w:p>
    <w:p>
      <w:pPr>
        <w:sectPr>
          <w:pgSz w:w="11900" w:h="16838" w:orient="portrait"/>
          <w:cols w:equalWidth="0" w:num="2">
            <w:col w:w="5500" w:space="137"/>
            <w:col w:w="5363"/>
          </w:cols>
          <w:pgMar w:left="320" w:top="266" w:right="5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00"/>
          </w:cols>
          <w:pgMar w:left="320" w:top="266" w:right="57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t>File No. 812-[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APPLICATION</w:t>
      </w:r>
    </w:p>
    <w:p>
      <w:pPr>
        <w:spacing w:after="0" w:line="117" w:lineRule="exact"/>
        <w:rPr>
          <w:sz w:val="20"/>
          <w:szCs w:val="20"/>
          <w:color w:val="auto"/>
        </w:rPr>
      </w:pPr>
    </w:p>
    <w:p>
      <w:pPr>
        <w:ind w:right="280"/>
        <w:spacing w:after="0" w:line="217" w:lineRule="auto"/>
        <w:rPr>
          <w:sz w:val="20"/>
          <w:szCs w:val="20"/>
          <w:color w:val="auto"/>
        </w:rPr>
      </w:pPr>
      <w:r>
        <w:rPr>
          <w:rFonts w:ascii="Times New Roman" w:cs="Times New Roman" w:eastAsia="Times New Roman" w:hAnsi="Times New Roman"/>
          <w:sz w:val="18"/>
          <w:szCs w:val="18"/>
          <w:color w:val="auto"/>
        </w:rPr>
        <w:t>The following entities hereby request an order (the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Section 57(i) of the Investment Company Act of 1940,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and Rule 17d-1, permitting certain joint transactions otherwise prohibited by Sections 17(d) and 57(a)(4) of the 1940 Act and Rule 17d-1 thereunder. The Order would supersede the exemptive order issued by the Commission on October 28, 2022 (the “</w:t>
      </w:r>
      <w:r>
        <w:rPr>
          <w:rFonts w:ascii="Times New Roman" w:cs="Times New Roman" w:eastAsia="Times New Roman" w:hAnsi="Times New Roman"/>
          <w:sz w:val="18"/>
          <w:szCs w:val="18"/>
          <w:b w:val="1"/>
          <w:bCs w:val="1"/>
          <w:i w:val="1"/>
          <w:iCs w:val="1"/>
          <w:color w:val="auto"/>
        </w:rPr>
        <w:t>Prior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that was granted pursuant to Sections 57(a)(4), 57(i) and Rule 17d-1, with the result that no person will continue to rely on the Prior Order if the Order is granted.</w:t>
      </w:r>
    </w:p>
    <w:p>
      <w:pPr>
        <w:spacing w:after="0" w:line="103" w:lineRule="exact"/>
        <w:rPr>
          <w:sz w:val="20"/>
          <w:szCs w:val="20"/>
          <w:color w:val="auto"/>
        </w:rPr>
      </w:pPr>
    </w:p>
    <w:p>
      <w:pPr>
        <w:ind w:left="980" w:right="64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Investment Corporation, a closed-end management investment company that has elected to be regulated as a business development company (“</w:t>
      </w:r>
      <w:r>
        <w:rPr>
          <w:rFonts w:ascii="Times New Roman" w:cs="Times New Roman" w:eastAsia="Times New Roman" w:hAnsi="Times New Roman"/>
          <w:sz w:val="18"/>
          <w:szCs w:val="18"/>
          <w:b w:val="1"/>
          <w:bCs w:val="1"/>
          <w:i w:val="1"/>
          <w:iCs w:val="1"/>
          <w:color w:val="auto"/>
        </w:rPr>
        <w:t>BDC</w:t>
      </w:r>
      <w:r>
        <w:rPr>
          <w:rFonts w:ascii="Times New Roman" w:cs="Times New Roman" w:eastAsia="Times New Roman" w:hAnsi="Times New Roman"/>
          <w:sz w:val="18"/>
          <w:szCs w:val="18"/>
          <w:color w:val="auto"/>
        </w:rPr>
        <w:t>”) under the 1940 Act (“</w:t>
      </w:r>
      <w:r>
        <w:rPr>
          <w:rFonts w:ascii="Times New Roman" w:cs="Times New Roman" w:eastAsia="Times New Roman" w:hAnsi="Times New Roman"/>
          <w:sz w:val="18"/>
          <w:szCs w:val="18"/>
          <w:b w:val="1"/>
          <w:bCs w:val="1"/>
          <w:i w:val="1"/>
          <w:iCs w:val="1"/>
          <w:color w:val="auto"/>
        </w:rPr>
        <w:t>PNNT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80" w:right="70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Floating Rate Capital Ltd., a closed-end management investment company that has elected to be regulated as a BDC (“</w:t>
      </w:r>
      <w:r>
        <w:rPr>
          <w:rFonts w:ascii="Times New Roman" w:cs="Times New Roman" w:eastAsia="Times New Roman" w:hAnsi="Times New Roman"/>
          <w:sz w:val="18"/>
          <w:szCs w:val="18"/>
          <w:b w:val="1"/>
          <w:bCs w:val="1"/>
          <w:i w:val="1"/>
          <w:iCs w:val="1"/>
          <w:color w:val="auto"/>
        </w:rPr>
        <w:t>PFLT</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Private Income Fund, a closed-end management investment company that has elected to be regulated as a BDC (“</w:t>
      </w:r>
      <w:r>
        <w:rPr>
          <w:rFonts w:ascii="Times New Roman" w:cs="Times New Roman" w:eastAsia="Times New Roman" w:hAnsi="Times New Roman"/>
          <w:sz w:val="18"/>
          <w:szCs w:val="18"/>
          <w:b w:val="1"/>
          <w:bCs w:val="1"/>
          <w:i w:val="1"/>
          <w:iCs w:val="1"/>
          <w:color w:val="auto"/>
        </w:rPr>
        <w:t>PPIF</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80" w:right="100" w:hanging="432"/>
        <w:spacing w:after="0" w:line="28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Enhanced Income Fund, a registered closed-end management investment company (“</w:t>
      </w:r>
      <w:r>
        <w:rPr>
          <w:rFonts w:ascii="Times New Roman" w:cs="Times New Roman" w:eastAsia="Times New Roman" w:hAnsi="Times New Roman"/>
          <w:sz w:val="18"/>
          <w:szCs w:val="18"/>
          <w:b w:val="1"/>
          <w:bCs w:val="1"/>
          <w:i w:val="1"/>
          <w:iCs w:val="1"/>
          <w:color w:val="auto"/>
        </w:rPr>
        <w:t>PEIF</w:t>
      </w:r>
      <w:r>
        <w:rPr>
          <w:rFonts w:ascii="Times New Roman" w:cs="Times New Roman" w:eastAsia="Times New Roman" w:hAnsi="Times New Roman"/>
          <w:sz w:val="18"/>
          <w:szCs w:val="18"/>
          <w:color w:val="auto"/>
        </w:rPr>
        <w:t>” and, together with PNNT, PFLT and PPIF, the “</w:t>
      </w:r>
      <w:r>
        <w:rPr>
          <w:rFonts w:ascii="Times New Roman" w:cs="Times New Roman" w:eastAsia="Times New Roman" w:hAnsi="Times New Roman"/>
          <w:sz w:val="18"/>
          <w:szCs w:val="18"/>
          <w:b w:val="1"/>
          <w:bCs w:val="1"/>
          <w:i w:val="1"/>
          <w:iCs w:val="1"/>
          <w:color w:val="auto"/>
        </w:rPr>
        <w:t>Existing Regulated Funds</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980" w:right="42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Investment Advisers, LLC, the investment adviser to the Existing Regulated Funds and the Existing Affiliated Funds (as defined below), on behalf of itself and its successors (“</w:t>
      </w:r>
      <w:r>
        <w:rPr>
          <w:rFonts w:ascii="Times New Roman" w:cs="Times New Roman" w:eastAsia="Times New Roman" w:hAnsi="Times New Roman"/>
          <w:sz w:val="18"/>
          <w:szCs w:val="18"/>
          <w:b w:val="1"/>
          <w:bCs w:val="1"/>
          <w:i w:val="1"/>
          <w:iCs w:val="1"/>
          <w:color w:val="auto"/>
        </w:rPr>
        <w:t>PennantPark</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8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investment vehicle set forth on Schedule A hereto, each of which is a separate and distinct legal entity and each of which is a Wholly-Owned Investment Sub (as defined below) of an Existing Regulated Fund (the “</w:t>
      </w:r>
      <w:r>
        <w:rPr>
          <w:rFonts w:ascii="Times New Roman" w:cs="Times New Roman" w:eastAsia="Times New Roman" w:hAnsi="Times New Roman"/>
          <w:sz w:val="18"/>
          <w:szCs w:val="18"/>
          <w:b w:val="1"/>
          <w:bCs w:val="1"/>
          <w:i w:val="1"/>
          <w:iCs w:val="1"/>
          <w:color w:val="auto"/>
        </w:rPr>
        <w:t>Existing Wholly-Owned Subsidiaries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80" w:right="26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investment vehicle set forth on Schedule B hereto, each of which is a separate and distinct legal entity and each of which is a Joint Venture (as defined below) of an Existing Regulated Fund (the “</w:t>
      </w:r>
      <w:r>
        <w:rPr>
          <w:rFonts w:ascii="Times New Roman" w:cs="Times New Roman" w:eastAsia="Times New Roman" w:hAnsi="Times New Roman"/>
          <w:sz w:val="18"/>
          <w:szCs w:val="18"/>
          <w:b w:val="1"/>
          <w:bCs w:val="1"/>
          <w:i w:val="1"/>
          <w:iCs w:val="1"/>
          <w:color w:val="auto"/>
        </w:rPr>
        <w:t>Existing Joint Ventures</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980" w:right="200" w:hanging="432"/>
        <w:spacing w:after="0" w:line="277"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investment fund set forth on Schedule C hereto, each of which is a separate and distinct legal entity and each of which would be an investment company but for Section 3(c)(7) of the 1940 Act (the “</w:t>
      </w:r>
      <w:r>
        <w:rPr>
          <w:rFonts w:ascii="Times New Roman" w:cs="Times New Roman" w:eastAsia="Times New Roman" w:hAnsi="Times New Roman"/>
          <w:sz w:val="18"/>
          <w:szCs w:val="18"/>
          <w:b w:val="1"/>
          <w:bCs w:val="1"/>
          <w:i w:val="1"/>
          <w:iCs w:val="1"/>
          <w:color w:val="auto"/>
        </w:rPr>
        <w:t>Existing Affiliated Funds</w:t>
      </w:r>
      <w:r>
        <w:rPr>
          <w:rFonts w:ascii="Times New Roman" w:cs="Times New Roman" w:eastAsia="Times New Roman" w:hAnsi="Times New Roman"/>
          <w:sz w:val="18"/>
          <w:szCs w:val="18"/>
          <w:color w:val="auto"/>
        </w:rPr>
        <w:t>” and, together with the Existing Regulated Funds, the Existing Wholly-Owned Subsidiaries, the Existing Joint Ventures, and PennantPark, the “</w:t>
      </w:r>
      <w:r>
        <w:rPr>
          <w:rFonts w:ascii="Times New Roman" w:cs="Times New Roman" w:eastAsia="Times New Roman" w:hAnsi="Times New Roman"/>
          <w:sz w:val="18"/>
          <w:szCs w:val="18"/>
          <w:b w:val="1"/>
          <w:bCs w:val="1"/>
          <w:i w:val="1"/>
          <w:iCs w:val="1"/>
          <w:color w:val="auto"/>
        </w:rPr>
        <w:t>Applicants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440" w:hanging="432"/>
        <w:spacing w:after="0" w:line="202" w:lineRule="auto"/>
        <w:tabs>
          <w:tab w:leader="none" w:pos="44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Unless otherwise indicated, all section and rule references herein are to the 1940 Act and rules promulgated thereunder.</w:t>
      </w:r>
    </w:p>
    <w:p>
      <w:pPr>
        <w:spacing w:after="0" w:line="2" w:lineRule="exact"/>
        <w:rPr>
          <w:sz w:val="20"/>
          <w:szCs w:val="20"/>
          <w:color w:val="auto"/>
        </w:rPr>
      </w:pPr>
    </w:p>
    <w:p>
      <w:pPr>
        <w:ind w:left="440" w:right="440" w:hanging="432"/>
        <w:spacing w:after="0" w:line="199" w:lineRule="auto"/>
        <w:tabs>
          <w:tab w:leader="none" w:pos="44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PennantPark Investment Advisers, LLC, et al.</w:t>
      </w:r>
      <w:r>
        <w:rPr>
          <w:rFonts w:ascii="Times New Roman" w:cs="Times New Roman" w:eastAsia="Times New Roman" w:hAnsi="Times New Roman"/>
          <w:sz w:val="18"/>
          <w:szCs w:val="18"/>
          <w:color w:val="auto"/>
        </w:rPr>
        <w:t>, (File No. 812-15305) Release No. 34723 (Oct. 3, 2022) (notice), Release No. 34742 (Oct. 28, 2022) (order).</w:t>
      </w:r>
    </w:p>
    <w:p>
      <w:pPr>
        <w:spacing w:after="0" w:line="2" w:lineRule="exact"/>
        <w:rPr>
          <w:sz w:val="20"/>
          <w:szCs w:val="20"/>
          <w:color w:val="auto"/>
        </w:rPr>
      </w:pPr>
    </w:p>
    <w:p>
      <w:pPr>
        <w:ind w:left="440" w:right="100" w:hanging="432"/>
        <w:spacing w:after="0" w:line="200" w:lineRule="auto"/>
        <w:tabs>
          <w:tab w:leader="none" w:pos="44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All existing entities that currently intend to rely upon the requested Order have been named as Applicants. Any other existing or future entity that subsequently relies on the Order will comply with the terms and conditions of the Application.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320" w:top="509" w:right="559" w:bottom="1440" w:gutter="0" w:footer="0" w:header="0"/>
        </w:sectPr>
      </w:pPr>
    </w:p>
    <w:bookmarkStart w:id="3" w:name="page4"/>
    <w:bookmarkEnd w:id="3"/>
    <w:p>
      <w:pPr>
        <w:ind w:right="120"/>
        <w:spacing w:after="0" w:line="20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relief requested in this application for the Order (the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would allow a Regulated Fund</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and one or more Affiliated Entities</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to engage in Co-Investment Transactions</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subject to the terms and conditions described herein. The Regulated Funds and Affiliated Entities that participate in a Co-Investment Transaction are collectively referred to herein as “</w:t>
      </w:r>
      <w:r>
        <w:rPr>
          <w:rFonts w:ascii="Times New Roman" w:cs="Times New Roman" w:eastAsia="Times New Roman" w:hAnsi="Times New Roman"/>
          <w:sz w:val="18"/>
          <w:szCs w:val="18"/>
          <w:b w:val="1"/>
          <w:bCs w:val="1"/>
          <w:i w:val="1"/>
          <w:iCs w:val="1"/>
          <w:color w:val="auto"/>
        </w:rPr>
        <w:t>Participants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The Applicants do not seek relief for transactions effected consistent with Commission staff no-action positions.</w:t>
      </w:r>
      <w:r>
        <w:rPr>
          <w:rFonts w:ascii="Times New Roman" w:cs="Times New Roman" w:eastAsia="Times New Roman" w:hAnsi="Times New Roman"/>
          <w:sz w:val="26"/>
          <w:szCs w:val="26"/>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1" w:lineRule="exact"/>
        <w:rPr>
          <w:sz w:val="20"/>
          <w:szCs w:val="20"/>
          <w:color w:val="auto"/>
        </w:rPr>
      </w:pPr>
    </w:p>
    <w:p>
      <w:pPr>
        <w:ind w:left="440" w:right="80" w:hanging="432"/>
        <w:spacing w:after="0" w:line="232" w:lineRule="auto"/>
        <w:tabs>
          <w:tab w:leader="none" w:pos="44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Regulated Fund</w:t>
      </w:r>
      <w:r>
        <w:rPr>
          <w:rFonts w:ascii="Times New Roman" w:cs="Times New Roman" w:eastAsia="Times New Roman" w:hAnsi="Times New Roman"/>
          <w:sz w:val="18"/>
          <w:szCs w:val="18"/>
          <w:color w:val="auto"/>
        </w:rPr>
        <w:t>” means the Existing Regulated Funds and any Future Regulated Funds. “</w:t>
      </w:r>
      <w:r>
        <w:rPr>
          <w:rFonts w:ascii="Times New Roman" w:cs="Times New Roman" w:eastAsia="Times New Roman" w:hAnsi="Times New Roman"/>
          <w:sz w:val="18"/>
          <w:szCs w:val="18"/>
          <w:b w:val="1"/>
          <w:bCs w:val="1"/>
          <w:i w:val="1"/>
          <w:iCs w:val="1"/>
          <w:color w:val="auto"/>
        </w:rPr>
        <w:t>Future Regulated Fund</w:t>
      </w:r>
      <w:r>
        <w:rPr>
          <w:rFonts w:ascii="Times New Roman" w:cs="Times New Roman" w:eastAsia="Times New Roman" w:hAnsi="Times New Roman"/>
          <w:sz w:val="18"/>
          <w:szCs w:val="18"/>
          <w:color w:val="auto"/>
        </w:rPr>
        <w:t>” means an entity (a) that is a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p>
      <w:pPr>
        <w:spacing w:after="0" w:line="91" w:lineRule="exact"/>
        <w:rPr>
          <w:rFonts w:ascii="Times New Roman" w:cs="Times New Roman" w:eastAsia="Times New Roman" w:hAnsi="Times New Roman"/>
          <w:sz w:val="27"/>
          <w:szCs w:val="27"/>
          <w:color w:val="auto"/>
          <w:vertAlign w:val="superscript"/>
        </w:rPr>
      </w:pPr>
    </w:p>
    <w:p>
      <w:pPr>
        <w:ind w:left="440"/>
        <w:spacing w:after="0" w:line="253"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 w:cs="Times New Roman" w:eastAsia="Times New Roman" w:hAnsi="Times New Roman"/>
          <w:sz w:val="18"/>
          <w:szCs w:val="18"/>
          <w:b w:val="1"/>
          <w:bCs w:val="1"/>
          <w:i w:val="1"/>
          <w:iCs w:val="1"/>
          <w:color w:val="auto"/>
        </w:rPr>
        <w:t>Wholly-Owned Investment Sub</w:t>
      </w:r>
      <w:r>
        <w:rPr>
          <w:rFonts w:ascii="Times New Roman" w:cs="Times New Roman" w:eastAsia="Times New Roman" w:hAnsi="Times New Roman"/>
          <w:sz w:val="18"/>
          <w:szCs w:val="18"/>
          <w:color w:val="auto"/>
        </w:rPr>
        <w:t>” means the Existing Wholly-Owned Investment Subsidiaries and any Future Wholly-Owned Investment Subsidiaries. “</w:t>
      </w:r>
      <w:r>
        <w:rPr>
          <w:rFonts w:ascii="Times New Roman" w:cs="Times New Roman" w:eastAsia="Times New Roman" w:hAnsi="Times New Roman"/>
          <w:sz w:val="18"/>
          <w:szCs w:val="18"/>
          <w:b w:val="1"/>
          <w:bCs w:val="1"/>
          <w:i w:val="1"/>
          <w:iCs w:val="1"/>
          <w:color w:val="auto"/>
        </w:rPr>
        <w:t>Future Wholly-Owned Investment Subsidiaries</w:t>
      </w:r>
      <w:r>
        <w:rPr>
          <w:rFonts w:ascii="Times New Roman" w:cs="Times New Roman" w:eastAsia="Times New Roman" w:hAnsi="Times New Roman"/>
          <w:sz w:val="18"/>
          <w:szCs w:val="18"/>
          <w:color w:val="auto"/>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 w:cs="Times New Roman" w:eastAsia="Times New Roman" w:hAnsi="Times New Roman"/>
          <w:sz w:val="18"/>
          <w:szCs w:val="18"/>
          <w:b w:val="1"/>
          <w:bCs w:val="1"/>
          <w:i w:val="1"/>
          <w:i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Venture</w:t>
      </w:r>
      <w:r>
        <w:rPr>
          <w:rFonts w:ascii="Times New Roman" w:cs="Times New Roman" w:eastAsia="Times New Roman" w:hAnsi="Times New Roman"/>
          <w:sz w:val="18"/>
          <w:szCs w:val="18"/>
          <w:color w:val="auto"/>
        </w:rPr>
        <w:t>” means the Existing Joint Ventures and any Future Joint Venture. “</w:t>
      </w:r>
      <w:r>
        <w:rPr>
          <w:rFonts w:ascii="Times New Roman" w:cs="Times New Roman" w:eastAsia="Times New Roman" w:hAnsi="Times New Roman"/>
          <w:sz w:val="18"/>
          <w:szCs w:val="18"/>
          <w:b w:val="1"/>
          <w:bCs w:val="1"/>
          <w:i w:val="1"/>
          <w:iCs w:val="1"/>
          <w:color w:val="auto"/>
        </w:rPr>
        <w:t>Future Joint Venture</w:t>
      </w:r>
      <w:r>
        <w:rPr>
          <w:rFonts w:ascii="Times New Roman" w:cs="Times New Roman" w:eastAsia="Times New Roman" w:hAnsi="Times New Roman"/>
          <w:sz w:val="18"/>
          <w:szCs w:val="18"/>
          <w:color w:val="auto"/>
        </w:rPr>
        <w:t>” means an unconsolidated joint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 w:cs="Times New Roman" w:eastAsia="Times New Roman" w:hAnsi="Times New Roman"/>
          <w:sz w:val="18"/>
          <w:szCs w:val="18"/>
          <w:b w:val="1"/>
          <w:bCs w:val="1"/>
          <w:i w:val="1"/>
          <w:iCs w:val="1"/>
          <w:color w:val="auto"/>
        </w:rPr>
        <w:t>BDC Downstream Fund</w:t>
      </w:r>
      <w:r>
        <w:rPr>
          <w:rFonts w:ascii="Times New Roman" w:cs="Times New Roman" w:eastAsia="Times New Roman" w:hAnsi="Times New Roman"/>
          <w:sz w:val="18"/>
          <w:szCs w:val="18"/>
          <w:color w:val="auto"/>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p>
      <w:pPr>
        <w:spacing w:after="0" w:line="79" w:lineRule="exact"/>
        <w:rPr>
          <w:rFonts w:ascii="Times New Roman" w:cs="Times New Roman" w:eastAsia="Times New Roman" w:hAnsi="Times New Roman"/>
          <w:sz w:val="27"/>
          <w:szCs w:val="27"/>
          <w:color w:val="auto"/>
          <w:vertAlign w:val="superscript"/>
        </w:rPr>
      </w:pPr>
    </w:p>
    <w:p>
      <w:pPr>
        <w:ind w:left="440" w:right="100"/>
        <w:spacing w:after="0" w:line="277"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spacing w:after="0" w:line="69" w:lineRule="exact"/>
        <w:rPr>
          <w:sz w:val="20"/>
          <w:szCs w:val="20"/>
          <w:color w:val="auto"/>
        </w:rPr>
      </w:pPr>
    </w:p>
    <w:p>
      <w:pPr>
        <w:ind w:left="440" w:right="40" w:hanging="432"/>
        <w:spacing w:after="0" w:line="232" w:lineRule="auto"/>
        <w:tabs>
          <w:tab w:leader="none" w:pos="44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Affiliated Entity</w:t>
      </w:r>
      <w:r>
        <w:rPr>
          <w:rFonts w:ascii="Times New Roman" w:cs="Times New Roman" w:eastAsia="Times New Roman" w:hAnsi="Times New Roman"/>
          <w:sz w:val="18"/>
          <w:szCs w:val="18"/>
          <w:color w:val="auto"/>
        </w:rPr>
        <w:t>” means an entity not controlled by a Regulated Fund that intends to engage in Co-Investment Transactions and that is (a) with respect to a Regulated Fund, another Regulated Fund; (b) an Adviser or its affiliates (other than an open-end investment company registered under the 1940 Act), and any direct or indirect, wholly- or majority-owned subsidiary of an Adviser or its affiliates (other than an open-end investment company registered under the 1940 Act), that is participating in a Co-Investment Transaction in a principal capacity; or (c) any entity that would be an investment company but for Section 3(c) of the 1940 Act or Rule 3a-7 thereunder and whose investment adviser is an Adviser.</w:t>
      </w:r>
    </w:p>
    <w:p>
      <w:pPr>
        <w:spacing w:after="0" w:line="91" w:lineRule="exact"/>
        <w:rPr>
          <w:rFonts w:ascii="Times New Roman" w:cs="Times New Roman" w:eastAsia="Times New Roman" w:hAnsi="Times New Roman"/>
          <w:sz w:val="27"/>
          <w:szCs w:val="27"/>
          <w:color w:val="auto"/>
          <w:vertAlign w:val="superscript"/>
        </w:rPr>
      </w:pPr>
    </w:p>
    <w:p>
      <w:pPr>
        <w:ind w:left="440" w:right="200"/>
        <w:spacing w:after="0" w:line="282"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the extent that an entity described in clause (b) is not advised by an Adviser, such entity shall be deemed to be an Adviser for purposes of the conditions.</w:t>
      </w:r>
    </w:p>
    <w:p>
      <w:pPr>
        <w:ind w:left="440" w:hanging="432"/>
        <w:spacing w:after="0" w:line="233" w:lineRule="auto"/>
        <w:tabs>
          <w:tab w:leader="none" w:pos="44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Co-Investment Transaction</w:t>
      </w:r>
      <w:r>
        <w:rPr>
          <w:rFonts w:ascii="Times New Roman" w:cs="Times New Roman" w:eastAsia="Times New Roman" w:hAnsi="Times New Roman"/>
          <w:sz w:val="18"/>
          <w:szCs w:val="18"/>
          <w:color w:val="auto"/>
        </w:rPr>
        <w:t>” means the acquisition or Disposition of securities of an issuer in a transaction effected in reliance on the Order or</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previously granted relief.</w:t>
      </w:r>
    </w:p>
    <w:p>
      <w:pPr>
        <w:ind w:left="440" w:hanging="432"/>
        <w:spacing w:after="0" w:line="186" w:lineRule="auto"/>
        <w:tabs>
          <w:tab w:leader="none" w:pos="4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Adviser</w:t>
      </w:r>
      <w:r>
        <w:rPr>
          <w:rFonts w:ascii="Times New Roman" w:cs="Times New Roman" w:eastAsia="Times New Roman" w:hAnsi="Times New Roman"/>
          <w:sz w:val="17"/>
          <w:szCs w:val="17"/>
          <w:color w:val="auto"/>
        </w:rPr>
        <w:t>” means PennantPark and any other investment adviser controlling, controlled by, or under common control with PennantPark. The term</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“Adviser” also includes any internally-managed Regulated Fund.</w:t>
      </w:r>
    </w:p>
    <w:p>
      <w:pPr>
        <w:spacing w:after="0" w:line="7" w:lineRule="exact"/>
        <w:rPr>
          <w:sz w:val="20"/>
          <w:szCs w:val="20"/>
          <w:color w:val="auto"/>
        </w:rPr>
      </w:pPr>
    </w:p>
    <w:p>
      <w:pPr>
        <w:ind w:left="440" w:hanging="432"/>
        <w:spacing w:after="0" w:line="200" w:lineRule="auto"/>
        <w:tabs>
          <w:tab w:leader="none" w:pos="44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 Massachusetts Mutual Life Insurance Co. (pub. avail. June 7, 2000), Massachusetts Mutual Life Insurance Co. (pub. avail. July 28, 2000)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SMC Capital, Inc. (pub. avail. Sept. 5, 1995).</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320" w:top="266" w:right="559" w:bottom="1440" w:gutter="0" w:footer="0" w:header="0"/>
        </w:sectPr>
      </w:pPr>
    </w:p>
    <w:bookmarkStart w:id="4" w:name="page5"/>
    <w:bookmarkEnd w:id="4"/>
    <w:p>
      <w:pPr>
        <w:ind w:left="440" w:right="6460" w:hanging="432"/>
        <w:spacing w:after="0" w:line="377" w:lineRule="auto"/>
        <w:tabs>
          <w:tab w:leader="none" w:pos="43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GENERAL DESCRIPTION OF THE APPLICANTS </w:t>
      </w:r>
      <w:r>
        <w:rPr>
          <w:rFonts w:ascii="Times New Roman" w:cs="Times New Roman" w:eastAsia="Times New Roman" w:hAnsi="Times New Roman"/>
          <w:sz w:val="18"/>
          <w:szCs w:val="18"/>
          <w:color w:val="auto"/>
        </w:rPr>
        <w:t>A. PNNT</w:t>
      </w:r>
    </w:p>
    <w:p>
      <w:pPr>
        <w:spacing w:after="0" w:line="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PNNT was organized as a Maryland corporation on January 11, 2007. PNNT is a closed-end, externally managed, non-diversified investment company that has elected to be regulated as a BDC under the 1940 Act. PNNT has elected to be treated as a regulated investment company (“</w:t>
      </w:r>
      <w:r>
        <w:rPr>
          <w:rFonts w:ascii="Times New Roman" w:cs="Times New Roman" w:eastAsia="Times New Roman" w:hAnsi="Times New Roman"/>
          <w:sz w:val="18"/>
          <w:szCs w:val="18"/>
          <w:b w:val="1"/>
          <w:bCs w:val="1"/>
          <w:i w:val="1"/>
          <w:iCs w:val="1"/>
          <w:color w:val="auto"/>
        </w:rPr>
        <w:t>RIC</w:t>
      </w:r>
      <w:r>
        <w:rPr>
          <w:rFonts w:ascii="Times New Roman" w:cs="Times New Roman" w:eastAsia="Times New Roman" w:hAnsi="Times New Roman"/>
          <w:sz w:val="18"/>
          <w:szCs w:val="18"/>
          <w:color w:val="auto"/>
        </w:rPr>
        <w:t>”) under Subchapter M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intends to continue to qualify as a RIC in the future. PNNT’s principal place of business is 1691 Michigan Avenue, Suite 500, Miami Beach, FL 33139.</w:t>
      </w:r>
    </w:p>
    <w:p>
      <w:pPr>
        <w:spacing w:after="0" w:line="7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PNNT’s investment objective is to generate both current income and capital appreciation through debt and equity investments. PNNT has a five-member board (the “</w:t>
      </w:r>
      <w:r>
        <w:rPr>
          <w:rFonts w:ascii="Times New Roman" w:cs="Times New Roman" w:eastAsia="Times New Roman" w:hAnsi="Times New Roman"/>
          <w:sz w:val="18"/>
          <w:szCs w:val="18"/>
          <w:b w:val="1"/>
          <w:bCs w:val="1"/>
          <w:i w:val="1"/>
          <w:iCs w:val="1"/>
          <w:color w:val="auto"/>
        </w:rPr>
        <w:t>PNNT Board</w:t>
      </w:r>
      <w:r>
        <w:rPr>
          <w:rFonts w:ascii="Times New Roman" w:cs="Times New Roman" w:eastAsia="Times New Roman" w:hAnsi="Times New Roman"/>
          <w:sz w:val="18"/>
          <w:szCs w:val="18"/>
          <w:color w:val="auto"/>
        </w:rPr>
        <w:t>”), of which four members are not “interested” persons of the Fund within the meaning of Section 2(a)(19) of the 1940 Act.</w:t>
      </w:r>
      <w:r>
        <w:rPr>
          <w:rFonts w:ascii="Times New Roman" w:cs="Times New Roman" w:eastAsia="Times New Roman" w:hAnsi="Times New Roman"/>
          <w:sz w:val="26"/>
          <w:szCs w:val="26"/>
          <w:color w:val="auto"/>
          <w:vertAlign w:val="superscript"/>
        </w:rPr>
        <w:t>9</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PFLT</w:t>
      </w:r>
    </w:p>
    <w:p>
      <w:pPr>
        <w:spacing w:after="0" w:line="97" w:lineRule="exact"/>
        <w:rPr>
          <w:sz w:val="20"/>
          <w:szCs w:val="20"/>
          <w:color w:val="auto"/>
        </w:rPr>
      </w:pPr>
    </w:p>
    <w:p>
      <w:pPr>
        <w:ind w:right="140" w:firstLine="440"/>
        <w:spacing w:after="0" w:line="289" w:lineRule="auto"/>
        <w:rPr>
          <w:sz w:val="20"/>
          <w:szCs w:val="20"/>
          <w:color w:val="auto"/>
        </w:rPr>
      </w:pPr>
      <w:r>
        <w:rPr>
          <w:rFonts w:ascii="Times New Roman" w:cs="Times New Roman" w:eastAsia="Times New Roman" w:hAnsi="Times New Roman"/>
          <w:sz w:val="17"/>
          <w:szCs w:val="17"/>
          <w:color w:val="auto"/>
        </w:rPr>
        <w:t>PFLT was formed as a Maryland corporation on October 28, 2010. PFLT is a closed-end, externally managed, non-diversified investment company that has elected to be regulated as a BDC under the 1940 Act. PFLT has elected to be treated as a RIC under Subchapter M of the Code and intends to continue to qualify as a RIC in the future. PFLT’s principal place of business is 1691 Michigan Avenue, Suite 500, Miami Beach, FL 33139.</w:t>
      </w:r>
    </w:p>
    <w:p>
      <w:pPr>
        <w:spacing w:after="0" w:line="50"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PFLT’s investment objective is to generate current income and capital appreciation by investing primarily in floating rate loans and other investments made to U.S. private middle-market companies. PFLT has a five-member board (the “</w:t>
      </w:r>
      <w:r>
        <w:rPr>
          <w:rFonts w:ascii="Times New Roman" w:cs="Times New Roman" w:eastAsia="Times New Roman" w:hAnsi="Times New Roman"/>
          <w:sz w:val="18"/>
          <w:szCs w:val="18"/>
          <w:b w:val="1"/>
          <w:bCs w:val="1"/>
          <w:i w:val="1"/>
          <w:iCs w:val="1"/>
          <w:color w:val="auto"/>
        </w:rPr>
        <w:t>PFLT Board</w:t>
      </w:r>
      <w:r>
        <w:rPr>
          <w:rFonts w:ascii="Times New Roman" w:cs="Times New Roman" w:eastAsia="Times New Roman" w:hAnsi="Times New Roman"/>
          <w:sz w:val="18"/>
          <w:szCs w:val="18"/>
          <w:color w:val="auto"/>
        </w:rPr>
        <w:t>”), of which four are not “interested” persons of the Fund within the meaning of Section 2(a)(19) of the 1940 Act.</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PPIF</w:t>
      </w:r>
    </w:p>
    <w:p>
      <w:pPr>
        <w:spacing w:after="0" w:line="117"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PPIF was formed as a Delaware statutory trust on April 24, 2025. PPIF is a closed-end, externally managed, non-diversified investment company that has elected to be regulated as a BDC under the 1940 Act. PPIF intends to elect to be treated as a RIC under Subchapter M of the Code and intends to qualify as a RIC in the future. PPIF’s principal place of business is 1691 Michigan Avenue, Suite 500, Miami Beach, FL 33139.</w:t>
      </w:r>
    </w:p>
    <w:p>
      <w:pPr>
        <w:spacing w:after="0" w:line="68"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PPIF’s investment objective is to generate current income and capital appreciation by investing primarily in senior secured debt of U.S. middle-market companies with last twelve-month earnings of between $10 million and $50 million. PPIF has a six-member board (the “</w:t>
      </w:r>
      <w:r>
        <w:rPr>
          <w:rFonts w:ascii="Times New Roman" w:cs="Times New Roman" w:eastAsia="Times New Roman" w:hAnsi="Times New Roman"/>
          <w:sz w:val="18"/>
          <w:szCs w:val="18"/>
          <w:b w:val="1"/>
          <w:bCs w:val="1"/>
          <w:i w:val="1"/>
          <w:iCs w:val="1"/>
          <w:color w:val="auto"/>
        </w:rPr>
        <w:t>PPIF Board</w:t>
      </w:r>
      <w:r>
        <w:rPr>
          <w:rFonts w:ascii="Times New Roman" w:cs="Times New Roman" w:eastAsia="Times New Roman" w:hAnsi="Times New Roman"/>
          <w:sz w:val="18"/>
          <w:szCs w:val="18"/>
          <w:color w:val="auto"/>
        </w:rPr>
        <w:t>”), of which four are not “interested” persons of the Fund within the meaning of Section 2(a)(19) of the 1940 Act.</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PEIF</w:t>
      </w:r>
    </w:p>
    <w:p>
      <w:pPr>
        <w:spacing w:after="0" w:line="11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PEIF was formed as a Delaware statutory trust on July 8, 2025. PEIF is a continuously offered, externally managed, non-diversified, closed-end management investment company that has registered as an investment company under the 1940 Act and operates as an interval fund. PEIF intends to elect to be treated as a RIC under Subchapter M of the Code and intends to qualify as a RIC in the future. PEIF’s principal place of business is 1691 Michigan Avenue, Suite 500, Miami Beach, FL 33139.</w:t>
      </w:r>
    </w:p>
    <w:p>
      <w:pPr>
        <w:spacing w:after="0" w:line="72"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PEIF’s investment objective is to generate current income and, as a secondary objective, long-term capital appreciation by investing primarily in junior debt tranches of collateralized loan obligations that own a pool of senior secured loans made to companies whose debt is rated below investment grade or, in limited circumstances, unrated (commonly known as “junk” bonds). PEIF has a six-member board (the “</w:t>
      </w:r>
      <w:r>
        <w:rPr>
          <w:rFonts w:ascii="Times New Roman" w:cs="Times New Roman" w:eastAsia="Times New Roman" w:hAnsi="Times New Roman"/>
          <w:sz w:val="18"/>
          <w:szCs w:val="18"/>
          <w:b w:val="1"/>
          <w:bCs w:val="1"/>
          <w:i w:val="1"/>
          <w:iCs w:val="1"/>
          <w:color w:val="auto"/>
        </w:rPr>
        <w:t>PEIF Board</w:t>
      </w:r>
      <w:r>
        <w:rPr>
          <w:rFonts w:ascii="Times New Roman" w:cs="Times New Roman" w:eastAsia="Times New Roman" w:hAnsi="Times New Roman"/>
          <w:sz w:val="18"/>
          <w:szCs w:val="18"/>
          <w:color w:val="auto"/>
        </w:rPr>
        <w:t>”), of which four are not “interested” persons of the Fund within the meaning of Section 2(a)(19) of the 1940 Act.</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 The Existing Wholly-Owned Subsidiaries</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Each of the Existing Wholly-Owned Subsidiaries is a direct or indirect wholly-owned subsidiary of an Existing Regulated Fund whose business purpose is to hold one or more investments on behalf of such Existing Regulated Fund. Each Existing Wholly-Owned Subsidiary is a separate and distinct legal entity. The Existing Wholly-Owned Subsidiaries have investment objectives and strategies that are substantially the same as, or a subset of, those of the applicable Existing Regulated Fund. A list of the Existing Wholly-Owned Subsidiaries is included on Schedule A hereto.</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 The Existing Joint Ventures</w:t>
      </w:r>
    </w:p>
    <w:p>
      <w:pPr>
        <w:spacing w:after="0" w:line="11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Each of the Existing Joint Ventures is an unconsolidated joint venture subsidiary of a Regulated Fund, in which all portfolio decisions, and generally all other material decisions in respect of such joint venture, must be approved by a board or committee, as applicable, consisting of representatives of the Regulated Fund and the unaffiliated joint venture partner (with approval from a representative of each required). Each Existing Joint Venture is a separate and distinct legal entity. The Existing Joint Ventures have investment objectives and strategies that are substantially the same as, or a subset of, those of the applicable Existing Regulated Fund. A list of the Existing Joint Ventures is included on Schedule B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440" w:right="120" w:hanging="432"/>
        <w:spacing w:after="0" w:line="208" w:lineRule="auto"/>
        <w:tabs>
          <w:tab w:leader="none" w:pos="44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Board of each Future Regulated Fund will consist of a majority of members who are not “interested persons” of such Future Regulated Fund within the meaning of Section 2(a)(19) of the 1940 Act.</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320" w:top="266" w:right="57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 The Existing Affiliated Funds</w:t>
      </w:r>
    </w:p>
    <w:p>
      <w:pPr>
        <w:spacing w:after="0" w:line="11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Existing Affiliated Funds are investment funds each of whose investment adviser and investment sub-adviser (if any) is an Adviser and each of which would be an investment company but for Section 3(c)(7) of the 1940 Act. A list of the Existing Affiliated Funds is included on Schedule C hereto.</w:t>
      </w:r>
      <w:r>
        <w:rPr>
          <w:rFonts w:ascii="Times New Roman" w:cs="Times New Roman" w:eastAsia="Times New Roman" w:hAnsi="Times New Roman"/>
          <w:sz w:val="26"/>
          <w:szCs w:val="26"/>
          <w:color w:val="auto"/>
          <w:vertAlign w:val="superscript"/>
        </w:rPr>
        <w:t>10</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 PennantPark</w:t>
      </w:r>
    </w:p>
    <w:p>
      <w:pPr>
        <w:spacing w:after="0" w:line="9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PennantPark serves as the investment adviser of the Existing Regulated Funds and the Existing Affiliated Funds, as applicable, and either they or another Adviser will serve as the investment adviser to any Future Regulated Fund. PennantPark is a Delaware limited liability company and is a registered investment adviser with the Commission under the Advisers Act. On the date of this Application, PennantPark’s sole clients that intend to rely on the Order are the Existing Regulated Funds and the Existing Affiliated Funds.</w:t>
      </w:r>
    </w:p>
    <w:p>
      <w:pPr>
        <w:spacing w:after="0" w:line="32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III.</w:t>
      </w:r>
      <w:r>
        <w:rPr>
          <w:sz w:val="20"/>
          <w:szCs w:val="20"/>
          <w:color w:val="auto"/>
        </w:rPr>
        <w:tab/>
      </w:r>
      <w:r>
        <w:rPr>
          <w:rFonts w:ascii="Times New Roman" w:cs="Times New Roman" w:eastAsia="Times New Roman" w:hAnsi="Times New Roman"/>
          <w:sz w:val="17"/>
          <w:szCs w:val="17"/>
          <w:b w:val="1"/>
          <w:bCs w:val="1"/>
          <w:color w:val="auto"/>
        </w:rPr>
        <w:t>ORDER REQUESTED</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Applicants request an Order of the Commission under Sections 17(d) and 57(i) of the 1940 Act and Rule 17d-1 thereunder to permit, subject to the terms and conditions set forth below in this Application (the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 each Regulated Fund to be able to participate with one or more Affiliated Entities in Co-Investment Transactions otherwise prohibited by Sections 17(d) and 57(a)(4) of the 1940 Act and Rule 17d-1 thereunder.</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Applicable Law</w:t>
      </w:r>
    </w:p>
    <w:p>
      <w:pPr>
        <w:spacing w:after="0" w:line="1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spacing w:after="0" w:line="180" w:lineRule="exact"/>
        <w:rPr>
          <w:sz w:val="20"/>
          <w:szCs w:val="20"/>
          <w:color w:val="auto"/>
        </w:rPr>
      </w:pPr>
    </w:p>
    <w:p>
      <w:pPr>
        <w:ind w:right="120"/>
        <w:spacing w:after="0" w:line="224" w:lineRule="auto"/>
        <w:rPr>
          <w:sz w:val="20"/>
          <w:szCs w:val="20"/>
          <w:color w:val="auto"/>
        </w:rPr>
      </w:pPr>
      <w:r>
        <w:rPr>
          <w:rFonts w:ascii="Times New Roman" w:cs="Times New Roman" w:eastAsia="Times New Roman" w:hAnsi="Times New Roman"/>
          <w:sz w:val="18"/>
          <w:szCs w:val="18"/>
          <w:color w:val="auto"/>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8"/>
          <w:szCs w:val="18"/>
          <w:color w:val="auto"/>
        </w:rPr>
        <w:t xml:space="preserve"> in which the fund is a participant without first obtaining an order from the SEC.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57(a)(4), in relevant part, prohibits any person related to a business development company in the manner described in Section 57(b), acting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from knowingly effecting any transaction in which the business development company is a joint or a joint and several participant with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in contravention of such rules as the Commission may prescribe for the purpose of limiting or preventing participation by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company on a basis less advantageous than that of such person. Section 57(i) provides that, until the SEC prescribes rules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57(a), the SEC’s rules under Section 17(d) applicable to registered closed-end investment companies will be deemed to apply to persons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prohibitions of Section 57(a). Because the SEC has not adopted any rules under Section 57(a), Rule 17d-1 applies to persons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prohibitions of Section 57(a).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0" w:lineRule="exact"/>
        <w:rPr>
          <w:sz w:val="20"/>
          <w:szCs w:val="20"/>
          <w:color w:val="auto"/>
        </w:rPr>
      </w:pPr>
    </w:p>
    <w:p>
      <w:pPr>
        <w:ind w:left="440" w:right="140" w:hanging="432"/>
        <w:spacing w:after="0" w:line="208" w:lineRule="auto"/>
        <w:tabs>
          <w:tab w:leader="none" w:pos="44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future, the Affiliated Fund may register as a closed-end management investment company under the 1940 Act and, if so registered, will be considered a Regulated Fund for purposes of this application.</w:t>
      </w:r>
    </w:p>
    <w:p>
      <w:pPr>
        <w:spacing w:after="0" w:line="1" w:lineRule="exact"/>
        <w:rPr>
          <w:rFonts w:ascii="Times New Roman" w:cs="Times New Roman" w:eastAsia="Times New Roman" w:hAnsi="Times New Roman"/>
          <w:sz w:val="27"/>
          <w:szCs w:val="27"/>
          <w:color w:val="auto"/>
          <w:vertAlign w:val="superscript"/>
        </w:rPr>
      </w:pPr>
    </w:p>
    <w:p>
      <w:pPr>
        <w:ind w:left="440" w:right="100" w:hanging="432"/>
        <w:spacing w:after="0" w:line="222" w:lineRule="auto"/>
        <w:tabs>
          <w:tab w:leader="none" w:pos="44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320" w:top="270" w:right="579" w:bottom="1440" w:gutter="0" w:footer="0" w:header="0"/>
        </w:sectPr>
      </w:pPr>
    </w:p>
    <w:bookmarkStart w:id="6" w:name="page7"/>
    <w:bookmarkEnd w:id="6"/>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Need for Relief</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 closed-end fund or a business development company, respectively, including a sub-adviser. Thus, an Adviser and any Affiliated Entities that it advises could be deemed to be persons related to Regulated Funds in a manner described by Sections 17(d) and 57(b). With respect to PennantPark and any other Advisers that are deemed to be affiliated persons of PennantPark, Affiliated Entities advised by any of them could be deemed to be persons related to Regulated Funds (or a company controlled by a Regulated Fund) in a manner described by Sections 17(d) and 57(b). In addition, any entities or accounts controlled by or under common control with PennantPark,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17d-l under the 1940 Act.</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Conditions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Applicants agree that any Order granting the requested relief will be subject to the following Conditions.</w:t>
      </w:r>
    </w:p>
    <w:p>
      <w:pPr>
        <w:spacing w:after="0" w:line="225" w:lineRule="exact"/>
        <w:rPr>
          <w:sz w:val="20"/>
          <w:szCs w:val="20"/>
          <w:color w:val="auto"/>
        </w:rPr>
      </w:pPr>
    </w:p>
    <w:p>
      <w:pPr>
        <w:ind w:firstLine="448"/>
        <w:spacing w:after="0" w:line="260"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Same Terms</w:t>
      </w:r>
      <w:r>
        <w:rPr>
          <w:rFonts w:ascii="Times New Roman" w:cs="Times New Roman" w:eastAsia="Times New Roman" w:hAnsi="Times New Roman"/>
          <w:sz w:val="18"/>
          <w:szCs w:val="18"/>
          <w:color w:val="auto"/>
        </w:rPr>
        <w:t>.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 w:cs="Times New Roman" w:eastAsia="Times New Roman" w:hAnsi="Times New Roman"/>
          <w:sz w:val="26"/>
          <w:szCs w:val="26"/>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440" w:right="240" w:hanging="432"/>
        <w:spacing w:after="0" w:line="208" w:lineRule="auto"/>
        <w:tabs>
          <w:tab w:leader="none" w:pos="440"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Such a Board can also, consistent with applicable fund documents, facilitate this opportunity by delegating the authority to veto the selection of such person to a committee of the Board.</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320" w:top="270" w:right="579" w:bottom="1440" w:gutter="0" w:footer="0" w:header="0"/>
        </w:sectPr>
      </w:pPr>
    </w:p>
    <w:bookmarkStart w:id="7" w:name="page8"/>
    <w:bookmarkEnd w:id="7"/>
    <w:p>
      <w:pPr>
        <w:ind w:right="160" w:firstLine="448"/>
        <w:spacing w:after="0" w:line="216"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Existing Investments in the Issuer</w:t>
      </w:r>
      <w:r>
        <w:rPr>
          <w:rFonts w:ascii="Times New Roman" w:cs="Times New Roman" w:eastAsia="Times New Roman" w:hAnsi="Times New Roman"/>
          <w:sz w:val="18"/>
          <w:szCs w:val="18"/>
          <w:color w:val="auto"/>
        </w:rPr>
        <w:t>. Prior to a Regulated Fund acquiring in a Co-Investment Transaction a security of an issuer in which an Affiliated Entity has an existing interest in such issuer, the “required majority,” as defined in Section 57(o) of the 1940 Act,</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 xml:space="preserve"> of the Regulated Fund (“</w:t>
      </w:r>
      <w:r>
        <w:rPr>
          <w:rFonts w:ascii="Times New Roman" w:cs="Times New Roman" w:eastAsia="Times New Roman" w:hAnsi="Times New Roman"/>
          <w:sz w:val="18"/>
          <w:szCs w:val="18"/>
          <w:b w:val="1"/>
          <w:bCs w:val="1"/>
          <w:i w:val="1"/>
          <w:iCs w:val="1"/>
          <w:color w:val="auto"/>
        </w:rPr>
        <w:t>Required Majority</w:t>
      </w:r>
      <w:r>
        <w:rPr>
          <w:rFonts w:ascii="Times New Roman" w:cs="Times New Roman" w:eastAsia="Times New Roman" w:hAnsi="Times New Roman"/>
          <w:sz w:val="18"/>
          <w:szCs w:val="18"/>
          <w:color w:val="auto"/>
        </w:rPr>
        <w:t>”) will take the steps set forth in Section 57(f) of the 1940 Act,</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 xml:space="preserve"> unless: (i) the Regulated Fund already holds the same security as each such Affiliated Entity; and (ii) the Regulated Fund and each other Affiliated Entity holding the security is participating in the acquisition in approximate proportion to its then-current holdings.</w:t>
      </w:r>
    </w:p>
    <w:p>
      <w:pPr>
        <w:spacing w:after="0" w:line="198" w:lineRule="exact"/>
        <w:rPr>
          <w:rFonts w:ascii="Times New Roman" w:cs="Times New Roman" w:eastAsia="Times New Roman" w:hAnsi="Times New Roman"/>
          <w:sz w:val="18"/>
          <w:szCs w:val="18"/>
          <w:color w:val="auto"/>
        </w:rPr>
      </w:pPr>
    </w:p>
    <w:p>
      <w:pPr>
        <w:jc w:val="both"/>
        <w:ind w:right="120" w:firstLine="448"/>
        <w:spacing w:after="0" w:line="277"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Expenses</w:t>
      </w:r>
      <w:r>
        <w:rPr>
          <w:rFonts w:ascii="Times New Roman" w:cs="Times New Roman" w:eastAsia="Times New Roman" w:hAnsi="Times New Roman"/>
          <w:sz w:val="18"/>
          <w:szCs w:val="18"/>
          <w:color w:val="auto"/>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 w:cs="Times New Roman" w:eastAsia="Times New Roman" w:hAnsi="Times New Roman"/>
          <w:sz w:val="26"/>
          <w:szCs w:val="26"/>
          <w:color w:val="auto"/>
          <w:vertAlign w:val="superscript"/>
        </w:rPr>
        <w:t>15</w:t>
      </w:r>
    </w:p>
    <w:p>
      <w:pPr>
        <w:ind w:left="620" w:hanging="172"/>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Remuneration</w:t>
      </w:r>
      <w:r>
        <w:rPr>
          <w:rFonts w:ascii="Times New Roman" w:cs="Times New Roman" w:eastAsia="Times New Roman" w:hAnsi="Times New Roman"/>
          <w:sz w:val="18"/>
          <w:szCs w:val="18"/>
          <w:color w:val="auto"/>
        </w:rPr>
        <w:t>. Any transaction fee</w:t>
      </w:r>
      <w:r>
        <w:rPr>
          <w:rFonts w:ascii="Times New Roman" w:cs="Times New Roman" w:eastAsia="Times New Roman" w:hAnsi="Times New Roman"/>
          <w:sz w:val="26"/>
          <w:szCs w:val="26"/>
          <w:color w:val="auto"/>
          <w:vertAlign w:val="superscript"/>
        </w:rPr>
        <w:t>16</w:t>
      </w:r>
      <w:r>
        <w:rPr>
          <w:rFonts w:ascii="Times New Roman" w:cs="Times New Roman" w:eastAsia="Times New Roman" w:hAnsi="Times New Roman"/>
          <w:sz w:val="18"/>
          <w:szCs w:val="18"/>
          <w:color w:val="auto"/>
        </w:rPr>
        <w:t xml:space="preserve"> (including break-up, structuring, monitoring or commitment fees but excluding broker’s fees</w:t>
      </w:r>
    </w:p>
    <w:p>
      <w:pPr>
        <w:ind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spacing w:after="0" w:line="191" w:lineRule="exact"/>
        <w:rPr>
          <w:rFonts w:ascii="Times New Roman" w:cs="Times New Roman" w:eastAsia="Times New Roman" w:hAnsi="Times New Roman"/>
          <w:sz w:val="18"/>
          <w:szCs w:val="18"/>
          <w:color w:val="auto"/>
        </w:rPr>
      </w:pPr>
    </w:p>
    <w:p>
      <w:pPr>
        <w:ind w:right="200" w:firstLine="448"/>
        <w:spacing w:after="0" w:line="265"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Co-Investment Policies</w:t>
      </w:r>
      <w:r>
        <w:rPr>
          <w:rFonts w:ascii="Times New Roman" w:cs="Times New Roman" w:eastAsia="Times New Roman" w:hAnsi="Times New Roman"/>
          <w:sz w:val="18"/>
          <w:szCs w:val="18"/>
          <w:color w:val="auto"/>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 w:cs="Times New Roman" w:eastAsia="Times New Roman" w:hAnsi="Times New Roman"/>
          <w:sz w:val="18"/>
          <w:szCs w:val="18"/>
          <w:b w:val="1"/>
          <w:bCs w:val="1"/>
          <w:i w:val="1"/>
          <w:iCs w:val="1"/>
          <w:color w:val="auto"/>
        </w:rPr>
        <w:t>Co-Investment Policies</w:t>
      </w:r>
      <w:r>
        <w:rPr>
          <w:rFonts w:ascii="Times New Roman" w:cs="Times New Roman" w:eastAsia="Times New Roman" w:hAnsi="Times New Roman"/>
          <w:sz w:val="18"/>
          <w:szCs w:val="18"/>
          <w:color w:val="auto"/>
        </w:rPr>
        <w:t>”). Each Adviser (and each Affiliated Entity that is not advised by an Adviser) will provide its Co-Investment Policies to the Regulated Funds and will notify the Regulated Funds of any material changes thereto.</w:t>
      </w:r>
      <w:r>
        <w:rPr>
          <w:rFonts w:ascii="Times New Roman" w:cs="Times New Roman" w:eastAsia="Times New Roman" w:hAnsi="Times New Roman"/>
          <w:sz w:val="26"/>
          <w:szCs w:val="26"/>
          <w:color w:val="auto"/>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 w:lineRule="exact"/>
        <w:rPr>
          <w:sz w:val="20"/>
          <w:szCs w:val="20"/>
          <w:color w:val="auto"/>
        </w:rPr>
      </w:pPr>
    </w:p>
    <w:p>
      <w:pPr>
        <w:ind w:left="440" w:right="100" w:hanging="432"/>
        <w:spacing w:after="0" w:line="227" w:lineRule="auto"/>
        <w:tabs>
          <w:tab w:leader="none" w:pos="44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w:t>
      </w:r>
    </w:p>
    <w:p>
      <w:pPr>
        <w:spacing w:after="0" w:line="1" w:lineRule="exact"/>
        <w:rPr>
          <w:rFonts w:ascii="Times New Roman" w:cs="Times New Roman" w:eastAsia="Times New Roman" w:hAnsi="Times New Roman"/>
          <w:sz w:val="27"/>
          <w:szCs w:val="27"/>
          <w:color w:val="auto"/>
          <w:vertAlign w:val="superscript"/>
        </w:rPr>
      </w:pPr>
    </w:p>
    <w:p>
      <w:pPr>
        <w:ind w:left="440" w:hanging="432"/>
        <w:spacing w:after="0" w:line="231" w:lineRule="auto"/>
        <w:tabs>
          <w:tab w:leader="none" w:pos="44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w:t>
      </w:r>
    </w:p>
    <w:p>
      <w:pPr>
        <w:spacing w:after="0" w:line="1" w:lineRule="exact"/>
        <w:rPr>
          <w:rFonts w:ascii="Times New Roman" w:cs="Times New Roman" w:eastAsia="Times New Roman" w:hAnsi="Times New Roman"/>
          <w:sz w:val="27"/>
          <w:szCs w:val="27"/>
          <w:color w:val="auto"/>
          <w:vertAlign w:val="superscript"/>
        </w:rPr>
      </w:pPr>
    </w:p>
    <w:p>
      <w:pPr>
        <w:ind w:left="440" w:right="380" w:hanging="432"/>
        <w:spacing w:after="0" w:line="200" w:lineRule="auto"/>
        <w:tabs>
          <w:tab w:leader="none" w:pos="44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Expenses of an individual Participant that are incurred solely by the Participant due to its unique circumstances (such as legal and compliance expenses) will be borne by such Participant.</w:t>
      </w:r>
    </w:p>
    <w:p>
      <w:pPr>
        <w:ind w:left="440" w:right="140" w:hanging="432"/>
        <w:spacing w:after="0" w:line="200" w:lineRule="auto"/>
        <w:tabs>
          <w:tab w:leader="none" w:pos="44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Applicants are not requesting and the Commission is not providing any relief for transaction fees received in connection with any Co-Investment Transaction.</w:t>
      </w:r>
    </w:p>
    <w:p>
      <w:pPr>
        <w:ind w:left="440" w:hanging="432"/>
        <w:spacing w:after="0" w:line="180" w:lineRule="auto"/>
        <w:tabs>
          <w:tab w:leader="none" w:pos="44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Affiliated Entities may adopt shared Co-Investment Allocation Policies.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320" w:top="270" w:right="559" w:bottom="1440" w:gutter="0" w:footer="0" w:header="0"/>
        </w:sectPr>
      </w:pPr>
    </w:p>
    <w:bookmarkStart w:id="8" w:name="page9"/>
    <w:bookmarkEnd w:id="8"/>
    <w:p>
      <w:pPr>
        <w:ind w:left="612" w:hanging="172"/>
        <w:spacing w:after="0"/>
        <w:tabs>
          <w:tab w:leader="none" w:pos="6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Dispositions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120" w:firstLine="448"/>
        <w:spacing w:after="0" w:line="224" w:lineRule="auto"/>
        <w:tabs>
          <w:tab w:leader="none" w:pos="67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Disposition</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p>
      <w:pPr>
        <w:spacing w:after="0" w:line="198" w:lineRule="exact"/>
        <w:rPr>
          <w:rFonts w:ascii="Times New Roman" w:cs="Times New Roman" w:eastAsia="Times New Roman" w:hAnsi="Times New Roman"/>
          <w:sz w:val="18"/>
          <w:szCs w:val="18"/>
          <w:color w:val="auto"/>
        </w:rPr>
      </w:pPr>
    </w:p>
    <w:p>
      <w:pPr>
        <w:jc w:val="both"/>
        <w:ind w:left="-8" w:right="40" w:firstLine="448"/>
        <w:spacing w:after="0" w:line="277" w:lineRule="auto"/>
        <w:tabs>
          <w:tab w:leader="none" w:pos="6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 w:cs="Times New Roman" w:eastAsia="Times New Roman" w:hAnsi="Times New Roman"/>
          <w:sz w:val="26"/>
          <w:szCs w:val="26"/>
          <w:color w:val="auto"/>
          <w:vertAlign w:val="superscript"/>
        </w:rPr>
        <w:t>19</w:t>
      </w:r>
    </w:p>
    <w:p>
      <w:pPr>
        <w:spacing w:after="0" w:line="41" w:lineRule="exact"/>
        <w:rPr>
          <w:sz w:val="20"/>
          <w:szCs w:val="20"/>
          <w:color w:val="auto"/>
        </w:rPr>
      </w:pPr>
    </w:p>
    <w:p>
      <w:pPr>
        <w:ind w:left="612" w:hanging="172"/>
        <w:spacing w:after="0"/>
        <w:tabs>
          <w:tab w:leader="none" w:pos="6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Oversight</w:t>
      </w:r>
    </w:p>
    <w:p>
      <w:pPr>
        <w:spacing w:after="0" w:line="131" w:lineRule="exact"/>
        <w:rPr>
          <w:sz w:val="20"/>
          <w:szCs w:val="20"/>
          <w:color w:val="auto"/>
        </w:rPr>
      </w:pPr>
    </w:p>
    <w:p>
      <w:pPr>
        <w:ind w:left="972" w:right="400" w:hanging="540"/>
        <w:spacing w:after="0" w:line="282" w:lineRule="auto"/>
        <w:tabs>
          <w:tab w:leader="none" w:pos="9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Regulated Fund’s directors will oversee the Regulated Fund’s participation in the co-investment program in the exercise of their reasonable business judgment.</w:t>
      </w:r>
    </w:p>
    <w:p>
      <w:pPr>
        <w:spacing w:after="0" w:line="67" w:lineRule="exact"/>
        <w:rPr>
          <w:rFonts w:ascii="Times New Roman" w:cs="Times New Roman" w:eastAsia="Times New Roman" w:hAnsi="Times New Roman"/>
          <w:sz w:val="18"/>
          <w:szCs w:val="18"/>
          <w:color w:val="auto"/>
        </w:rPr>
      </w:pPr>
    </w:p>
    <w:p>
      <w:pPr>
        <w:ind w:left="972" w:hanging="540"/>
        <w:spacing w:after="0"/>
        <w:tabs>
          <w:tab w:leader="none" w:pos="9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Regulated Fund’s participation in Co-Investment Transactions, the Regulated Fund’s Board, including a Required Majority, will:</w:t>
      </w:r>
    </w:p>
    <w:p>
      <w:pPr>
        <w:spacing w:after="0" w:line="27" w:lineRule="exact"/>
        <w:rPr>
          <w:rFonts w:ascii="Times New Roman" w:cs="Times New Roman" w:eastAsia="Times New Roman" w:hAnsi="Times New Roman"/>
          <w:sz w:val="18"/>
          <w:szCs w:val="18"/>
          <w:color w:val="auto"/>
        </w:rPr>
      </w:pPr>
    </w:p>
    <w:p>
      <w:pPr>
        <w:jc w:val="both"/>
        <w:ind w:left="97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p>
      <w:pPr>
        <w:spacing w:after="0" w:line="91" w:lineRule="exact"/>
        <w:rPr>
          <w:rFonts w:ascii="Times New Roman" w:cs="Times New Roman" w:eastAsia="Times New Roman" w:hAnsi="Times New Roman"/>
          <w:sz w:val="18"/>
          <w:szCs w:val="18"/>
          <w:color w:val="auto"/>
        </w:rPr>
      </w:pPr>
    </w:p>
    <w:p>
      <w:pPr>
        <w:ind w:left="972" w:right="40" w:hanging="540"/>
        <w:spacing w:after="0" w:line="261" w:lineRule="auto"/>
        <w:tabs>
          <w:tab w:leader="none" w:pos="9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p>
      <w:pPr>
        <w:spacing w:after="0" w:line="85" w:lineRule="exact"/>
        <w:rPr>
          <w:rFonts w:ascii="Times New Roman" w:cs="Times New Roman" w:eastAsia="Times New Roman" w:hAnsi="Times New Roman"/>
          <w:sz w:val="18"/>
          <w:szCs w:val="18"/>
          <w:color w:val="auto"/>
        </w:rPr>
      </w:pPr>
    </w:p>
    <w:p>
      <w:pPr>
        <w:ind w:left="972" w:hanging="540"/>
        <w:spacing w:after="0" w:line="266" w:lineRule="auto"/>
        <w:tabs>
          <w:tab w:leader="none" w:pos="9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w:t>
      </w:r>
    </w:p>
    <w:p>
      <w:pPr>
        <w:spacing w:after="0" w:line="81" w:lineRule="exact"/>
        <w:rPr>
          <w:rFonts w:ascii="Times New Roman" w:cs="Times New Roman" w:eastAsia="Times New Roman" w:hAnsi="Times New Roman"/>
          <w:sz w:val="18"/>
          <w:szCs w:val="18"/>
          <w:color w:val="auto"/>
        </w:rPr>
      </w:pPr>
    </w:p>
    <w:p>
      <w:pPr>
        <w:ind w:left="972" w:right="100" w:hanging="540"/>
        <w:spacing w:after="0" w:line="266" w:lineRule="auto"/>
        <w:tabs>
          <w:tab w:leader="none" w:pos="9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3" w:lineRule="exact"/>
        <w:rPr>
          <w:sz w:val="20"/>
          <w:szCs w:val="20"/>
          <w:color w:val="auto"/>
        </w:rPr>
      </w:pPr>
    </w:p>
    <w:p>
      <w:pPr>
        <w:ind w:left="432" w:hanging="432"/>
        <w:spacing w:after="0"/>
        <w:tabs>
          <w:tab w:leader="none" w:pos="432"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w:t>
      </w:r>
      <w:r>
        <w:rPr>
          <w:rFonts w:ascii="Times New Roman" w:cs="Times New Roman" w:eastAsia="Times New Roman" w:hAnsi="Times New Roman"/>
          <w:sz w:val="18"/>
          <w:szCs w:val="18"/>
          <w:color w:val="auto"/>
        </w:rPr>
        <w:t>” means the sale, exchange, transfer or other disposition of an interest in a security of an issuer.</w:t>
      </w:r>
    </w:p>
    <w:p>
      <w:pPr>
        <w:spacing w:after="0" w:line="1" w:lineRule="exact"/>
        <w:rPr>
          <w:rFonts w:ascii="Times New Roman" w:cs="Times New Roman" w:eastAsia="Times New Roman" w:hAnsi="Times New Roman"/>
          <w:sz w:val="27"/>
          <w:szCs w:val="27"/>
          <w:color w:val="auto"/>
          <w:vertAlign w:val="superscript"/>
        </w:rPr>
      </w:pPr>
    </w:p>
    <w:p>
      <w:pPr>
        <w:ind w:left="432" w:right="60" w:hanging="432"/>
        <w:spacing w:after="0" w:line="222" w:lineRule="auto"/>
        <w:tabs>
          <w:tab w:leader="none" w:pos="432"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Tradable Security</w:t>
      </w:r>
      <w:r>
        <w:rPr>
          <w:rFonts w:ascii="Times New Roman" w:cs="Times New Roman" w:eastAsia="Times New Roman" w:hAnsi="Times New Roman"/>
          <w:sz w:val="18"/>
          <w:szCs w:val="18"/>
          <w:color w:val="auto"/>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p>
      <w:pPr>
        <w:spacing w:after="0" w:line="1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92"/>
          </w:cols>
          <w:pgMar w:left="328" w:top="270" w:right="579" w:bottom="1440" w:gutter="0" w:footer="0" w:header="0"/>
        </w:sectPr>
      </w:pPr>
    </w:p>
    <w:bookmarkStart w:id="9" w:name="page10"/>
    <w:bookmarkEnd w:id="9"/>
    <w:p>
      <w:pPr>
        <w:ind w:right="320" w:firstLine="448"/>
        <w:spacing w:after="0" w:line="269"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Recordkeeping</w:t>
      </w:r>
      <w:r>
        <w:rPr>
          <w:rFonts w:ascii="Times New Roman" w:cs="Times New Roman" w:eastAsia="Times New Roman" w:hAnsi="Times New Roman"/>
          <w:sz w:val="18"/>
          <w:szCs w:val="18"/>
          <w:color w:val="auto"/>
        </w:rPr>
        <w:t>.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 w:cs="Times New Roman" w:eastAsia="Times New Roman" w:hAnsi="Times New Roman"/>
          <w:sz w:val="26"/>
          <w:szCs w:val="26"/>
          <w:color w:val="auto"/>
          <w:vertAlign w:val="superscript"/>
        </w:rPr>
        <w:t>20</w:t>
      </w:r>
    </w:p>
    <w:p>
      <w:pPr>
        <w:spacing w:after="0" w:line="48" w:lineRule="exact"/>
        <w:rPr>
          <w:rFonts w:ascii="Times New Roman" w:cs="Times New Roman" w:eastAsia="Times New Roman" w:hAnsi="Times New Roman"/>
          <w:sz w:val="18"/>
          <w:szCs w:val="18"/>
          <w:color w:val="auto"/>
        </w:rPr>
      </w:pPr>
    </w:p>
    <w:p>
      <w:pPr>
        <w:ind w:right="100" w:firstLine="448"/>
        <w:spacing w:after="0" w:line="282"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Commission adopts a rule under the 1940 Act allowing co-investments of the type described in this Application, any relief granted by the Order will expire on the effective date of that rule.</w:t>
      </w:r>
    </w:p>
    <w:p>
      <w:pPr>
        <w:spacing w:after="0" w:line="30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IV.</w:t>
        <w:tab/>
        <w:t>STATEMENT IN SUPPORT OF RELIEF REQUESTED</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 Potential Benefits to the Regulated Funds and their Shareholders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spacing w:after="0" w:line="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 Shareholder Protections</w:t>
      </w:r>
    </w:p>
    <w:p>
      <w:pPr>
        <w:spacing w:after="0" w:line="11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 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5" w:lineRule="exact"/>
        <w:rPr>
          <w:sz w:val="20"/>
          <w:szCs w:val="20"/>
          <w:color w:val="auto"/>
        </w:rPr>
      </w:pPr>
    </w:p>
    <w:p>
      <w:pPr>
        <w:ind w:left="440" w:right="60" w:hanging="432"/>
        <w:spacing w:after="0" w:line="220" w:lineRule="auto"/>
        <w:tabs>
          <w:tab w:leader="none" w:pos="44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320" w:top="270" w:right="559" w:bottom="1440" w:gutter="0" w:footer="0" w:header="0"/>
        </w:sectPr>
      </w:pPr>
    </w:p>
    <w:bookmarkStart w:id="10" w:name="page11"/>
    <w:bookmarkEnd w:id="10"/>
    <w:p>
      <w:pPr>
        <w:ind w:left="440" w:hanging="432"/>
        <w:spacing w:after="0"/>
        <w:tabs>
          <w:tab w:leader="none" w:pos="4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PRECEDENTS</w:t>
      </w:r>
    </w:p>
    <w:p>
      <w:pPr>
        <w:spacing w:after="0" w:line="121" w:lineRule="exact"/>
        <w:rPr>
          <w:sz w:val="20"/>
          <w:szCs w:val="20"/>
          <w:color w:val="auto"/>
        </w:rPr>
      </w:pPr>
    </w:p>
    <w:p>
      <w:pPr>
        <w:ind w:right="300"/>
        <w:spacing w:after="0" w:line="230" w:lineRule="auto"/>
        <w:rPr>
          <w:sz w:val="20"/>
          <w:szCs w:val="20"/>
          <w:color w:val="auto"/>
        </w:rPr>
      </w:pPr>
      <w:r>
        <w:rPr>
          <w:rFonts w:ascii="Times New Roman" w:cs="Times New Roman" w:eastAsia="Times New Roman" w:hAnsi="Times New Roman"/>
          <w:sz w:val="18"/>
          <w:szCs w:val="18"/>
          <w:color w:val="auto"/>
        </w:rPr>
        <w:t>The Commission has previously issued orders permitting certain investment companies subject to regulation under the 1940 Act and their affiliated persons to be able to participate in Co-Investment Transactions (the “</w:t>
      </w:r>
      <w:r>
        <w:rPr>
          <w:rFonts w:ascii="Times New Roman" w:cs="Times New Roman" w:eastAsia="Times New Roman" w:hAnsi="Times New Roman"/>
          <w:sz w:val="18"/>
          <w:szCs w:val="18"/>
          <w:b w:val="1"/>
          <w:bCs w:val="1"/>
          <w:i w:val="1"/>
          <w:iCs w:val="1"/>
          <w:color w:val="auto"/>
        </w:rPr>
        <w:t>Existing Orders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21</w:t>
      </w:r>
      <w:r>
        <w:rPr>
          <w:rFonts w:ascii="Times New Roman" w:cs="Times New Roman" w:eastAsia="Times New Roman" w:hAnsi="Times New Roman"/>
          <w:sz w:val="18"/>
          <w:szCs w:val="18"/>
          <w:color w:val="auto"/>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spacing w:after="0" w:line="34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PROCEDURAL MATTERS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Communications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address all communications concerning this Application, the Notice and the Order to:</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Arthur H. Penn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PennantPark Investment Advisers, LLC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1691 Michigan Avenue, Suite 500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Miami Beach, FL 33139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(212) 905-1000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address any questions, and a copy of any communications, concerning this Application, the Notice, and the Order to:</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Thomas J. Friedman, Esq.</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Paul S. Stevens, Esq.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Dechert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International Place,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40th Floor, 100 Oliver Street,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 02110-2605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728-7120</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Authorizations</w:t>
      </w:r>
    </w:p>
    <w:p>
      <w:pPr>
        <w:spacing w:after="0" w:line="11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filing of this Application for the Order sought hereby and the taking of all acts reasonably necessary to obtain the relief requested herein was authorized by the Board of each Existing Regulated Fund pursuant to resolutions duly adopted by the Board. Copies of the resolutions are provided below.</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Rule 0-2(c), Applicants hereby state that each Existing Regulated Fund and Existing Affiliated Fund have authorized to cause to be prepared and to execute and file with the Commission this Application and any amendment thereto for an order pursuant to Section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8" w:lineRule="exact"/>
        <w:rPr>
          <w:sz w:val="20"/>
          <w:szCs w:val="20"/>
          <w:color w:val="auto"/>
        </w:rPr>
      </w:pPr>
    </w:p>
    <w:p>
      <w:pPr>
        <w:ind w:left="440" w:right="20" w:hanging="432"/>
        <w:spacing w:after="0" w:line="239" w:lineRule="auto"/>
        <w:tabs>
          <w:tab w:leader="none" w:pos="440"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 Polen Credit Opportunities Fund,</w:t>
      </w:r>
      <w:r>
        <w:rPr>
          <w:rFonts w:ascii="Times New Roman" w:cs="Times New Roman" w:eastAsia="Times New Roman" w:hAnsi="Times New Roman"/>
          <w:sz w:val="18"/>
          <w:szCs w:val="18"/>
          <w:i w:val="1"/>
          <w:iCs w:val="1"/>
          <w:color w:val="auto"/>
        </w:rPr>
        <w:t xml:space="preserve"> et al</w:t>
      </w:r>
      <w:r>
        <w:rPr>
          <w:rFonts w:ascii="Times New Roman" w:cs="Times New Roman" w:eastAsia="Times New Roman" w:hAnsi="Times New Roman"/>
          <w:sz w:val="18"/>
          <w:szCs w:val="18"/>
          <w:color w:val="auto"/>
        </w:rPr>
        <w:t>. (File No. 812-15457) Release No. IC-35183 (May 2, 2024) (notice), Release No. IC-35206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28, 2024) (Order); Sound Point Meridian Capital,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812-15476-01) Release No. IC-35173 (April 19, 2024) (notice), Release No. IC-35192 (May 15, 2024) (order); Brookfield Infrastructure Income Fund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812-15415), Release No. IC-35001 (September 20, 2022) (notice), Release No. IC-35032 (October 17, 2023) (order); T. Rowe Price OHA Select Private Credit Fund,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812-15461), Release No. IC-34963 (July 24, 2023) (notice), Release No. IC-34987 (August 21, 2023) (order); KKR Real Estate Select Trust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812-15181), Release No. IC-34962 (July 18, 2023) (notice), Release No. IC-34985 (August 15, 2023) (order); MBC Total Private Markets Access Fund,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812-15422), Release No. IC-34953 (June 28, 2023) (notice), Release No. IC-34965 (July 25, 2023) (order); Vista Credit Strategic Lending Corp.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812-15323), Release No. IC-34946 (June 20, 2023) (notice), Release No. IC-34961 (July 18, 2023) (order).</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320" w:top="266" w:right="5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Applicants have caused this Application to be duly signed on their behalf on the 17th day of December, 2025.</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425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425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PRIVATE INCOME FUND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425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ENHANCED INCOME FUND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425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INVESTMENT ADVISERS,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425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PNNT INVESTMENT HOLDINGS,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PFLT INVESTMENT HOLDINGS,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FLOATING RATE FUNDING I,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FLOATING RATE FUNDING II,</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CLO I, LTD.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CLO II, LTD.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CLO VI DEPOSITOR,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CLO VIII,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CLO 11,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CLO 12 DEPOSITOR, LLC</w:t>
      </w:r>
    </w:p>
    <w:p>
      <w:pPr>
        <w:spacing w:after="0" w:line="220"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425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SENIOR LOAN FUND,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PennantPark Investment Administration,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its administrative agent</w:t>
      </w:r>
    </w:p>
    <w:p>
      <w:pPr>
        <w:spacing w:after="0" w:line="220"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By:</w:t>
            </w: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205"/>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82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   Name:</w:t>
            </w:r>
          </w:p>
        </w:tc>
        <w:tc>
          <w:tcPr>
            <w:tcW w:w="3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H. Penn</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Title:</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320" w:top="270" w:right="559" w:bottom="1440" w:gutter="0" w:footer="0" w:header="0"/>
        </w:sectPr>
      </w:pPr>
    </w:p>
    <w:bookmarkStart w:id="12" w:name="page13"/>
    <w:bookmarkEnd w:id="12"/>
    <w:p>
      <w:pPr>
        <w:ind w:left="55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PENNANTPARK SENIOR SECURED LOAN FUND I</w:t>
      </w:r>
    </w:p>
    <w:p>
      <w:pPr>
        <w:spacing w:after="0" w:line="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PennantPark Investment Administration, LLC,</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its administrative agent</w:t>
      </w:r>
    </w:p>
    <w:p>
      <w:pPr>
        <w:spacing w:after="0" w:line="207" w:lineRule="exact"/>
        <w:rPr>
          <w:sz w:val="20"/>
          <w:szCs w:val="20"/>
          <w:color w:val="auto"/>
        </w:rPr>
      </w:pPr>
    </w:p>
    <w:p>
      <w:pPr>
        <w:ind w:left="5500"/>
        <w:spacing w:after="0"/>
        <w:tabs>
          <w:tab w:leader="none" w:pos="6420" w:val="left"/>
        </w:tabs>
        <w:rPr>
          <w:sz w:val="20"/>
          <w:szCs w:val="20"/>
          <w:color w:val="auto"/>
        </w:rPr>
      </w:pPr>
      <w:r>
        <w:rPr>
          <w:rFonts w:ascii="Times New Roman" w:cs="Times New Roman" w:eastAsia="Times New Roman" w:hAnsi="Times New Roman"/>
          <w:sz w:val="18"/>
          <w:szCs w:val="18"/>
          <w:color w:val="auto"/>
        </w:rPr>
        <w:t>      By:</w:t>
      </w:r>
      <w:r>
        <w:rPr>
          <w:sz w:val="20"/>
          <w:szCs w:val="20"/>
          <w:color w:val="auto"/>
        </w:rPr>
        <w:tab/>
      </w:r>
      <w:r>
        <w:rPr>
          <w:rFonts w:ascii="Times New Roman" w:cs="Times New Roman" w:eastAsia="Times New Roman" w:hAnsi="Times New Roman"/>
          <w:sz w:val="17"/>
          <w:szCs w:val="17"/>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22034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16" w:lineRule="exact"/>
        <w:rPr>
          <w:sz w:val="20"/>
          <w:szCs w:val="20"/>
          <w:color w:val="auto"/>
        </w:rPr>
      </w:pPr>
    </w:p>
    <w:p>
      <w:pPr>
        <w:ind w:left="5680" w:hanging="177"/>
        <w:spacing w:after="0"/>
        <w:tabs>
          <w:tab w:leader="none" w:pos="56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Name:  Arthur H. Penn</w:t>
      </w:r>
    </w:p>
    <w:p>
      <w:pPr>
        <w:spacing w:after="0" w:line="38" w:lineRule="exact"/>
        <w:rPr>
          <w:rFonts w:ascii="Times New Roman" w:cs="Times New Roman" w:eastAsia="Times New Roman" w:hAnsi="Times New Roman"/>
          <w:sz w:val="17"/>
          <w:szCs w:val="17"/>
          <w:color w:val="auto"/>
        </w:rPr>
      </w:pPr>
    </w:p>
    <w:p>
      <w:pPr>
        <w:ind w:left="5680" w:hanging="177"/>
        <w:spacing w:after="0"/>
        <w:tabs>
          <w:tab w:leader="none" w:pos="56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Title:   Managing Member</w:t>
      </w:r>
    </w:p>
    <w:p>
      <w:pPr>
        <w:spacing w:after="0" w:line="2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PENNANTPARK SENIOR SECURED LOAN FUND II</w:t>
      </w:r>
    </w:p>
    <w:p>
      <w:pPr>
        <w:spacing w:after="0" w:line="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PennantPark Investment Administration, LLC,</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      its administrative agent</w:t>
      </w:r>
    </w:p>
    <w:p>
      <w:pPr>
        <w:spacing w:after="0" w:line="207" w:lineRule="exact"/>
        <w:rPr>
          <w:sz w:val="20"/>
          <w:szCs w:val="20"/>
          <w:color w:val="auto"/>
        </w:rPr>
      </w:pPr>
    </w:p>
    <w:p>
      <w:pPr>
        <w:ind w:left="5500"/>
        <w:spacing w:after="0"/>
        <w:tabs>
          <w:tab w:leader="none" w:pos="6420" w:val="left"/>
        </w:tabs>
        <w:rPr>
          <w:sz w:val="20"/>
          <w:szCs w:val="20"/>
          <w:color w:val="auto"/>
        </w:rPr>
      </w:pPr>
      <w:r>
        <w:rPr>
          <w:rFonts w:ascii="Times New Roman" w:cs="Times New Roman" w:eastAsia="Times New Roman" w:hAnsi="Times New Roman"/>
          <w:sz w:val="18"/>
          <w:szCs w:val="18"/>
          <w:color w:val="auto"/>
        </w:rPr>
        <w:t>      By:</w:t>
      </w:r>
      <w:r>
        <w:rPr>
          <w:sz w:val="20"/>
          <w:szCs w:val="20"/>
          <w:color w:val="auto"/>
        </w:rPr>
        <w:tab/>
      </w:r>
      <w:r>
        <w:rPr>
          <w:rFonts w:ascii="Times New Roman" w:cs="Times New Roman" w:eastAsia="Times New Roman" w:hAnsi="Times New Roman"/>
          <w:sz w:val="17"/>
          <w:szCs w:val="17"/>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22034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16" w:lineRule="exact"/>
        <w:rPr>
          <w:sz w:val="20"/>
          <w:szCs w:val="20"/>
          <w:color w:val="auto"/>
        </w:rPr>
      </w:pPr>
    </w:p>
    <w:p>
      <w:pPr>
        <w:ind w:left="5680" w:hanging="177"/>
        <w:spacing w:after="0"/>
        <w:tabs>
          <w:tab w:leader="none" w:pos="5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Name:  Arthur H. Penn</w:t>
      </w:r>
    </w:p>
    <w:p>
      <w:pPr>
        <w:spacing w:after="0" w:line="38" w:lineRule="exact"/>
        <w:rPr>
          <w:rFonts w:ascii="Times New Roman" w:cs="Times New Roman" w:eastAsia="Times New Roman" w:hAnsi="Times New Roman"/>
          <w:sz w:val="17"/>
          <w:szCs w:val="17"/>
          <w:color w:val="auto"/>
        </w:rPr>
      </w:pPr>
    </w:p>
    <w:p>
      <w:pPr>
        <w:ind w:left="5680" w:hanging="177"/>
        <w:spacing w:after="0"/>
        <w:tabs>
          <w:tab w:leader="none" w:pos="56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Title:   Managing Member</w:t>
      </w:r>
    </w:p>
    <w:p>
      <w:pPr>
        <w:spacing w:after="0" w:line="2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PENNANTPARK CREDIT OPPORTUNITIES FUND</w:t>
      </w:r>
    </w:p>
    <w:p>
      <w:pPr>
        <w:spacing w:after="0" w:line="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II,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PENNANTPARK CREDIT OPPORTUNITIES FUND</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III,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PENNANTPARK CREDIT OPPORTUNITIES FUND</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IV AGGREGATOR,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b w:val="1"/>
          <w:bCs w:val="1"/>
          <w:color w:val="auto"/>
        </w:rPr>
        <w:t>PENNANTPARK CAPITAL LIQUIDITY SOLUTIONS,</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PENNANTPARK SENIOR CREDIT FUND, LLC</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PENNANTPARK SENIOR CREDIT FUND LEVERED,</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PENNANTPARK SENIOR CREDIT FUND II</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AGGREGATOR, LP, LEVERED SERIES</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PENNANTPARK SENIOR CREDIT FUND II</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AGGREGATOR, LP, UNLEVERED SERIES</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PENNANTPARK SENIOR CREDIT FUND II</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LUXEMBOURG UNLEVERED MASTER FUND SCSP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SICAV-RAIF</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BERKELEY ROAD WC FUNDING SPV 2,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SP CREDIT ACQUISITIONS LLC</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PENNANTPARK SENIOR CREDIT FUND SMA, LP</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TPDS I PLATINUM HOLDINGS LP</w:t>
      </w:r>
    </w:p>
    <w:p>
      <w:pPr>
        <w:spacing w:after="0" w:line="220" w:lineRule="exact"/>
        <w:rPr>
          <w:sz w:val="20"/>
          <w:szCs w:val="20"/>
          <w:color w:val="auto"/>
        </w:rPr>
      </w:pPr>
    </w:p>
    <w:p>
      <w:pPr>
        <w:ind w:left="550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425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5500"/>
        <w:spacing w:after="0"/>
        <w:tabs>
          <w:tab w:leader="none" w:pos="60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880"/>
          </w:cols>
          <w:pgMar w:left="1440" w:top="266" w:right="5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VERIFICATION</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for and on behalf of PennantPark Investment Corporation, that he is the Chief Executive Officer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1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PENNANTPARK INVESTMENT</w:t>
      </w:r>
    </w:p>
    <w:p>
      <w:pPr>
        <w:spacing w:after="0" w:line="2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CORPORATION</w:t>
      </w:r>
    </w:p>
    <w:p>
      <w:pPr>
        <w:spacing w:after="0" w:line="198"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425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VERIFICATION</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for and on behalf of PennantPark Floating Rate Capital Ltd., that he is the Chief Executive Officer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1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PENNANTPARK FLOATING RATE CAPITAL</w:t>
      </w:r>
    </w:p>
    <w:p>
      <w:pPr>
        <w:spacing w:after="0" w:line="2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LTD.</w:t>
      </w:r>
    </w:p>
    <w:p>
      <w:pPr>
        <w:spacing w:after="0" w:line="198"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425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VERIFICATION</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for and on behalf of PennantPark Private Income Fund, that he is the Chief Executive Officer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1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PENNANTPARK PRIVATE INCOME FUND</w:t>
      </w:r>
    </w:p>
    <w:p>
      <w:pPr>
        <w:spacing w:after="0" w:line="224"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425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VERIFICATION</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for and on behalf of PennantPark Enhanced Income Fund, that he is the Chief Executive Officer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1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PENNANTPARK ENHANCED INCOME FUND</w:t>
      </w:r>
    </w:p>
    <w:p>
      <w:pPr>
        <w:spacing w:after="0" w:line="224"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425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VERIFICATION</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for and on behalf of PennantPark Investment Advisers, LLC, that he is the Managing Member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1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PENNANTPARK INVESTMENT ADVISERS,</w:t>
      </w:r>
    </w:p>
    <w:p>
      <w:pPr>
        <w:spacing w:after="0" w:line="2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LLC</w:t>
      </w:r>
    </w:p>
    <w:p>
      <w:pPr>
        <w:spacing w:after="0" w:line="198"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425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VERIFICATION</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for and on behalf of the following Applicants, that he is the Authorized Signatory of such entities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sectPr>
          <w:pgSz w:w="11900" w:h="16838" w:orient="portrait"/>
          <w:cols w:equalWidth="0" w:num="1">
            <w:col w:w="11000"/>
          </w:cols>
          <w:pgMar w:left="320" w:top="270" w:right="579" w:bottom="0" w:gutter="0" w:footer="0" w:header="0"/>
        </w:sectPr>
      </w:pPr>
    </w:p>
    <w:bookmarkStart w:id="14" w:name="page15"/>
    <w:bookmarkEnd w:id="14"/>
    <w:p>
      <w:pPr>
        <w:jc w:val="center"/>
        <w:ind w:right="2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019"/>
          </w:cols>
          <w:pgMar w:left="1440" w:top="121" w:right="1440" w:bottom="1440" w:gutter="0" w:footer="0" w:header="0"/>
        </w:sectPr>
      </w:pPr>
    </w:p>
    <w:bookmarkStart w:id="15" w:name="page16"/>
    <w:bookmarkEnd w:id="15"/>
    <w:p>
      <w:pPr>
        <w:ind w:left="66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PNNT INVESTMENT HOLDINGS, LLC</w:t>
      </w:r>
    </w:p>
    <w:p>
      <w:pPr>
        <w:spacing w:after="0" w:line="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PFLT INVESTMENT HOLDINGS, LLC</w:t>
      </w:r>
    </w:p>
    <w:p>
      <w:pPr>
        <w:ind w:left="6620"/>
        <w:spacing w:after="0"/>
        <w:rPr>
          <w:sz w:val="20"/>
          <w:szCs w:val="20"/>
          <w:color w:val="auto"/>
        </w:rPr>
      </w:pPr>
      <w:r>
        <w:rPr>
          <w:rFonts w:ascii="Times New Roman" w:cs="Times New Roman" w:eastAsia="Times New Roman" w:hAnsi="Times New Roman"/>
          <w:sz w:val="19"/>
          <w:szCs w:val="19"/>
          <w:b w:val="1"/>
          <w:bCs w:val="1"/>
          <w:color w:val="auto"/>
        </w:rPr>
        <w:t>PENNANTPARK FLOATING RATE FUNDING I,</w:t>
      </w:r>
    </w:p>
    <w:p>
      <w:pPr>
        <w:spacing w:after="0" w:line="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LLC</w:t>
      </w:r>
    </w:p>
    <w:p>
      <w:pPr>
        <w:ind w:left="6620"/>
        <w:spacing w:after="0"/>
        <w:rPr>
          <w:sz w:val="20"/>
          <w:szCs w:val="20"/>
          <w:color w:val="auto"/>
        </w:rPr>
      </w:pPr>
      <w:r>
        <w:rPr>
          <w:rFonts w:ascii="Times New Roman" w:cs="Times New Roman" w:eastAsia="Times New Roman" w:hAnsi="Times New Roman"/>
          <w:sz w:val="20"/>
          <w:szCs w:val="20"/>
          <w:b w:val="1"/>
          <w:bCs w:val="1"/>
          <w:color w:val="auto"/>
        </w:rPr>
        <w:t>PENNANTPARK FLOATING RATE FUNDING</w:t>
      </w:r>
    </w:p>
    <w:p>
      <w:pPr>
        <w:ind w:left="6620"/>
        <w:spacing w:after="0"/>
        <w:rPr>
          <w:sz w:val="20"/>
          <w:szCs w:val="20"/>
          <w:color w:val="auto"/>
        </w:rPr>
      </w:pPr>
      <w:r>
        <w:rPr>
          <w:rFonts w:ascii="Times New Roman" w:cs="Times New Roman" w:eastAsia="Times New Roman" w:hAnsi="Times New Roman"/>
          <w:sz w:val="20"/>
          <w:szCs w:val="20"/>
          <w:b w:val="1"/>
          <w:bCs w:val="1"/>
          <w:color w:val="auto"/>
        </w:rPr>
        <w:t>II, LLC</w:t>
      </w:r>
    </w:p>
    <w:p>
      <w:pPr>
        <w:ind w:left="6620"/>
        <w:spacing w:after="0"/>
        <w:rPr>
          <w:sz w:val="20"/>
          <w:szCs w:val="20"/>
          <w:color w:val="auto"/>
        </w:rPr>
      </w:pPr>
      <w:r>
        <w:rPr>
          <w:rFonts w:ascii="Times New Roman" w:cs="Times New Roman" w:eastAsia="Times New Roman" w:hAnsi="Times New Roman"/>
          <w:sz w:val="20"/>
          <w:szCs w:val="20"/>
          <w:b w:val="1"/>
          <w:bCs w:val="1"/>
          <w:color w:val="auto"/>
        </w:rPr>
        <w:t>PENNANTPARK CLO I, LTD.</w:t>
      </w:r>
    </w:p>
    <w:p>
      <w:pPr>
        <w:ind w:left="6620"/>
        <w:spacing w:after="0"/>
        <w:rPr>
          <w:sz w:val="20"/>
          <w:szCs w:val="20"/>
          <w:color w:val="auto"/>
        </w:rPr>
      </w:pPr>
      <w:r>
        <w:rPr>
          <w:rFonts w:ascii="Times New Roman" w:cs="Times New Roman" w:eastAsia="Times New Roman" w:hAnsi="Times New Roman"/>
          <w:sz w:val="20"/>
          <w:szCs w:val="20"/>
          <w:b w:val="1"/>
          <w:bCs w:val="1"/>
          <w:color w:val="auto"/>
        </w:rPr>
        <w:t>PENNANTPARK CLO II, LTD.</w:t>
      </w:r>
    </w:p>
    <w:p>
      <w:pPr>
        <w:ind w:left="6620"/>
        <w:spacing w:after="0"/>
        <w:rPr>
          <w:sz w:val="20"/>
          <w:szCs w:val="20"/>
          <w:color w:val="auto"/>
        </w:rPr>
      </w:pPr>
      <w:r>
        <w:rPr>
          <w:rFonts w:ascii="Times New Roman" w:cs="Times New Roman" w:eastAsia="Times New Roman" w:hAnsi="Times New Roman"/>
          <w:sz w:val="20"/>
          <w:szCs w:val="20"/>
          <w:b w:val="1"/>
          <w:bCs w:val="1"/>
          <w:color w:val="auto"/>
        </w:rPr>
        <w:t>PENNANTPARK CLO VI DEPOSITOR, LLC</w:t>
      </w:r>
    </w:p>
    <w:p>
      <w:pPr>
        <w:ind w:left="6620"/>
        <w:spacing w:after="0"/>
        <w:rPr>
          <w:sz w:val="20"/>
          <w:szCs w:val="20"/>
          <w:color w:val="auto"/>
        </w:rPr>
      </w:pPr>
      <w:r>
        <w:rPr>
          <w:rFonts w:ascii="Times New Roman" w:cs="Times New Roman" w:eastAsia="Times New Roman" w:hAnsi="Times New Roman"/>
          <w:sz w:val="20"/>
          <w:szCs w:val="20"/>
          <w:b w:val="1"/>
          <w:bCs w:val="1"/>
          <w:color w:val="auto"/>
        </w:rPr>
        <w:t>PENNANTPARK CLO VIII, LLC</w:t>
      </w:r>
    </w:p>
    <w:p>
      <w:pPr>
        <w:ind w:left="6620"/>
        <w:spacing w:after="0"/>
        <w:rPr>
          <w:sz w:val="20"/>
          <w:szCs w:val="20"/>
          <w:color w:val="auto"/>
        </w:rPr>
      </w:pPr>
      <w:r>
        <w:rPr>
          <w:rFonts w:ascii="Times New Roman" w:cs="Times New Roman" w:eastAsia="Times New Roman" w:hAnsi="Times New Roman"/>
          <w:sz w:val="20"/>
          <w:szCs w:val="20"/>
          <w:b w:val="1"/>
          <w:bCs w:val="1"/>
          <w:color w:val="auto"/>
        </w:rPr>
        <w:t>PENNANTPARK CLO 11, LLC</w:t>
      </w:r>
    </w:p>
    <w:p>
      <w:pPr>
        <w:ind w:left="6620"/>
        <w:spacing w:after="0"/>
        <w:rPr>
          <w:sz w:val="20"/>
          <w:szCs w:val="20"/>
          <w:color w:val="auto"/>
        </w:rPr>
      </w:pPr>
      <w:r>
        <w:rPr>
          <w:rFonts w:ascii="Times New Roman" w:cs="Times New Roman" w:eastAsia="Times New Roman" w:hAnsi="Times New Roman"/>
          <w:sz w:val="20"/>
          <w:szCs w:val="20"/>
          <w:b w:val="1"/>
          <w:bCs w:val="1"/>
          <w:color w:val="auto"/>
        </w:rPr>
        <w:t>PENNANTPARK CLO 12 DEPOSITOR, LLC</w:t>
      </w:r>
    </w:p>
    <w:p>
      <w:pPr>
        <w:spacing w:after="0" w:line="212"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425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VERIFICATION</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for and on behalf of the following Applicants, that he is the Authorized Signatory of such entities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SENIOR LOAN FUND,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PennantPark Investment Administration,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its administrative agent</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By:</w:t>
            </w: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205"/>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82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   Name:</w:t>
            </w:r>
          </w:p>
        </w:tc>
        <w:tc>
          <w:tcPr>
            <w:tcW w:w="3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H. Penn</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Title:</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SENIOR SECURED LOAN FUND I</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PennantPark Investment Administration,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its administrative agent</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By:</w:t>
            </w: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205"/>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82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   Name:</w:t>
            </w:r>
          </w:p>
        </w:tc>
        <w:tc>
          <w:tcPr>
            <w:tcW w:w="3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H. Penn</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Title:</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SENIOR SECURED LOAN FUND II</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PennantPark Investment Administration,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its administrative agent</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By:</w:t>
            </w: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205"/>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82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   Name:</w:t>
            </w:r>
          </w:p>
        </w:tc>
        <w:tc>
          <w:tcPr>
            <w:tcW w:w="3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H. Penn</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Title:</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320" w:top="261" w:right="5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VERIFICATION</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for and on behalf of the following Applicants, that he is the Authorized Signatory of such entities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CREDIT OPPORTUNITIES FUND</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II, 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CREDIT OPPORTUNITIES FUND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III, 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CREDIT OPPORTUNITIES FUND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IV AGGREGATOR, 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PENNANTPARK CAPITAL LIQUIDITY SOLUTIONS,</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SENIOR CREDIT FUND,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SENIOR CREDIT FUND LEVERED,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SENIOR CREDIT FUND II</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AGGREGATOR, LP, LEVERED SERIES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SENIOR CREDIT FUND II</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AGGREGATOR, LP, UNLEVERED SERIES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SENIOR CREDIT FUND II</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LUXEMBOURG UNLEVERED MASTER FUND SCSP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SICAV-RAIF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BERKELEY ROAD WC FUNDING SPV 2, 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SP CREDIT ACQUISITIONS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SENIOR CREDIT FUND SMA, 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TPDS I PLATINUM HOLDINGS LP</w:t>
      </w:r>
    </w:p>
    <w:p>
      <w:pPr>
        <w:spacing w:after="0" w:line="220"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425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320" w:top="270" w:right="579" w:bottom="1440" w:gutter="0" w:footer="0" w:header="0"/>
        </w:sectPr>
      </w:pPr>
    </w:p>
    <w:bookmarkStart w:id="17" w:name="page18"/>
    <w:bookmarkEnd w:id="17"/>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Wholly-Owned Subsidiary of PennantPark Investment Corporation: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PNNT Investment Holdings, LLC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Wholly-Owned Subsidiaries of PennantPark Floating Rate Capital Ltd.: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PFLT Investment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Funding 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Funding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VI Depositor,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VIII,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11,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12 Depositor, LLC</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139"/>
          </w:cols>
          <w:pgMar w:left="320" w:top="266" w:right="1440" w:bottom="1440" w:gutter="0" w:footer="0" w:header="0"/>
        </w:sectPr>
      </w:pPr>
    </w:p>
    <w:bookmarkStart w:id="18" w:name="page19"/>
    <w:bookmarkEnd w:id="18"/>
    <w:p>
      <w:pPr>
        <w:jc w:val="right"/>
        <w:ind w:right="419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Joint Venture of PennantPark Investment Corporation: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Loan Fund, LLC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Joint Ventures of PennantPark Floating Rate Capital Ltd.: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Secured Loan Fund 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Secured Loan Fund II LLC</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139"/>
          </w:cols>
          <w:pgMar w:left="320" w:top="266" w:right="1440" w:bottom="1440" w:gutter="0" w:footer="0" w:header="0"/>
        </w:sectPr>
      </w:pPr>
    </w:p>
    <w:bookmarkStart w:id="19" w:name="page20"/>
    <w:bookmarkEnd w:id="19"/>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Affiliated Funds: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Credit Opportunities Fund 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Credit Opportunities Fund III,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Credit Opportunities Fund IV Aggregator,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Capital Liquidity Solutions,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Credit Fund,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Credit Fund Levered,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Berkeley Road WC Funding SPV 2,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 Credit Acquisitions,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Credit Fund, SMA,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TPDS I Platinum Holdings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Credit Fund II Aggregator, LP, Levered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Credit Fund II Aggregator, LP, Unlevered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PennantPark Senior Credit Fund II Luxembourg Unlevered Master Fund SCSp SICAV-RAIF</w:t>
      </w:r>
    </w:p>
    <w:p>
      <w:pPr>
        <w:spacing w:after="0" w:line="15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139"/>
          </w:cols>
          <w:pgMar w:left="320" w:top="266"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32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Resolutions of the Directors/Trustees of PennantPark Floating Rate Capital Ltd. (“PFLT”), PennantPark Investment Corporation (“PNNT”), PennantPark Private Income Fund (“PPIF”) and PennantPark Enhanced Income Fund (“PEIF”)</w:t>
      </w:r>
    </w:p>
    <w:p>
      <w:pPr>
        <w:spacing w:after="0" w:line="47"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each of PFLT,PNNT, PPIF and PEIF deem it is advisable and in the best interest of the applicable Fund to file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SEC an application for an order pursuant to Sections 17(d) and 57(i) of the 1940 Act, and Rule 17d-l promulgated thereunder (the “Application”), to authorize the entering into of certain joint transactions that otherwise may be prohibited by Sections 17(d) and 57(a)(4) of the 1940 Act and Rule 17d-1 promulgated thereunder.</w:t>
      </w:r>
    </w:p>
    <w:p>
      <w:pPr>
        <w:spacing w:after="0" w:line="176"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officers of the Adviser and the Authorized Officers of each of PFLT, PNNT, PPIF and PEIF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each of them hereby is, authorized and directed on behalf of the applicable Fund and in its name and on behalf of the applicable Fund, to prepare, execute, and cause to be filed with the SEC an Application for an Order of Exemption, substantially in the form presented to the Board of Directors/Trustees of each of PFLT,PNNT, PPIF and PEIF, and any amendments thereto, pursuant to Section 17(d) of the 1940 Act, and Rule 17d-1 promulgated under the 1940 Act, authorizing certain joint transactions that otherwise may be prohibited by Section 17(d) of the 1940 Act; and it is further</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officers of the applicable Fund be, and each of them hereby is, with respect to the applicable Fund, authorized and directed to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further action and execute such other documents as such officer or officers shall deem necessary or advisable in order to effectuate the intent of the foregoing resolution; and it is further</w:t>
      </w:r>
    </w:p>
    <w:p>
      <w:pPr>
        <w:spacing w:after="0" w:line="1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any and all actions previously taken by the applicable Fund or any of its respective directors or officers in connection with the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the foregoing resolutions be, and each of them hereby is, ratified, confirmed, approved and adopted in all respects as and for the acts and deeds of the applicable Fund.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sectPr>
      <w:pgSz w:w="11900" w:h="16838" w:orient="portrait"/>
      <w:cols w:equalWidth="0" w:num="1">
        <w:col w:w="11020"/>
      </w:cols>
      <w:pgMar w:left="32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upperLetter"/>
      <w:start w:val="9"/>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bullet"/>
      <w:start w:val="1"/>
    </w:lvl>
  </w:abstractNum>
  <w:abstractNum w:abstractNumId="4">
    <w:nsid w:val="25E45D32"/>
    <w:multiLevelType w:val="hybridMultilevel"/>
    <w:lvl w:ilvl="0">
      <w:lvlJc w:val="left"/>
      <w:lvlText w:val="2"/>
      <w:numFmt w:val="bullet"/>
      <w:start w:val="1"/>
    </w:lvl>
  </w:abstractNum>
  <w:abstractNum w:abstractNumId="5">
    <w:nsid w:val="519B500D"/>
    <w:multiLevelType w:val="hybridMultilevel"/>
    <w:lvl w:ilvl="0">
      <w:lvlJc w:val="left"/>
      <w:lvlText w:val="3"/>
      <w:numFmt w:val="bullet"/>
      <w:start w:val="1"/>
    </w:lvl>
  </w:abstractNum>
  <w:abstractNum w:abstractNumId="6">
    <w:nsid w:val="431BD7B7"/>
    <w:multiLevelType w:val="hybridMultilevel"/>
    <w:lvl w:ilvl="0">
      <w:lvlJc w:val="left"/>
      <w:lvlText w:val="4"/>
      <w:numFmt w:val="bullet"/>
      <w:start w:val="1"/>
    </w:lvl>
  </w:abstractNum>
  <w:abstractNum w:abstractNumId="7">
    <w:nsid w:val="3F2DBA31"/>
    <w:multiLevelType w:val="hybridMultilevel"/>
    <w:lvl w:ilvl="0">
      <w:lvlJc w:val="left"/>
      <w:lvlText w:val="5"/>
      <w:numFmt w:val="bullet"/>
      <w:start w:val="1"/>
    </w:lvl>
  </w:abstractNum>
  <w:abstractNum w:abstractNumId="8">
    <w:nsid w:val="7C83E458"/>
    <w:multiLevelType w:val="hybridMultilevel"/>
    <w:lvl w:ilvl="0">
      <w:lvlJc w:val="left"/>
      <w:lvlText w:val="6"/>
      <w:numFmt w:val="bullet"/>
      <w:start w:val="1"/>
    </w:lvl>
  </w:abstractNum>
  <w:abstractNum w:abstractNumId="9">
    <w:nsid w:val="257130A3"/>
    <w:multiLevelType w:val="hybridMultilevel"/>
    <w:lvl w:ilvl="0">
      <w:lvlJc w:val="left"/>
      <w:lvlText w:val="7"/>
      <w:numFmt w:val="bullet"/>
      <w:start w:val="1"/>
    </w:lvl>
  </w:abstractNum>
  <w:abstractNum w:abstractNumId="10">
    <w:nsid w:val="62BBD95A"/>
    <w:multiLevelType w:val="hybridMultilevel"/>
    <w:lvl w:ilvl="0">
      <w:lvlJc w:val="left"/>
      <w:lvlText w:val="8"/>
      <w:numFmt w:val="bullet"/>
      <w:start w:val="1"/>
    </w:lvl>
  </w:abstractNum>
  <w:abstractNum w:abstractNumId="11">
    <w:nsid w:val="436C6125"/>
    <w:multiLevelType w:val="hybridMultilevel"/>
    <w:lvl w:ilvl="0">
      <w:lvlJc w:val="left"/>
      <w:lvlText w:val="%1."/>
      <w:numFmt w:val="upperLetter"/>
      <w:start w:val="35"/>
    </w:lvl>
  </w:abstractNum>
  <w:abstractNum w:abstractNumId="12">
    <w:nsid w:val="628C895D"/>
    <w:multiLevelType w:val="hybridMultilevel"/>
    <w:lvl w:ilvl="0">
      <w:lvlJc w:val="left"/>
      <w:lvlText w:val="9"/>
      <w:numFmt w:val="bullet"/>
      <w:start w:val="1"/>
    </w:lvl>
  </w:abstractNum>
  <w:abstractNum w:abstractNumId="13">
    <w:nsid w:val="333AB105"/>
    <w:multiLevelType w:val="hybridMultilevel"/>
    <w:lvl w:ilvl="0">
      <w:lvlJc w:val="left"/>
      <w:lvlText w:val="%1"/>
      <w:numFmt w:val="decimal"/>
      <w:start w:val="10"/>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2"/>
    </w:lvl>
  </w:abstractNum>
  <w:abstractNum w:abstractNumId="16">
    <w:nsid w:val="2D1D5AE9"/>
    <w:multiLevelType w:val="hybridMultilevel"/>
    <w:lvl w:ilvl="0">
      <w:lvlJc w:val="left"/>
      <w:lvlText w:val="%1."/>
      <w:numFmt w:val="decimal"/>
      <w:start w:val="2"/>
    </w:lvl>
  </w:abstractNum>
  <w:abstractNum w:abstractNumId="17">
    <w:nsid w:val="6763845E"/>
    <w:multiLevelType w:val="hybridMultilevel"/>
    <w:lvl w:ilvl="0">
      <w:lvlJc w:val="left"/>
      <w:lvlText w:val="%1"/>
      <w:numFmt w:val="decimal"/>
      <w:start w:val="13"/>
    </w:lvl>
  </w:abstractNum>
  <w:abstractNum w:abstractNumId="18">
    <w:nsid w:val="75A2A8D4"/>
    <w:multiLevelType w:val="hybridMultilevel"/>
    <w:lvl w:ilvl="0">
      <w:lvlJc w:val="left"/>
      <w:lvlText w:val="%1."/>
      <w:numFmt w:val="decimal"/>
      <w:start w:val="6"/>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decimal"/>
      <w:start w:val="7"/>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decimal"/>
      <w:start w:val="18"/>
    </w:lvl>
  </w:abstractNum>
  <w:abstractNum w:abstractNumId="23">
    <w:nsid w:val="189A769B"/>
    <w:multiLevelType w:val="hybridMultilevel"/>
    <w:lvl w:ilvl="0">
      <w:lvlJc w:val="left"/>
      <w:lvlText w:val="%1."/>
      <w:numFmt w:val="decimal"/>
      <w:start w:val="8"/>
    </w:lvl>
  </w:abstractNum>
  <w:abstractNum w:abstractNumId="24">
    <w:nsid w:val="54E49EB4"/>
    <w:multiLevelType w:val="hybridMultilevel"/>
    <w:lvl w:ilvl="0">
      <w:lvlJc w:val="left"/>
      <w:lvlText w:val="%1"/>
      <w:numFmt w:val="decimal"/>
      <w:start w:val="20"/>
    </w:lvl>
  </w:abstractNum>
  <w:abstractNum w:abstractNumId="25">
    <w:nsid w:val="71F32454"/>
    <w:multiLevelType w:val="hybridMultilevel"/>
    <w:lvl w:ilvl="0">
      <w:lvlJc w:val="left"/>
      <w:lvlText w:val="%1."/>
      <w:numFmt w:val="upperLetter"/>
      <w:start w:val="22"/>
    </w:lvl>
  </w:abstractNum>
  <w:abstractNum w:abstractNumId="26">
    <w:nsid w:val="2CA88611"/>
    <w:multiLevelType w:val="hybridMultilevel"/>
    <w:lvl w:ilvl="0">
      <w:lvlJc w:val="left"/>
      <w:lvlText w:val="%1"/>
      <w:numFmt w:val="decimal"/>
      <w:start w:val="21"/>
    </w:lvl>
  </w:abstractNum>
  <w:abstractNum w:abstractNumId="27">
    <w:nsid w:val="836C40E"/>
    <w:multiLevelType w:val="hybridMultilevel"/>
    <w:lvl w:ilvl="0">
      <w:lvlJc w:val="left"/>
      <w:lvlText w:val=" "/>
      <w:numFmt w:val="bullet"/>
      <w:start w:val="1"/>
    </w:lvl>
  </w:abstractNum>
  <w:abstractNum w:abstractNumId="28">
    <w:nsid w:val="2901D82"/>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2025-12-17T16:28:45Z</dcterms:created>
  <dcterms:modified xsi:type="dcterms:W3CDTF">2025-12-17T16:28:45Z</dcterms:modified>
</cp:coreProperties>
</file>