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60" w:type="dxa"/>
            <w:vAlign w:val="bottom"/>
          </w:tcPr>
          <w:p>
            <w:pPr>
              <w:jc w:val="center"/>
              <w:ind w:right="227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814-00891</w:t>
            </w:r>
          </w:p>
        </w:tc>
        <w:tc>
          <w:tcPr>
            <w:tcW w:w="2680" w:type="dxa"/>
            <w:vAlign w:val="bottom"/>
          </w:tcPr>
          <w:p>
            <w:pPr>
              <w:jc w:val="center"/>
              <w:ind w:left="1181"/>
              <w:spacing w:after="0"/>
              <w:rPr>
                <w:sz w:val="20"/>
                <w:szCs w:val="20"/>
                <w:color w:val="auto"/>
              </w:rPr>
            </w:pPr>
            <w:r>
              <w:rPr>
                <w:rFonts w:ascii="Arial" w:cs="Arial" w:eastAsia="Arial" w:hAnsi="Arial"/>
                <w:sz w:val="18"/>
                <w:szCs w:val="18"/>
                <w:b w:val="1"/>
                <w:bCs w:val="1"/>
                <w:color w:val="auto"/>
                <w:w w:val="89"/>
              </w:rPr>
              <w:t>27-3794690</w:t>
            </w:r>
          </w:p>
        </w:tc>
      </w:tr>
      <w:tr>
        <w:trPr>
          <w:trHeight w:val="148"/>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0"/>
              </w:rPr>
              <w:t>1691 Michigan Avenue, Suite 500</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6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Miami Beach, Florida</w:t>
            </w:r>
          </w:p>
        </w:tc>
        <w:tc>
          <w:tcPr>
            <w:tcW w:w="2200" w:type="dxa"/>
            <w:vAlign w:val="bottom"/>
          </w:tcPr>
          <w:p>
            <w:pPr>
              <w:spacing w:after="0"/>
              <w:rPr>
                <w:sz w:val="19"/>
                <w:szCs w:val="19"/>
                <w:color w:val="auto"/>
              </w:rPr>
            </w:pPr>
          </w:p>
        </w:tc>
        <w:tc>
          <w:tcPr>
            <w:tcW w:w="2680" w:type="dxa"/>
            <w:vAlign w:val="bottom"/>
          </w:tcPr>
          <w:p>
            <w:pPr>
              <w:jc w:val="right"/>
              <w:ind w:right="341"/>
              <w:spacing w:after="0"/>
              <w:rPr>
                <w:sz w:val="20"/>
                <w:szCs w:val="20"/>
                <w:color w:val="auto"/>
              </w:rPr>
            </w:pPr>
            <w:r>
              <w:rPr>
                <w:rFonts w:ascii="Arial" w:cs="Arial" w:eastAsia="Arial" w:hAnsi="Arial"/>
                <w:sz w:val="18"/>
                <w:szCs w:val="18"/>
                <w:b w:val="1"/>
                <w:bCs w:val="1"/>
                <w:color w:val="auto"/>
              </w:rPr>
              <w:t>33139</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(786) 297-9500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of Common Stock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January 23, 2023, PennantPark Floating Rate Capital Ltd. (the “Company”) entered into an underwriting agreement (the “Underwriting Agreement”) by and among the Company, PennantPark Investment Advisers, LLC, PennantPark Investment Administration, LLC, and Morgan Stanley &amp; Co. LLC, UBS Securities LLC, Goldman Sachs &amp; Co. LLC, J.P. Morgan Securities LLC and Keefe, Bruyette &amp; Woods, Inc., as representatives of the several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 (collectively, the “Underwriters”), pursuant to which the Company agreed to sell to the Underwriters an aggregate of 4,250,000 of the Company’s common stock, par value $0.001 per share (the “Shares”), in a registered public offering (the “Offering”). In addition, in connection with the Offering, the Company has granted the Underwriters a 30-day option to purchase up to an additional 637,500 Shares. The Offering closed on January 26, 2023.</w:t>
      </w:r>
    </w:p>
    <w:p>
      <w:pPr>
        <w:spacing w:after="0" w:line="1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Offering was made pursuant to the Company’s effective shelf registration statement on Form N-2 (File No. 333-268813), as supplemented by a preliminary prospectus supplement, dated January 23, 2023, and a final prospectus supplement, dated January 23, 2023, each previously filed with the U. S. Securities and Exchange Commission.</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filed as Exhibit 1.1 to this Current Report on Form 8-K and incorporated by reference herein.</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hanging="570"/>
        <w:spacing w:after="0" w:line="311"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Underwriting Agreement, dated January 23, 2023, among PennantPark Floating Rate Capital Ltd., PennantPark Investment Advisers, LLC, PennantPark Investment Administration, LLC, and Morgan Stanley &amp; Co. LLC, UBS Securities LLC, Goldman Sachs &amp; Co. LLC, J.P. Morgan Securities LLC and Keefe, Bruyette &amp; Woods, Inc., as representatives of the several underwriters named on Schedule A thereto.</w:t>
      </w:r>
    </w:p>
    <w:p>
      <w:pPr>
        <w:spacing w:after="0" w:line="41"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Venable LLP.</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Venable LLP (included in Exhibit 5.1).</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Dated: January 26, 2023</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 Allorto, Jr.</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Richard T. Allorto, Jr.</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i w:val="1"/>
                <w:iCs w:val="1"/>
                <w:color w:val="auto"/>
              </w:rPr>
              <w:t>Chief Financial Officer &amp; Treasurer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4,250,000 Shares of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PennantPark Floating Rate Capital Ltd., a Maryland corporation (the “Company”), proposes to issue and sell an aggregate of 4,250,000 shares (the “Firm Shares”) of common stock, $0.001 par value per share (the “Common Stock”), of the Company (the “Offering”). It is understood that, subject to the conditions hereinafter stated, the Firm Shares will be sold by the Company to the several Underwriters named in Schedule A hereto (the “Underwriters”) in connection with the offer and sale of such Firm Shares. Morgan Stanley &amp; Co. LLC, UBS Securities LLC, Goldman Sachs &amp; Co. LLC, J.P. Morgan Securities LLC, and Keefe, Bruyette &amp; Woods, Inc. shall act as joint book-running managers (the “Joint Book-Running Managers”).</w:t>
      </w:r>
    </w:p>
    <w:p>
      <w:pPr>
        <w:spacing w:after="0" w:line="1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the Company proposes to grant to the Underwriters the option to purchase from the Company up to an additional 637,500 shares of Common Stock (the “Additional Shares”). The Firm Shares and the Additional Shares are hereinafter collectively sometimes referred to as the “Shares.” The Shares are described in the Prospectus which is referred to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filed with the Securities and Exchange Commission (the “Commission”) a shelf registration statement on</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Form N-2 (File No. 333-268813), relating to the registration of the Shares and certain of the Company’s other securities under the Securities Act of 1933, as amended (the “1933 Act”), which registration statement was declared effective by the Commission on January 9, 2023. The Company has also filed with the Commission a preliminary prospectus supplement, dated January 23, 2023, as such prospectus supplement may be amended (the “Preliminary Prospectus Supplement”), which contains a base prospectus, dated January 9, 2023 (the “Base Prospectus” and, together with the Preliminary Prospectus Supplement, the “Preliminary Prospectus”). Promptly after execution and delivery of this Agreement, the Company will prepare and file a prospectus in accordance with the provisions of Rule 430B (“Rule 430B”) of the rules and regulations of the Commission promulgated under the 1933 Act (such provisions, the “1933 Act Regulations”) and Rule 424(b) of the 1933 Act Regulations (“Rule 424(b)”).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is herein called the “Prospectus.” All references in this Agreement to amendments or supplements to the Registration Statement or the Prospectus, including those made pursuant to Rule 424(b)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5" w:name="page6"/>
    <w:bookmarkEnd w:id="5"/>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entered into an investment advisory management agreement, dated as of April 7, 2011, as most recently amended and restated as of February 2, 2016 (as re-approved by the board of directors of the Company at a meeting on February 8, 2022) (the “Investment Management Agreement”), with PennantPark Investment Advisers, LLC (the “Adviser”), a Delaware limited liability company registered as an investment adviser under the Investment Advisers Act of 1940, as amended, and the rules and regulations thereunder (collectively, the “Advisers Act”).</w:t>
      </w:r>
    </w:p>
    <w:p>
      <w:pPr>
        <w:spacing w:after="0" w:line="17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 has entered into an administration agreement, dated as of April 7, 2011, as most recently amended and restated as of July 1, 2022 (the “Administration Agreement”), with PennantPark Investment Administration, LLC, a Delaware limited liability company (the “Administrator”).</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Form N-54A Notification of Election to be Subject to Sections 55 through 65 of the Investment Company Act of 1940 Filed Pursuant to Section 54(a) of the Investment Company Act (File No. 814-00743) (the “Notification of Election”)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“Applicable Time” means 7:30 P.M. New York City time, on January 23, 2023.</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 xml:space="preserve">“General Disclosure Package” means the preliminary prospectus as of the Applicable Time and the information included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all considered together.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117" w:lineRule="exact"/>
        <w:rPr>
          <w:sz w:val="20"/>
          <w:szCs w:val="20"/>
          <w:color w:val="auto"/>
        </w:rPr>
      </w:pPr>
    </w:p>
    <w:p>
      <w:pPr>
        <w:ind w:firstLine="1019"/>
        <w:spacing w:after="0" w:line="270" w:lineRule="auto"/>
        <w:tabs>
          <w:tab w:leader="none" w:pos="1191"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Sale and Purchase</w:t>
      </w:r>
      <w:r>
        <w:rPr>
          <w:rFonts w:ascii="Arial" w:cs="Arial" w:eastAsia="Arial" w:hAnsi="Arial"/>
          <w:sz w:val="17"/>
          <w:szCs w:val="17"/>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$11.1998 per Share (after adding a supplemental payment of $0.0998 per Share payable by the Adviser to the Underwriters (the “Adviser Supplemental Payment”) to the public offering price of $11.10 per Share). In addition, in connection with the sales of the Firm Shares, the Adviser agrees to pay to Morgan Stanley &amp; Co. LLC, for the account of the Underwriters, $0.333 per Share (which represents all of the underwriting commissions payable by the Adviser) (the “Adviser Sales Load Payment”) with respect to the Firm Shares. The Company is advised by you that the Underwriters intend initially to offer the Firm Shares upon the terms set forth in the Prospectus. You may from time to time increase or decrease the public offering price after the public offering to such extent as you may determine.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6" w:name="page7"/>
    <w:bookmarkEnd w:id="6"/>
    <w:p>
      <w:pPr>
        <w:ind w:firstLine="101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made in connection with the offering of the Firm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“additional time of purchase”); provided, however, that the additional time of purchase shall not be earlier than the time of purchase (as defined below) nor later than three 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 In addition, in connection with the sale of any Additional Shares, the Adviser agrees to make the per Share Adviser Supplemental Payment and Adviser Sales Load Payment with respect to such Additional Shares.</w:t>
      </w:r>
    </w:p>
    <w:p>
      <w:pPr>
        <w:spacing w:after="0" w:line="167" w:lineRule="exact"/>
        <w:rPr>
          <w:sz w:val="20"/>
          <w:szCs w:val="20"/>
          <w:color w:val="auto"/>
        </w:rPr>
      </w:pPr>
    </w:p>
    <w:p>
      <w:pPr>
        <w:ind w:right="80" w:firstLine="1019"/>
        <w:spacing w:after="0" w:line="254" w:lineRule="auto"/>
        <w:tabs>
          <w:tab w:leader="none" w:pos="119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of the purchase price for the Firm Shares shall be made to the Company by Federal Funds wire transfer, against delivery of the certificates for the Firm Shares to you through the facilities of The Depository Trust Company (“DTC”) for the respective accounts of the Underwriters. Payment of the Adviser Supplemental Payment and Adviser Sales Load Payment with respect to the Firm Shares shall be made to Morgan Stanley &amp; Co. LLC by wire transfer of immediately available funds to a bank account designated by Morgan Stanley &amp; Co. LLC. Such payments and delivery shall be made at 10:00 A.M., New York City time, on January 26, 2023 (unless another time shall be agreed to by you and the Company or unless postponed in accordance with the provisions of Section 8 hereof). The time at which such payments and delivery are to be made is hereinafter sometimes called “the time of purchase.” Electronic transfer of the Firm Shares shall be made to you at the time of purchase in such names and in such denominations as you shall specify.</w:t>
      </w:r>
    </w:p>
    <w:p>
      <w:pPr>
        <w:spacing w:after="0" w:line="192"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Payment of the purchase price for the Additional Shares and payment of the Adviser Supplemental Payment and Adviser Sales Load Payment with respect to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4" w:right="399" w:bottom="1440" w:gutter="0" w:footer="0" w:header="0"/>
        </w:sectPr>
      </w:pPr>
    </w:p>
    <w:bookmarkStart w:id="7" w:name="page8"/>
    <w:bookmarkEnd w:id="7"/>
    <w:p>
      <w:pPr>
        <w:ind w:right="60"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Deliveries of the documents described in Section 6 hereof with respect to the purchase of the Shares shall be made at the offices of Kirkland &amp; Ellis LLP, 1301 Pennsylvania Avenue, NW, Washington, DC 20004 at 10:00 A.M., New York City time, on the date of the closing of the purchase of the Firm Shares or the Additional Shares, as the case may be.</w:t>
      </w:r>
    </w:p>
    <w:p>
      <w:pPr>
        <w:spacing w:after="0" w:line="184" w:lineRule="exact"/>
        <w:rPr>
          <w:sz w:val="20"/>
          <w:szCs w:val="20"/>
          <w:color w:val="auto"/>
        </w:rPr>
      </w:pPr>
    </w:p>
    <w:p>
      <w:pPr>
        <w:ind w:left="1200" w:hanging="181"/>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140" w:lineRule="exact"/>
        <w:rPr>
          <w:rFonts w:ascii="Arial" w:cs="Arial" w:eastAsia="Arial" w:hAnsi="Arial"/>
          <w:sz w:val="16"/>
          <w:szCs w:val="16"/>
          <w:color w:val="auto"/>
        </w:rPr>
      </w:pPr>
    </w:p>
    <w:p>
      <w:pPr>
        <w:ind w:left="460" w:right="20" w:firstLine="967"/>
        <w:spacing w:after="0" w:line="293" w:lineRule="auto"/>
        <w:tabs>
          <w:tab w:leader="none" w:pos="1645"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Prospectuses</w:t>
      </w:r>
      <w:r>
        <w:rPr>
          <w:rFonts w:ascii="Arial" w:cs="Arial" w:eastAsia="Arial" w:hAnsi="Arial"/>
          <w:sz w:val="16"/>
          <w:szCs w:val="16"/>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56" w:lineRule="exact"/>
        <w:rPr>
          <w:sz w:val="20"/>
          <w:szCs w:val="20"/>
          <w:color w:val="auto"/>
        </w:rPr>
      </w:pPr>
    </w:p>
    <w:p>
      <w:pPr>
        <w:ind w:left="460" w:firstLine="431"/>
        <w:spacing w:after="0" w:line="273"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1933 Act, the 1933 Act Regulations, the 1940 Act and the 1940 Act Regulations. Each preliminary prospectus, the Prospectus and any amendment or supplement thereto, at the time each was filed with the Commission, complied in all material respects with the requirements of the 1933 Act, the 1933 Act Regulations, the 1940 Act and the 1940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70" w:lineRule="exact"/>
        <w:rPr>
          <w:sz w:val="20"/>
          <w:szCs w:val="20"/>
          <w:color w:val="auto"/>
        </w:rPr>
      </w:pPr>
    </w:p>
    <w:p>
      <w:pPr>
        <w:ind w:left="460" w:firstLine="967"/>
        <w:spacing w:after="0" w:line="287" w:lineRule="auto"/>
        <w:tabs>
          <w:tab w:leader="none" w:pos="169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Offering Materials</w:t>
      </w:r>
      <w:r>
        <w:rPr>
          <w:rFonts w:ascii="Arial" w:cs="Arial" w:eastAsia="Arial" w:hAnsi="Arial"/>
          <w:sz w:val="16"/>
          <w:szCs w:val="16"/>
          <w:color w:val="auto"/>
        </w:rPr>
        <w:t>. The Company (including its agents and representatives, other than the Underwriters in their capacity as such) has not prepared, made, used, authorized, approved or referred to and, without the prior written consent of the Joint Book-Running Managers, will not prepare, make, use, authorize, approve or refer to any “written communication” (as defined in Rule 405 under the 1933 Act) that constitutes an offer to sell or solicitation of an offer to buy the Shares other than (i) any document not constituting a prospectus pursuant to Section 2(a)(10)(a) of the 1933 Act or Rule 134 under the 1933 Act, (ii) any “advertisement” as defined in Rule 482 under the 1933 Act or (iii) any advertising, sales literature, press releases or other promotional material (including “prospectus wrappers,” “broker kits,” “road show scripts” and “electronic road show presentations”) authorized in writing by or prepared by the Company to be used in connection with the offering of the Shares and approved for use by the Joint Book-Running Managers (collectively, the “Offering Materials”). The Offering Materials (as amended or supplemented), at the time first used, at the Applicable Time, at the time of purchase and the additional time of purchase, if any, complied and will comply in all material respects with the 1933 Act, have been or will be (within the time period specified in Rule 424, Rule 433 and/or Rule 497) filed in accordance with the 1933 Act (to the extent required thereby) and, when taken together with the General Disclosure Package, at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274" w:right="419" w:bottom="1440" w:gutter="0" w:footer="0" w:header="0"/>
        </w:sectPr>
      </w:pPr>
    </w:p>
    <w:bookmarkStart w:id="8" w:name="page9"/>
    <w:bookmarkEnd w:id="8"/>
    <w:p>
      <w:pPr>
        <w:ind w:left="3"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Time did not and at the time of purchase and the additional time of purchase, if any, will not contain any untrue statement of a material fact or omit to state a material fact necessary in order to make the statements therein, in the light of the circumstances under which they were made, not misleading; provided the representations and warranties in this subsection shall not apply to statements in or omissions from the Offering Materials made in reliance upon and in conformity with written information furnished to the Company by any Underwriter through a Joint Book-Running Manager expressly for use therein.</w:t>
      </w:r>
    </w:p>
    <w:p>
      <w:pPr>
        <w:spacing w:after="0" w:line="80" w:lineRule="exact"/>
        <w:rPr>
          <w:sz w:val="20"/>
          <w:szCs w:val="20"/>
          <w:color w:val="auto"/>
        </w:rPr>
      </w:pPr>
    </w:p>
    <w:p>
      <w:pPr>
        <w:ind w:left="3" w:right="140" w:firstLine="967"/>
        <w:spacing w:after="0" w:line="263"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Documents Incorporated by Reference</w:t>
      </w:r>
      <w:r>
        <w:rPr>
          <w:rFonts w:ascii="Arial" w:cs="Arial" w:eastAsia="Arial" w:hAnsi="Arial"/>
          <w:sz w:val="18"/>
          <w:szCs w:val="18"/>
          <w:color w:val="auto"/>
        </w:rPr>
        <w:t>. The documents incorporated by reference in each of the Registration Statement, the preliminary prospectus and the Prospectus, when they were filed or when they will be filed with the Commission, as the case may be, conformed or will conform in all material respects to the requirements of the 1934 Act.</w:t>
      </w:r>
    </w:p>
    <w:p>
      <w:pPr>
        <w:spacing w:after="0" w:line="75" w:lineRule="exact"/>
        <w:rPr>
          <w:rFonts w:ascii="Arial" w:cs="Arial" w:eastAsia="Arial" w:hAnsi="Arial"/>
          <w:sz w:val="18"/>
          <w:szCs w:val="18"/>
          <w:color w:val="auto"/>
        </w:rPr>
      </w:pPr>
    </w:p>
    <w:p>
      <w:pPr>
        <w:jc w:val="both"/>
        <w:ind w:left="3" w:right="40" w:firstLine="967"/>
        <w:spacing w:after="0" w:line="287" w:lineRule="auto"/>
        <w:tabs>
          <w:tab w:leader="none" w:pos="127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Testing the Waters Communications</w:t>
      </w:r>
      <w:r>
        <w:rPr>
          <w:rFonts w:ascii="Arial" w:cs="Arial" w:eastAsia="Arial" w:hAnsi="Arial"/>
          <w:sz w:val="16"/>
          <w:szCs w:val="16"/>
          <w:color w:val="auto"/>
        </w:rPr>
        <w:t>. The Company (i) has not alone engaged in any Testing-the-Waters Communication other than Testing-the-Waters Communications with the consent of the Joint Book-Running Managers with entities that are qualified institutional buyers within the meaning of Rule 144A under the 1933 Act or institutions that are accredited investors within the meaning of Rule 501 under the 1933 Act and</w:t>
      </w:r>
    </w:p>
    <w:p>
      <w:pPr>
        <w:spacing w:after="0" w:line="2" w:lineRule="exact"/>
        <w:rPr>
          <w:rFonts w:ascii="Arial" w:cs="Arial" w:eastAsia="Arial" w:hAnsi="Arial"/>
          <w:sz w:val="16"/>
          <w:szCs w:val="16"/>
          <w:color w:val="auto"/>
        </w:rPr>
      </w:pPr>
    </w:p>
    <w:p>
      <w:pPr>
        <w:ind w:left="3" w:right="60" w:hanging="3"/>
        <w:spacing w:after="0" w:line="253" w:lineRule="auto"/>
        <w:tabs>
          <w:tab w:leader="none" w:pos="268" w:val="left"/>
        </w:tabs>
        <w:numPr>
          <w:ilvl w:val="0"/>
          <w:numId w:val="7"/>
        </w:numPr>
        <w:rPr>
          <w:rFonts w:ascii="Arial" w:cs="Arial" w:eastAsia="Arial" w:hAnsi="Arial"/>
          <w:sz w:val="18"/>
          <w:szCs w:val="18"/>
          <w:color w:val="auto"/>
        </w:rPr>
      </w:pPr>
      <w:r>
        <w:rPr>
          <w:rFonts w:ascii="Arial" w:cs="Arial" w:eastAsia="Arial" w:hAnsi="Arial"/>
          <w:sz w:val="18"/>
          <w:szCs w:val="18"/>
          <w:color w:val="auto"/>
        </w:rPr>
        <w:t>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1933 Act. “Written Testing-the-Waters Communication” means any Testing-the-Waters Communication that is a written communication within the meaning of Rule 405.</w:t>
      </w:r>
    </w:p>
    <w:p>
      <w:pPr>
        <w:spacing w:after="0" w:line="84" w:lineRule="exact"/>
        <w:rPr>
          <w:rFonts w:ascii="Arial" w:cs="Arial" w:eastAsia="Arial" w:hAnsi="Arial"/>
          <w:sz w:val="18"/>
          <w:szCs w:val="18"/>
          <w:color w:val="auto"/>
        </w:rPr>
      </w:pPr>
    </w:p>
    <w:p>
      <w:pPr>
        <w:ind w:left="3" w:right="60" w:firstLine="967"/>
        <w:spacing w:after="0" w:line="269" w:lineRule="auto"/>
        <w:tabs>
          <w:tab w:leader="none" w:pos="1228"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amendment thereto, at its effective time, at the Applicable Time or at the time of purchase or additional time of purchase, if any,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at the time of purchase or additional time of purchase, if any,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7" w:lineRule="exact"/>
        <w:rPr>
          <w:sz w:val="20"/>
          <w:szCs w:val="20"/>
          <w:color w:val="auto"/>
        </w:rPr>
      </w:pPr>
    </w:p>
    <w:p>
      <w:pPr>
        <w:ind w:left="3" w:firstLine="431"/>
        <w:spacing w:after="0" w:line="279"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a Joint Book-Running Manager expressly for use therein, it being understood and agreed that the only such information is that set forth in Section 10.</w:t>
      </w:r>
    </w:p>
    <w:p>
      <w:pPr>
        <w:spacing w:after="0" w:line="104"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3"/>
          </w:cols>
          <w:pgMar w:left="777" w:top="274" w:right="359" w:bottom="1440" w:gutter="0" w:footer="0" w:header="0"/>
        </w:sectPr>
      </w:pPr>
    </w:p>
    <w:bookmarkStart w:id="9" w:name="page10"/>
    <w:bookmarkEnd w:id="9"/>
    <w:p>
      <w:pPr>
        <w:jc w:val="both"/>
        <w:ind w:right="180" w:firstLine="967"/>
        <w:spacing w:after="0" w:line="301" w:lineRule="auto"/>
        <w:tabs>
          <w:tab w:leader="none" w:pos="127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Arial" w:cs="Arial" w:eastAsia="Arial" w:hAnsi="Arial"/>
          <w:sz w:val="16"/>
          <w:szCs w:val="16"/>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49" w:lineRule="exact"/>
        <w:rPr>
          <w:rFonts w:ascii="Arial" w:cs="Arial" w:eastAsia="Arial" w:hAnsi="Arial"/>
          <w:sz w:val="16"/>
          <w:szCs w:val="16"/>
          <w:color w:val="auto"/>
        </w:rPr>
      </w:pPr>
    </w:p>
    <w:p>
      <w:pPr>
        <w:ind w:right="220" w:firstLine="967"/>
        <w:spacing w:after="0" w:line="279" w:lineRule="auto"/>
        <w:tabs>
          <w:tab w:leader="none" w:pos="132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Independent Accountants of the Company</w:t>
      </w:r>
      <w:r>
        <w:rPr>
          <w:rFonts w:ascii="Arial" w:cs="Arial" w:eastAsia="Arial" w:hAnsi="Arial"/>
          <w:sz w:val="17"/>
          <w:szCs w:val="17"/>
          <w:color w:val="auto"/>
        </w:rPr>
        <w:t>.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63" w:lineRule="exact"/>
        <w:rPr>
          <w:rFonts w:ascii="Arial" w:cs="Arial" w:eastAsia="Arial" w:hAnsi="Arial"/>
          <w:sz w:val="17"/>
          <w:szCs w:val="17"/>
          <w:color w:val="auto"/>
        </w:rPr>
      </w:pPr>
    </w:p>
    <w:p>
      <w:pPr>
        <w:jc w:val="both"/>
        <w:ind w:right="20" w:firstLine="967"/>
        <w:spacing w:after="0" w:line="286" w:lineRule="auto"/>
        <w:tabs>
          <w:tab w:leader="none" w:pos="137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w:t>
      </w:r>
    </w:p>
    <w:p>
      <w:pPr>
        <w:spacing w:after="0" w:line="1" w:lineRule="exact"/>
        <w:rPr>
          <w:rFonts w:ascii="Arial" w:cs="Arial" w:eastAsia="Arial" w:hAnsi="Arial"/>
          <w:sz w:val="16"/>
          <w:szCs w:val="16"/>
          <w:color w:val="auto"/>
        </w:rPr>
      </w:pPr>
    </w:p>
    <w:p>
      <w:pPr>
        <w:ind w:right="100"/>
        <w:spacing w:after="0" w:line="268" w:lineRule="auto"/>
        <w:rPr>
          <w:rFonts w:ascii="Arial" w:cs="Arial" w:eastAsia="Arial" w:hAnsi="Arial"/>
          <w:sz w:val="16"/>
          <w:szCs w:val="16"/>
          <w:color w:val="auto"/>
        </w:rPr>
      </w:pPr>
      <w:r>
        <w:rPr>
          <w:rFonts w:ascii="Arial" w:cs="Arial" w:eastAsia="Arial" w:hAnsi="Arial"/>
          <w:sz w:val="17"/>
          <w:szCs w:val="17"/>
          <w:color w:val="auto"/>
        </w:rPr>
        <w:t>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70" w:lineRule="exact"/>
        <w:rPr>
          <w:rFonts w:ascii="Arial" w:cs="Arial" w:eastAsia="Arial" w:hAnsi="Arial"/>
          <w:sz w:val="16"/>
          <w:szCs w:val="16"/>
          <w:color w:val="auto"/>
        </w:rPr>
      </w:pPr>
    </w:p>
    <w:p>
      <w:pPr>
        <w:ind w:firstLine="967"/>
        <w:spacing w:after="0" w:line="263" w:lineRule="auto"/>
        <w:tabs>
          <w:tab w:leader="none" w:pos="12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the General Disclosure Package or the Prospectus, (A) there has been no material adverse change in the business, management, financial condition, results of</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0"/>
          </w:cols>
          <w:pgMar w:left="780" w:top="274" w:right="33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63" w:lineRule="exact"/>
        <w:rPr>
          <w:sz w:val="20"/>
          <w:szCs w:val="20"/>
          <w:color w:val="auto"/>
        </w:rPr>
      </w:pPr>
    </w:p>
    <w:p>
      <w:pPr>
        <w:ind w:right="80" w:firstLine="967"/>
        <w:spacing w:after="0" w:line="272" w:lineRule="auto"/>
        <w:tabs>
          <w:tab w:leader="none" w:pos="122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Administration Agreement and the Shares;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69" w:lineRule="exact"/>
        <w:rPr>
          <w:rFonts w:ascii="Arial" w:cs="Arial" w:eastAsia="Arial" w:hAnsi="Arial"/>
          <w:sz w:val="17"/>
          <w:szCs w:val="17"/>
          <w:color w:val="auto"/>
        </w:rPr>
      </w:pPr>
    </w:p>
    <w:p>
      <w:pPr>
        <w:ind w:firstLine="967"/>
        <w:spacing w:after="0" w:line="267" w:lineRule="auto"/>
        <w:tabs>
          <w:tab w:leader="none" w:pos="127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Subsidiaries of the Company; Portfolio Companies</w:t>
      </w:r>
      <w:r>
        <w:rPr>
          <w:rFonts w:ascii="Arial" w:cs="Arial" w:eastAsia="Arial" w:hAnsi="Arial"/>
          <w:sz w:val="17"/>
          <w:szCs w:val="17"/>
          <w:color w:val="auto"/>
        </w:rPr>
        <w:t xml:space="preserve">. The Company’s only subsidiaries that were consolidated with the Company for financial reporting purposes under GAAP as of September 30, 2022 are those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the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780" w:top="274" w:right="339" w:bottom="1440" w:gutter="0" w:footer="0" w:header="0"/>
        </w:sectPr>
      </w:pPr>
    </w:p>
    <w:bookmarkStart w:id="11" w:name="page12"/>
    <w:bookmarkEnd w:id="11"/>
    <w:p>
      <w:pPr>
        <w:jc w:val="both"/>
        <w:ind w:right="140" w:firstLine="967"/>
        <w:spacing w:after="0" w:line="286" w:lineRule="auto"/>
        <w:tabs>
          <w:tab w:leader="none" w:pos="132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Arial" w:cs="Arial" w:eastAsia="Arial" w:hAnsi="Arial"/>
          <w:sz w:val="16"/>
          <w:szCs w:val="16"/>
          <w:color w:val="auto"/>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1"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81" w:lineRule="exact"/>
        <w:rPr>
          <w:rFonts w:ascii="Arial" w:cs="Arial" w:eastAsia="Arial" w:hAnsi="Arial"/>
          <w:sz w:val="16"/>
          <w:szCs w:val="16"/>
          <w:color w:val="auto"/>
        </w:rPr>
      </w:pPr>
    </w:p>
    <w:p>
      <w:pPr>
        <w:ind w:left="1380" w:hanging="413"/>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160" w:firstLine="967"/>
        <w:spacing w:after="0" w:line="296" w:lineRule="auto"/>
        <w:tabs>
          <w:tab w:leader="none" w:pos="136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Authorization and Description of Securities</w:t>
      </w:r>
      <w:r>
        <w:rPr>
          <w:rFonts w:ascii="Arial" w:cs="Arial" w:eastAsia="Arial" w:hAnsi="Arial"/>
          <w:sz w:val="16"/>
          <w:szCs w:val="16"/>
          <w:color w:val="auto"/>
        </w:rPr>
        <w:t>. The Shares to be issued and sold by the Company hereunder have been duly authorized and, when issued and paid for as contemplated herein, will be validly issued, fully paid and non-assessable; and no preemptive rights of stockholders exist with respect to any of the Shares or the issue and sale thereof. The Common Stock conforms to all statements relating thereto contained in the Registration Statement, the General Disclosure Package and the Prospectus and such description conforms to the rights set forth in the instruments defining the same. No holder of the Common Stock will be subject to personal liability by reason of being such a holder.</w:t>
      </w:r>
    </w:p>
    <w:p>
      <w:pPr>
        <w:spacing w:after="0" w:line="53" w:lineRule="exact"/>
        <w:rPr>
          <w:rFonts w:ascii="Arial" w:cs="Arial" w:eastAsia="Arial" w:hAnsi="Arial"/>
          <w:sz w:val="16"/>
          <w:szCs w:val="16"/>
          <w:color w:val="auto"/>
        </w:rPr>
      </w:pPr>
    </w:p>
    <w:p>
      <w:pPr>
        <w:ind w:right="240" w:firstLine="967"/>
        <w:spacing w:after="0" w:line="342" w:lineRule="auto"/>
        <w:tabs>
          <w:tab w:leader="none" w:pos="131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15" w:lineRule="exact"/>
        <w:rPr>
          <w:rFonts w:ascii="Arial" w:cs="Arial" w:eastAsia="Arial" w:hAnsi="Arial"/>
          <w:sz w:val="16"/>
          <w:szCs w:val="16"/>
          <w:color w:val="auto"/>
        </w:rPr>
      </w:pPr>
    </w:p>
    <w:p>
      <w:pPr>
        <w:ind w:firstLine="967"/>
        <w:spacing w:after="0" w:line="289" w:lineRule="auto"/>
        <w:tabs>
          <w:tab w:leader="none" w:pos="136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Absence of Violations and Defaults</w:t>
      </w:r>
      <w:r>
        <w:rPr>
          <w:rFonts w:ascii="Arial" w:cs="Arial" w:eastAsia="Arial" w:hAnsi="Arial"/>
          <w:sz w:val="16"/>
          <w:szCs w:val="16"/>
          <w:color w:val="auto"/>
        </w:rPr>
        <w:t>. Neither the Company nor any of the Subsidiaries is (A) in violation of its charter, bylaws or similar organizational document, each as amended or supplemented as of the date of this Agreement, at the time of purchase and the additional time of purchase, if any,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780" w:top="274" w:right="359" w:bottom="1440" w:gutter="0" w:footer="0" w:header="0"/>
        </w:sectPr>
      </w:pPr>
    </w:p>
    <w:bookmarkStart w:id="12" w:name="page13"/>
    <w:bookmarkEnd w:id="12"/>
    <w:p>
      <w:pPr>
        <w:ind w:firstLine="967"/>
        <w:spacing w:after="0" w:line="286" w:lineRule="auto"/>
        <w:tabs>
          <w:tab w:leader="none" w:pos="141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Arial" w:cs="Arial" w:eastAsia="Arial" w:hAnsi="Arial"/>
          <w:sz w:val="16"/>
          <w:szCs w:val="16"/>
          <w:color w:val="auto"/>
        </w:rPr>
        <w:t>. The execution, delivery and performance of this Agreement, the performance of the Investment Management Agreement and the Administration Agreement and the consummation of the transactions contemplated herein and therein and in the Registration Statement, the General Disclosure Package and the Prospectus (including the issuance and sale of the Securities and the use of the proceeds from the sale of the Shares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62" w:lineRule="exact"/>
        <w:rPr>
          <w:rFonts w:ascii="Arial" w:cs="Arial" w:eastAsia="Arial" w:hAnsi="Arial"/>
          <w:sz w:val="16"/>
          <w:szCs w:val="16"/>
          <w:color w:val="auto"/>
        </w:rPr>
      </w:pPr>
    </w:p>
    <w:p>
      <w:pPr>
        <w:ind w:right="420" w:firstLine="967"/>
        <w:spacing w:after="0" w:line="277" w:lineRule="auto"/>
        <w:tabs>
          <w:tab w:leader="none" w:pos="146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As of the date hereof, neither the Company nor any of the Subsidiaries has, and as of the at time of purchase or additional time of purchase, if any, neither the Company nor any of the Subsidiaries will have, any employees.</w:t>
      </w:r>
    </w:p>
    <w:p>
      <w:pPr>
        <w:spacing w:after="0" w:line="62" w:lineRule="exact"/>
        <w:rPr>
          <w:rFonts w:ascii="Arial" w:cs="Arial" w:eastAsia="Arial" w:hAnsi="Arial"/>
          <w:sz w:val="18"/>
          <w:szCs w:val="18"/>
          <w:color w:val="auto"/>
        </w:rPr>
      </w:pPr>
    </w:p>
    <w:p>
      <w:pPr>
        <w:ind w:right="60" w:firstLine="967"/>
        <w:spacing w:after="0" w:line="255" w:lineRule="auto"/>
        <w:tabs>
          <w:tab w:leader="none" w:pos="136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or the Administration Agreement or the performance by the Company of its obligations hereunder or thereunder.</w:t>
      </w:r>
    </w:p>
    <w:p>
      <w:pPr>
        <w:spacing w:after="0" w:line="84" w:lineRule="exact"/>
        <w:rPr>
          <w:rFonts w:ascii="Arial" w:cs="Arial" w:eastAsia="Arial" w:hAnsi="Arial"/>
          <w:sz w:val="18"/>
          <w:szCs w:val="18"/>
          <w:color w:val="auto"/>
        </w:rPr>
      </w:pPr>
    </w:p>
    <w:p>
      <w:pPr>
        <w:jc w:val="both"/>
        <w:ind w:right="180" w:firstLine="967"/>
        <w:spacing w:after="0" w:line="263"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780" w:top="274" w:right="359" w:bottom="1440" w:gutter="0" w:footer="0" w:header="0"/>
        </w:sectPr>
      </w:pPr>
    </w:p>
    <w:bookmarkStart w:id="13" w:name="page14"/>
    <w:bookmarkEnd w:id="13"/>
    <w:p>
      <w:pPr>
        <w:ind w:right="20" w:firstLine="967"/>
        <w:spacing w:after="0" w:line="289" w:lineRule="auto"/>
        <w:tabs>
          <w:tab w:leader="none" w:pos="136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Shares hereunder or the consummation of the transactions contemplated by this Agreement, the Investment Management Agreement, the Administration Agreement or the Prospectus (including the issuance and sale of the Shares and the use of the proceeds from the sale of the Shares as described in the General Disclosure Package and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58" w:lineRule="exact"/>
        <w:rPr>
          <w:rFonts w:ascii="Arial" w:cs="Arial" w:eastAsia="Arial" w:hAnsi="Arial"/>
          <w:sz w:val="16"/>
          <w:szCs w:val="16"/>
          <w:color w:val="auto"/>
        </w:rPr>
      </w:pPr>
    </w:p>
    <w:p>
      <w:pPr>
        <w:ind w:right="20" w:firstLine="967"/>
        <w:spacing w:after="0" w:line="289" w:lineRule="auto"/>
        <w:tabs>
          <w:tab w:leader="none" w:pos="141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58" w:lineRule="exact"/>
        <w:rPr>
          <w:rFonts w:ascii="Arial" w:cs="Arial" w:eastAsia="Arial" w:hAnsi="Arial"/>
          <w:sz w:val="16"/>
          <w:szCs w:val="16"/>
          <w:color w:val="auto"/>
        </w:rPr>
      </w:pPr>
    </w:p>
    <w:p>
      <w:pPr>
        <w:ind w:firstLine="967"/>
        <w:spacing w:after="0" w:line="255" w:lineRule="auto"/>
        <w:tabs>
          <w:tab w:leader="none" w:pos="146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Title to Property</w:t>
      </w:r>
      <w:r>
        <w:rPr>
          <w:rFonts w:ascii="Arial" w:cs="Arial" w:eastAsia="Arial" w:hAnsi="Arial"/>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780" w:top="274" w:right="359" w:bottom="1440" w:gutter="0" w:footer="0" w:header="0"/>
        </w:sectPr>
      </w:pPr>
    </w:p>
    <w:bookmarkStart w:id="14" w:name="page15"/>
    <w:bookmarkEnd w:id="14"/>
    <w:p>
      <w:pPr>
        <w:ind w:firstLine="967"/>
        <w:spacing w:after="0" w:line="270" w:lineRule="auto"/>
        <w:tabs>
          <w:tab w:leader="none" w:pos="145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Possession of Intellectual Property</w:t>
      </w:r>
      <w:r>
        <w:rPr>
          <w:rFonts w:ascii="Arial" w:cs="Arial" w:eastAsia="Arial" w:hAnsi="Arial"/>
          <w:sz w:val="17"/>
          <w:szCs w:val="17"/>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72" w:lineRule="exact"/>
        <w:rPr>
          <w:rFonts w:ascii="Arial" w:cs="Arial" w:eastAsia="Arial" w:hAnsi="Arial"/>
          <w:sz w:val="17"/>
          <w:szCs w:val="17"/>
          <w:color w:val="auto"/>
        </w:rPr>
      </w:pPr>
    </w:p>
    <w:p>
      <w:pPr>
        <w:ind w:firstLine="967"/>
        <w:spacing w:after="0" w:line="269" w:lineRule="auto"/>
        <w:tabs>
          <w:tab w:leader="none" w:pos="140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w:t>
      </w:r>
    </w:p>
    <w:p>
      <w:pPr>
        <w:spacing w:after="0" w:line="70" w:lineRule="exact"/>
        <w:rPr>
          <w:rFonts w:ascii="Arial" w:cs="Arial" w:eastAsia="Arial" w:hAnsi="Arial"/>
          <w:sz w:val="17"/>
          <w:szCs w:val="17"/>
          <w:color w:val="auto"/>
        </w:rPr>
      </w:pPr>
    </w:p>
    <w:p>
      <w:pPr>
        <w:ind w:right="60" w:firstLine="967"/>
        <w:spacing w:after="0" w:line="289" w:lineRule="auto"/>
        <w:tabs>
          <w:tab w:leader="none" w:pos="145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Taxes and Tax Returns</w:t>
      </w:r>
      <w:r>
        <w:rPr>
          <w:rFonts w:ascii="Arial" w:cs="Arial" w:eastAsia="Arial" w:hAnsi="Arial"/>
          <w:sz w:val="16"/>
          <w:szCs w:val="16"/>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 of the Company through the fiscal year ended September 30, 2021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w:t>
      </w:r>
    </w:p>
    <w:p>
      <w:pPr>
        <w:spacing w:after="0" w:line="9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00"/>
          </w:cols>
          <w:pgMar w:left="780" w:top="274" w:right="419" w:bottom="1440" w:gutter="0" w:footer="0" w:header="0"/>
        </w:sectPr>
      </w:pPr>
    </w:p>
    <w:bookmarkStart w:id="15" w:name="page16"/>
    <w:bookmarkEnd w:id="15"/>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80" w:lineRule="exact"/>
        <w:rPr>
          <w:sz w:val="20"/>
          <w:szCs w:val="20"/>
          <w:color w:val="auto"/>
        </w:rPr>
      </w:pPr>
    </w:p>
    <w:p>
      <w:pPr>
        <w:ind w:firstLine="967"/>
        <w:spacing w:after="0" w:line="275" w:lineRule="auto"/>
        <w:tabs>
          <w:tab w:leader="none" w:pos="150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68" w:lineRule="exact"/>
        <w:rPr>
          <w:rFonts w:ascii="Arial" w:cs="Arial" w:eastAsia="Arial" w:hAnsi="Arial"/>
          <w:sz w:val="17"/>
          <w:szCs w:val="17"/>
          <w:color w:val="auto"/>
        </w:rPr>
      </w:pPr>
    </w:p>
    <w:p>
      <w:pPr>
        <w:ind w:right="80" w:firstLine="967"/>
        <w:spacing w:after="0" w:line="263" w:lineRule="auto"/>
        <w:tabs>
          <w:tab w:leader="none" w:pos="155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Shares as herein contemplated and the application of the net proceeds therefrom as described in the Prospectus, will not be required to register as an “investment company” as such term is used in the 1940 Act.</w:t>
      </w:r>
    </w:p>
    <w:p>
      <w:pPr>
        <w:spacing w:after="0" w:line="75" w:lineRule="exact"/>
        <w:rPr>
          <w:rFonts w:ascii="Arial" w:cs="Arial" w:eastAsia="Arial" w:hAnsi="Arial"/>
          <w:sz w:val="18"/>
          <w:szCs w:val="18"/>
          <w:color w:val="auto"/>
        </w:rPr>
      </w:pPr>
    </w:p>
    <w:p>
      <w:pPr>
        <w:ind w:firstLine="967"/>
        <w:spacing w:after="0" w:line="286" w:lineRule="auto"/>
        <w:tabs>
          <w:tab w:leader="none" w:pos="145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Stabilization and Manipulation</w:t>
      </w:r>
      <w:r>
        <w:rPr>
          <w:rFonts w:ascii="Arial" w:cs="Arial" w:eastAsia="Arial" w:hAnsi="Arial"/>
          <w:sz w:val="17"/>
          <w:szCs w:val="17"/>
          <w:color w:val="auto"/>
        </w:rPr>
        <w:t>. The Company has not taken, nor will it take, directly or indirectly, without giving effect to any activities by the Underwriters, any action designed, or that would reasonably be expected, to cause or result in, or that constitutes, any stabilization or manipulation of the price of the Shares, other than activity permitted pursuant to Rule 10b-18 under the 1934 Act.</w:t>
      </w:r>
    </w:p>
    <w:p>
      <w:pPr>
        <w:spacing w:after="0" w:line="57" w:lineRule="exact"/>
        <w:rPr>
          <w:rFonts w:ascii="Arial" w:cs="Arial" w:eastAsia="Arial" w:hAnsi="Arial"/>
          <w:sz w:val="17"/>
          <w:szCs w:val="17"/>
          <w:color w:val="auto"/>
        </w:rPr>
      </w:pPr>
    </w:p>
    <w:p>
      <w:pPr>
        <w:ind w:right="40" w:firstLine="967"/>
        <w:spacing w:after="0" w:line="287" w:lineRule="auto"/>
        <w:tabs>
          <w:tab w:leader="none" w:pos="140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Anti-Bribery</w:t>
      </w:r>
      <w:r>
        <w:rPr>
          <w:rFonts w:ascii="Arial" w:cs="Arial" w:eastAsia="Arial" w:hAnsi="Arial"/>
          <w:sz w:val="16"/>
          <w:szCs w:val="16"/>
          <w:color w:val="auto"/>
        </w:rPr>
        <w:t>. (i) Neither the Company nor any Subsidiary, or to the Company’s knowledge, any director, officer , employee or any agent or representative of the Company in its capacity as agent or representative of the Company,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in order to influence official action, or to any person in violation of any applicable anti-corruption laws, (ii) the Company and its Subsidiaries have conducted their businesses in material compliance with applicable anti-corruption laws and have instituted and maintained and will continue to maintain policies and procedures designed to promote and achieve compliance with such laws and with the representation and warranty contained herein; and (iii) neither the Company nor any of the Company’s Subsidiaries will use, directly or indirectly, the proceeds of the offering in furtherance of an offer, payment, promise to pay, or authorization of the payment or giving of money, or anything else of value, to any person in violation of any applicable anti- corruption laws.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780" w:top="274" w:right="359" w:bottom="1440" w:gutter="0" w:footer="0" w:header="0"/>
        </w:sectPr>
      </w:pPr>
    </w:p>
    <w:bookmarkStart w:id="16" w:name="page17"/>
    <w:bookmarkEnd w:id="16"/>
    <w:p>
      <w:pPr>
        <w:ind w:firstLine="967"/>
        <w:spacing w:after="0" w:line="290" w:lineRule="auto"/>
        <w:tabs>
          <w:tab w:leader="none" w:pos="145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Anti-Money Laundering</w:t>
      </w:r>
      <w:r>
        <w:rPr>
          <w:rFonts w:ascii="Arial" w:cs="Arial" w:eastAsia="Arial" w:hAnsi="Arial"/>
          <w:sz w:val="16"/>
          <w:szCs w:val="16"/>
          <w:color w:val="auto"/>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Currency and Foreign Transactions Reporting Act of 1970, as amended,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57" w:lineRule="exact"/>
        <w:rPr>
          <w:rFonts w:ascii="Arial" w:cs="Arial" w:eastAsia="Arial" w:hAnsi="Arial"/>
          <w:sz w:val="16"/>
          <w:szCs w:val="16"/>
          <w:color w:val="auto"/>
        </w:rPr>
      </w:pPr>
    </w:p>
    <w:p>
      <w:pPr>
        <w:ind w:left="1500" w:hanging="533"/>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60" w:right="300" w:hanging="554"/>
        <w:spacing w:after="0" w:line="259" w:lineRule="auto"/>
        <w:tabs>
          <w:tab w:leader="none" w:pos="15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the Company nor any of the Company’s Subsidiaries (collectively, the “Company Entity”) or, to the Company’s knowledge, any director or officer of the Company Entity or any employee of the Company Entity or any agent or representative of the Company Entity in its capacity as an agent or representative of the Company Entity is an individual or entity (“Person”) that is, or is owned or controlled by a Person that is:</w:t>
      </w:r>
    </w:p>
    <w:p>
      <w:pPr>
        <w:spacing w:after="0" w:line="92" w:lineRule="exact"/>
        <w:rPr>
          <w:rFonts w:ascii="Arial" w:cs="Arial" w:eastAsia="Arial" w:hAnsi="Arial"/>
          <w:sz w:val="18"/>
          <w:szCs w:val="18"/>
          <w:color w:val="auto"/>
        </w:rPr>
      </w:pPr>
    </w:p>
    <w:p>
      <w:pPr>
        <w:ind w:left="2000" w:right="120" w:hanging="657"/>
        <w:spacing w:after="0" w:line="263" w:lineRule="auto"/>
        <w:tabs>
          <w:tab w:leader="none" w:pos="20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(“OFAC”), the United Nations Security Council, the European Union, His Majesty’s Treasury, or other relevant sanctions authority (collectively, “Sanctions”), nor</w:t>
      </w:r>
    </w:p>
    <w:p>
      <w:pPr>
        <w:spacing w:after="0" w:line="89" w:lineRule="exact"/>
        <w:rPr>
          <w:rFonts w:ascii="Arial" w:cs="Arial" w:eastAsia="Arial" w:hAnsi="Arial"/>
          <w:sz w:val="18"/>
          <w:szCs w:val="18"/>
          <w:color w:val="auto"/>
        </w:rPr>
      </w:pPr>
    </w:p>
    <w:p>
      <w:pPr>
        <w:ind w:left="2000" w:right="120" w:hanging="657"/>
        <w:spacing w:after="0" w:line="263" w:lineRule="auto"/>
        <w:tabs>
          <w:tab w:leader="none" w:pos="20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North Korea, Syria, Crimea, the so-called People’s Republics of Luhansk and Donetsk or any other territory or region of Ukraine currently the subject of Sanctions).</w:t>
      </w:r>
    </w:p>
    <w:p>
      <w:pPr>
        <w:spacing w:after="0" w:line="89" w:lineRule="exact"/>
        <w:rPr>
          <w:sz w:val="20"/>
          <w:szCs w:val="20"/>
          <w:color w:val="auto"/>
        </w:rPr>
      </w:pPr>
    </w:p>
    <w:p>
      <w:pPr>
        <w:ind w:left="1560" w:right="220" w:hanging="554"/>
        <w:spacing w:after="0" w:line="308" w:lineRule="auto"/>
        <w:tabs>
          <w:tab w:leader="none" w:pos="1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Entity represents and covenants that it will not, directly or indirectly, use the proceeds of the offering, or lend, contribute or otherwise make available such proceeds to any subsidiary, joint venture partner or other Person:</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780" w:top="274" w:right="379" w:bottom="1440" w:gutter="0" w:footer="0" w:header="0"/>
        </w:sectPr>
      </w:pPr>
    </w:p>
    <w:bookmarkStart w:id="17" w:name="page18"/>
    <w:bookmarkEnd w:id="17"/>
    <w:p>
      <w:pPr>
        <w:ind w:left="2000" w:right="80" w:hanging="657"/>
        <w:spacing w:after="0" w:line="277" w:lineRule="auto"/>
        <w:tabs>
          <w:tab w:leader="none" w:pos="2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fund or facilitate any activities or business of or with any Person or in any country or territory that, at the time of such funding or facilitation, is the subject of Sanctions; or</w:t>
      </w:r>
    </w:p>
    <w:p>
      <w:pPr>
        <w:spacing w:after="0" w:line="75" w:lineRule="exact"/>
        <w:rPr>
          <w:rFonts w:ascii="Arial" w:cs="Arial" w:eastAsia="Arial" w:hAnsi="Arial"/>
          <w:sz w:val="18"/>
          <w:szCs w:val="18"/>
          <w:color w:val="auto"/>
        </w:rPr>
      </w:pPr>
    </w:p>
    <w:p>
      <w:pPr>
        <w:ind w:left="2000" w:right="200" w:hanging="657"/>
        <w:spacing w:after="0" w:line="277" w:lineRule="auto"/>
        <w:tabs>
          <w:tab w:leader="none" w:pos="2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75" w:lineRule="exact"/>
        <w:rPr>
          <w:rFonts w:ascii="Arial" w:cs="Arial" w:eastAsia="Arial" w:hAnsi="Arial"/>
          <w:sz w:val="18"/>
          <w:szCs w:val="18"/>
          <w:color w:val="auto"/>
        </w:rPr>
      </w:pPr>
    </w:p>
    <w:p>
      <w:pPr>
        <w:ind w:left="1560" w:right="20" w:hanging="554"/>
        <w:spacing w:after="0" w:line="263" w:lineRule="auto"/>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76" w:lineRule="exact"/>
        <w:rPr>
          <w:sz w:val="20"/>
          <w:szCs w:val="20"/>
          <w:color w:val="auto"/>
        </w:rPr>
      </w:pPr>
    </w:p>
    <w:p>
      <w:pPr>
        <w:ind w:right="200" w:firstLine="967"/>
        <w:spacing w:after="0" w:line="311" w:lineRule="auto"/>
        <w:tabs>
          <w:tab w:leader="none" w:pos="155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color w:val="auto"/>
        </w:rPr>
        <w:t>.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40" w:lineRule="exact"/>
        <w:rPr>
          <w:rFonts w:ascii="Arial" w:cs="Arial" w:eastAsia="Arial" w:hAnsi="Arial"/>
          <w:sz w:val="16"/>
          <w:szCs w:val="16"/>
          <w:color w:val="auto"/>
        </w:rPr>
      </w:pPr>
    </w:p>
    <w:p>
      <w:pPr>
        <w:ind w:right="380" w:firstLine="967"/>
        <w:spacing w:after="0" w:line="311" w:lineRule="auto"/>
        <w:tabs>
          <w:tab w:leader="none" w:pos="154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and market-related data included or incorporated by reference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spacing w:after="0" w:line="40" w:lineRule="exact"/>
        <w:rPr>
          <w:rFonts w:ascii="Arial" w:cs="Arial" w:eastAsia="Arial" w:hAnsi="Arial"/>
          <w:sz w:val="16"/>
          <w:szCs w:val="16"/>
          <w:color w:val="auto"/>
        </w:rPr>
      </w:pPr>
    </w:p>
    <w:p>
      <w:pPr>
        <w:ind w:firstLine="967"/>
        <w:spacing w:after="0" w:line="263" w:lineRule="auto"/>
        <w:tabs>
          <w:tab w:leader="none" w:pos="14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 party transactions involving the Company, any of the Subsidiaries or any other person required to be described in the Registration Statement, the General Disclosure Package or the Prospectus which have not been described as required.</w:t>
      </w:r>
    </w:p>
    <w:p>
      <w:pPr>
        <w:spacing w:after="0" w:line="75" w:lineRule="exact"/>
        <w:rPr>
          <w:rFonts w:ascii="Arial" w:cs="Arial" w:eastAsia="Arial" w:hAnsi="Arial"/>
          <w:sz w:val="18"/>
          <w:szCs w:val="18"/>
          <w:color w:val="auto"/>
        </w:rPr>
      </w:pPr>
    </w:p>
    <w:p>
      <w:pPr>
        <w:ind w:right="80" w:firstLine="967"/>
        <w:spacing w:after="0" w:line="259" w:lineRule="auto"/>
        <w:tabs>
          <w:tab w:leader="none" w:pos="154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Notification of Election</w:t>
      </w:r>
      <w:r>
        <w:rPr>
          <w:rFonts w:ascii="Arial" w:cs="Arial" w:eastAsia="Arial" w:hAnsi="Arial"/>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20" w:firstLine="967"/>
        <w:spacing w:after="0" w:line="257" w:lineRule="auto"/>
        <w:tabs>
          <w:tab w:leader="none" w:pos="15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 Management Agreement and Administration Agreement</w:t>
      </w:r>
      <w:r>
        <w:rPr>
          <w:rFonts w:ascii="Arial" w:cs="Arial" w:eastAsia="Arial" w:hAnsi="Arial"/>
          <w:sz w:val="18"/>
          <w:szCs w:val="18"/>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0"/>
          </w:cols>
          <w:pgMar w:left="780" w:top="274" w:right="359" w:bottom="1440" w:gutter="0" w:footer="0" w:header="0"/>
        </w:sectPr>
      </w:pPr>
    </w:p>
    <w:bookmarkStart w:id="18" w:name="page19"/>
    <w:bookmarkEnd w:id="18"/>
    <w:p>
      <w:pPr>
        <w:ind w:left="3"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w:t>
      </w:r>
    </w:p>
    <w:p>
      <w:pPr>
        <w:spacing w:after="0" w:line="1" w:lineRule="exact"/>
        <w:rPr>
          <w:sz w:val="20"/>
          <w:szCs w:val="20"/>
          <w:color w:val="auto"/>
        </w:rPr>
      </w:pPr>
    </w:p>
    <w:p>
      <w:pPr>
        <w:ind w:left="223" w:hanging="223"/>
        <w:spacing w:after="0"/>
        <w:tabs>
          <w:tab w:leader="none" w:pos="2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bankruptcy, insolvency, reorganization, moratorium or other similar laws now or thereafter in effect relating to creditors’ rights generally and</w:t>
      </w:r>
    </w:p>
    <w:p>
      <w:pPr>
        <w:spacing w:after="0" w:line="20" w:lineRule="exact"/>
        <w:rPr>
          <w:rFonts w:ascii="Arial" w:cs="Arial" w:eastAsia="Arial" w:hAnsi="Arial"/>
          <w:sz w:val="17"/>
          <w:szCs w:val="17"/>
          <w:color w:val="auto"/>
        </w:rPr>
      </w:pPr>
    </w:p>
    <w:p>
      <w:pPr>
        <w:ind w:left="263" w:hanging="263"/>
        <w:spacing w:after="0"/>
        <w:tabs>
          <w:tab w:leader="none" w:pos="2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principles of equity and the discretion of the court before which any proceeding therefor may be brought.</w:t>
      </w:r>
    </w:p>
    <w:p>
      <w:pPr>
        <w:spacing w:after="0" w:line="102" w:lineRule="exact"/>
        <w:rPr>
          <w:rFonts w:ascii="Arial" w:cs="Arial" w:eastAsia="Arial" w:hAnsi="Arial"/>
          <w:sz w:val="18"/>
          <w:szCs w:val="18"/>
          <w:color w:val="auto"/>
        </w:rPr>
      </w:pPr>
    </w:p>
    <w:p>
      <w:pPr>
        <w:ind w:left="1643" w:hanging="673"/>
        <w:spacing w:after="0"/>
        <w:tabs>
          <w:tab w:leader="none" w:pos="1643"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Interested Persons</w:t>
      </w:r>
      <w:r>
        <w:rPr>
          <w:rFonts w:ascii="Arial" w:cs="Arial" w:eastAsia="Arial" w:hAnsi="Arial"/>
          <w:sz w:val="16"/>
          <w:szCs w:val="16"/>
          <w:color w:val="auto"/>
        </w:rPr>
        <w:t>. Except as disclosed in the Registration Statement, the General Disclosure Package and the Prospectus</w:t>
      </w:r>
    </w:p>
    <w:p>
      <w:pPr>
        <w:spacing w:after="0" w:line="46" w:lineRule="exact"/>
        <w:rPr>
          <w:rFonts w:ascii="Arial" w:cs="Arial" w:eastAsia="Arial" w:hAnsi="Arial"/>
          <w:sz w:val="16"/>
          <w:szCs w:val="16"/>
          <w:color w:val="auto"/>
        </w:rPr>
      </w:pPr>
    </w:p>
    <w:p>
      <w:pPr>
        <w:ind w:left="3" w:right="80"/>
        <w:spacing w:after="0" w:line="277" w:lineRule="auto"/>
        <w:rPr>
          <w:rFonts w:ascii="Arial" w:cs="Arial" w:eastAsia="Arial" w:hAnsi="Arial"/>
          <w:sz w:val="16"/>
          <w:szCs w:val="16"/>
          <w:color w:val="auto"/>
        </w:rPr>
      </w:pPr>
      <w:r>
        <w:rPr>
          <w:rFonts w:ascii="Arial" w:cs="Arial" w:eastAsia="Arial" w:hAnsi="Arial"/>
          <w:sz w:val="17"/>
          <w:szCs w:val="17"/>
          <w:color w:val="auto"/>
        </w:rPr>
        <w:t>(A)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spacing w:after="0" w:line="64" w:lineRule="exact"/>
        <w:rPr>
          <w:rFonts w:ascii="Arial" w:cs="Arial" w:eastAsia="Arial" w:hAnsi="Arial"/>
          <w:sz w:val="16"/>
          <w:szCs w:val="16"/>
          <w:color w:val="auto"/>
        </w:rPr>
      </w:pPr>
    </w:p>
    <w:p>
      <w:pPr>
        <w:ind w:left="3" w:firstLine="967"/>
        <w:spacing w:after="0" w:line="293" w:lineRule="auto"/>
        <w:tabs>
          <w:tab w:leader="none" w:pos="1548"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Business Development Company</w:t>
      </w:r>
      <w:r>
        <w:rPr>
          <w:rFonts w:ascii="Arial" w:cs="Arial" w:eastAsia="Arial" w:hAnsi="Arial"/>
          <w:sz w:val="16"/>
          <w:szCs w:val="16"/>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Shares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56" w:lineRule="exact"/>
        <w:rPr>
          <w:sz w:val="20"/>
          <w:szCs w:val="20"/>
          <w:color w:val="auto"/>
        </w:rPr>
      </w:pPr>
    </w:p>
    <w:p>
      <w:pPr>
        <w:ind w:left="3" w:right="200" w:firstLine="970"/>
        <w:spacing w:after="0" w:line="311" w:lineRule="auto"/>
        <w:rPr>
          <w:sz w:val="20"/>
          <w:szCs w:val="20"/>
          <w:color w:val="auto"/>
        </w:rPr>
      </w:pPr>
      <w:r>
        <w:rPr>
          <w:rFonts w:ascii="Arial" w:cs="Arial" w:eastAsia="Arial" w:hAnsi="Arial"/>
          <w:sz w:val="16"/>
          <w:szCs w:val="16"/>
          <w:color w:val="auto"/>
        </w:rPr>
        <w:t xml:space="preserve">(xl) </w:t>
      </w:r>
      <w:r>
        <w:rPr>
          <w:rFonts w:ascii="Arial" w:cs="Arial" w:eastAsia="Arial" w:hAnsi="Arial"/>
          <w:sz w:val="16"/>
          <w:szCs w:val="16"/>
          <w:u w:val="single" w:color="auto"/>
          <w:color w:val="auto"/>
        </w:rPr>
        <w:t>No Extension of Credit</w:t>
      </w:r>
      <w:r>
        <w:rPr>
          <w:rFonts w:ascii="Arial" w:cs="Arial" w:eastAsia="Arial" w:hAnsi="Arial"/>
          <w:sz w:val="16"/>
          <w:szCs w:val="16"/>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41" w:lineRule="exact"/>
        <w:rPr>
          <w:sz w:val="20"/>
          <w:szCs w:val="20"/>
          <w:color w:val="auto"/>
        </w:rPr>
      </w:pPr>
    </w:p>
    <w:p>
      <w:pPr>
        <w:ind w:left="3" w:right="120" w:firstLine="970"/>
        <w:spacing w:after="0" w:line="25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Regulated Investment Company</w:t>
      </w:r>
      <w:r>
        <w:rPr>
          <w:rFonts w:ascii="Arial" w:cs="Arial" w:eastAsia="Arial" w:hAnsi="Arial"/>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Shares in a manner as to comply with the requirements of Subchapter M of the Code.</w:t>
      </w:r>
    </w:p>
    <w:p>
      <w:pPr>
        <w:spacing w:after="0" w:line="119" w:lineRule="exact"/>
        <w:rPr>
          <w:sz w:val="20"/>
          <w:szCs w:val="20"/>
          <w:color w:val="auto"/>
        </w:rPr>
      </w:pPr>
    </w:p>
    <w:p>
      <w:pPr>
        <w:jc w:val="center"/>
        <w:ind w:right="39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3"/>
          </w:cols>
          <w:pgMar w:left="777" w:top="274" w:right="379" w:bottom="1440" w:gutter="0" w:footer="0" w:header="0"/>
        </w:sectPr>
      </w:pPr>
    </w:p>
    <w:bookmarkStart w:id="19" w:name="page20"/>
    <w:bookmarkEnd w:id="19"/>
    <w:p>
      <w:pPr>
        <w:ind w:firstLine="97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 </w:t>
      </w:r>
      <w:r>
        <w:rPr>
          <w:rFonts w:ascii="Arial" w:cs="Arial" w:eastAsia="Arial" w:hAnsi="Arial"/>
          <w:sz w:val="18"/>
          <w:szCs w:val="18"/>
          <w:u w:val="single" w:color="auto"/>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Forward-Looking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No forward-looking statement (within the meaning of Section 27A of the 1933 Act and</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Section 21E of the 1934 Act) contained in the Registration Statement, the General Disclosure Package or the Prospectus has been made or reaffirmed without a reasonable basis or has been disclosed other than in good faith.</w:t>
      </w:r>
    </w:p>
    <w:p>
      <w:pPr>
        <w:spacing w:after="0" w:line="77" w:lineRule="exact"/>
        <w:rPr>
          <w:sz w:val="20"/>
          <w:szCs w:val="20"/>
          <w:color w:val="auto"/>
        </w:rPr>
      </w:pPr>
    </w:p>
    <w:p>
      <w:pPr>
        <w:ind w:right="20" w:firstLine="970"/>
        <w:spacing w:after="0" w:line="268" w:lineRule="auto"/>
        <w:rPr>
          <w:sz w:val="20"/>
          <w:szCs w:val="20"/>
          <w:color w:val="auto"/>
        </w:rPr>
      </w:pPr>
      <w:r>
        <w:rPr>
          <w:rFonts w:ascii="Arial" w:cs="Arial" w:eastAsia="Arial" w:hAnsi="Arial"/>
          <w:sz w:val="17"/>
          <w:szCs w:val="17"/>
          <w:color w:val="auto"/>
        </w:rPr>
        <w:t xml:space="preserve">(xliv) </w:t>
      </w:r>
      <w:r>
        <w:rPr>
          <w:rFonts w:ascii="Arial" w:cs="Arial" w:eastAsia="Arial" w:hAnsi="Arial"/>
          <w:sz w:val="17"/>
          <w:szCs w:val="17"/>
          <w:u w:val="single" w:color="auto"/>
          <w:color w:val="auto"/>
        </w:rPr>
        <w:t>IT Systems</w:t>
      </w:r>
      <w:r>
        <w:rPr>
          <w:rFonts w:ascii="Arial" w:cs="Arial" w:eastAsia="Arial" w:hAnsi="Arial"/>
          <w:sz w:val="17"/>
          <w:szCs w:val="17"/>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76" w:lineRule="exact"/>
        <w:rPr>
          <w:sz w:val="20"/>
          <w:szCs w:val="20"/>
          <w:color w:val="auto"/>
        </w:rPr>
      </w:pPr>
    </w:p>
    <w:p>
      <w:pPr>
        <w:ind w:right="20" w:firstLine="970"/>
        <w:spacing w:after="0" w:line="263" w:lineRule="auto"/>
        <w:rPr>
          <w:sz w:val="20"/>
          <w:szCs w:val="20"/>
          <w:color w:val="auto"/>
        </w:rPr>
      </w:pPr>
      <w:r>
        <w:rPr>
          <w:rFonts w:ascii="Arial" w:cs="Arial" w:eastAsia="Arial" w:hAnsi="Arial"/>
          <w:sz w:val="18"/>
          <w:szCs w:val="18"/>
          <w:color w:val="auto"/>
        </w:rPr>
        <w:t xml:space="preserve">(xlv)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 Any certificate signed by any officer of the Company or any of the Subsidiaries delivered to the Underwriters or to counsel for the Underwriters shall be deemed a representation and warranty by the Company to each Underwriter as to the matters covered thereby.</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80"/>
          </w:cols>
          <w:pgMar w:left="780" w:top="274" w:right="339" w:bottom="1440" w:gutter="0" w:footer="0" w:header="0"/>
        </w:sectPr>
      </w:pPr>
    </w:p>
    <w:bookmarkStart w:id="20" w:name="page21"/>
    <w:bookmarkEnd w:id="20"/>
    <w:p>
      <w:pPr>
        <w:ind w:left="-20" w:right="160" w:firstLine="1019"/>
        <w:spacing w:after="0" w:line="277" w:lineRule="auto"/>
        <w:tabs>
          <w:tab w:leader="none" w:pos="117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the Adviser and the Administrator</w:t>
      </w:r>
      <w:r>
        <w:rPr>
          <w:rFonts w:ascii="Arial" w:cs="Arial" w:eastAsia="Arial" w:hAnsi="Arial"/>
          <w:sz w:val="18"/>
          <w:szCs w:val="18"/>
          <w:color w:val="auto"/>
        </w:rPr>
        <w:t>. The Adviser and the Administrator, jointly and severally, represent to each Underwriter and agrees with each of the Underwriters that:</w:t>
      </w:r>
    </w:p>
    <w:p>
      <w:pPr>
        <w:spacing w:after="0" w:line="62" w:lineRule="exact"/>
        <w:rPr>
          <w:rFonts w:ascii="Arial" w:cs="Arial" w:eastAsia="Arial" w:hAnsi="Arial"/>
          <w:sz w:val="18"/>
          <w:szCs w:val="18"/>
          <w:color w:val="auto"/>
        </w:rPr>
      </w:pPr>
    </w:p>
    <w:p>
      <w:pPr>
        <w:ind w:left="440" w:right="120" w:firstLine="967"/>
        <w:spacing w:after="0" w:line="255" w:lineRule="auto"/>
        <w:tabs>
          <w:tab w:leader="none" w:pos="1625"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84" w:lineRule="exact"/>
        <w:rPr>
          <w:rFonts w:ascii="Arial" w:cs="Arial" w:eastAsia="Arial" w:hAnsi="Arial"/>
          <w:sz w:val="18"/>
          <w:szCs w:val="18"/>
          <w:color w:val="auto"/>
        </w:rPr>
      </w:pPr>
    </w:p>
    <w:p>
      <w:pPr>
        <w:ind w:left="440" w:firstLine="967"/>
        <w:spacing w:after="0" w:line="291" w:lineRule="auto"/>
        <w:tabs>
          <w:tab w:leader="none" w:pos="1675"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Good Standing</w:t>
      </w:r>
      <w:r>
        <w:rPr>
          <w:rFonts w:ascii="Arial" w:cs="Arial" w:eastAsia="Arial" w:hAnsi="Arial"/>
          <w:sz w:val="16"/>
          <w:szCs w:val="16"/>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58" w:lineRule="exact"/>
        <w:rPr>
          <w:rFonts w:ascii="Arial" w:cs="Arial" w:eastAsia="Arial" w:hAnsi="Arial"/>
          <w:sz w:val="16"/>
          <w:szCs w:val="16"/>
          <w:color w:val="auto"/>
        </w:rPr>
      </w:pPr>
    </w:p>
    <w:p>
      <w:pPr>
        <w:ind w:left="440" w:firstLine="967"/>
        <w:spacing w:after="0" w:line="257" w:lineRule="auto"/>
        <w:tabs>
          <w:tab w:leader="none" w:pos="1725"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Registration Under Advisers Act</w:t>
      </w:r>
      <w:r>
        <w:rPr>
          <w:rFonts w:ascii="Arial" w:cs="Arial" w:eastAsia="Arial" w:hAnsi="Arial"/>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79" w:lineRule="exact"/>
        <w:rPr>
          <w:rFonts w:ascii="Arial" w:cs="Arial" w:eastAsia="Arial" w:hAnsi="Arial"/>
          <w:sz w:val="18"/>
          <w:szCs w:val="18"/>
          <w:color w:val="auto"/>
        </w:rPr>
      </w:pPr>
    </w:p>
    <w:p>
      <w:pPr>
        <w:ind w:left="440" w:firstLine="967"/>
        <w:spacing w:after="0" w:line="290" w:lineRule="auto"/>
        <w:tabs>
          <w:tab w:leader="none" w:pos="1715"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disclosed in the Registration Statement, the General Disclosure Package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40" w:top="274" w:right="359" w:bottom="1440" w:gutter="0" w:footer="0" w:header="0"/>
        </w:sectPr>
      </w:pPr>
    </w:p>
    <w:bookmarkStart w:id="21" w:name="page22"/>
    <w:bookmarkEnd w:id="21"/>
    <w:p>
      <w:pPr>
        <w:ind w:firstLine="967"/>
        <w:spacing w:after="0" w:line="271" w:lineRule="auto"/>
        <w:tabs>
          <w:tab w:leader="none" w:pos="122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Violations and Defaults</w:t>
      </w:r>
      <w:r>
        <w:rPr>
          <w:rFonts w:ascii="Arial" w:cs="Arial" w:eastAsia="Arial" w:hAnsi="Arial"/>
          <w:sz w:val="17"/>
          <w:szCs w:val="17"/>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70" w:lineRule="exact"/>
        <w:rPr>
          <w:rFonts w:ascii="Arial" w:cs="Arial" w:eastAsia="Arial" w:hAnsi="Arial"/>
          <w:sz w:val="17"/>
          <w:szCs w:val="17"/>
          <w:color w:val="auto"/>
        </w:rPr>
      </w:pPr>
    </w:p>
    <w:p>
      <w:pPr>
        <w:ind w:right="20" w:firstLine="967"/>
        <w:spacing w:after="0" w:line="268" w:lineRule="auto"/>
        <w:tabs>
          <w:tab w:leader="none" w:pos="127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Absence of Conflicts</w:t>
      </w:r>
      <w:r>
        <w:rPr>
          <w:rFonts w:ascii="Arial" w:cs="Arial" w:eastAsia="Arial" w:hAnsi="Arial"/>
          <w:sz w:val="17"/>
          <w:szCs w:val="17"/>
          <w:color w:val="auto"/>
        </w:rPr>
        <w:t>. The execution, delivery and performance of this Agreement, the performance of the Investment Management Agreement and the Administration Agreement and the consummation of the transactions contemplated herein and therein and in the Registration Statement, the General Disclosure Package and the Prospectus (including the issuance and sale of the Shares and the use of the proceeds from the sale of the Shares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73" w:lineRule="exact"/>
        <w:rPr>
          <w:rFonts w:ascii="Arial" w:cs="Arial" w:eastAsia="Arial" w:hAnsi="Arial"/>
          <w:sz w:val="17"/>
          <w:szCs w:val="17"/>
          <w:color w:val="auto"/>
        </w:rPr>
      </w:pPr>
    </w:p>
    <w:p>
      <w:pPr>
        <w:ind w:left="1320" w:hanging="353"/>
        <w:spacing w:after="0"/>
        <w:tabs>
          <w:tab w:leader="none" w:pos="13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Authorization of this Agreement</w:t>
      </w:r>
      <w:r>
        <w:rPr>
          <w:rFonts w:ascii="Arial" w:cs="Arial" w:eastAsia="Arial" w:hAnsi="Arial"/>
          <w:sz w:val="16"/>
          <w:szCs w:val="16"/>
          <w:color w:val="auto"/>
        </w:rPr>
        <w:t>. This Agreement has been duly authorized, executed and delivered by each of the Adviser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02" w:lineRule="exact"/>
        <w:rPr>
          <w:rFonts w:ascii="Arial" w:cs="Arial" w:eastAsia="Arial" w:hAnsi="Arial"/>
          <w:sz w:val="16"/>
          <w:szCs w:val="16"/>
          <w:color w:val="auto"/>
        </w:rPr>
      </w:pPr>
    </w:p>
    <w:p>
      <w:pPr>
        <w:ind w:firstLine="967"/>
        <w:spacing w:after="0" w:line="296" w:lineRule="auto"/>
        <w:tabs>
          <w:tab w:leader="none" w:pos="137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Investment Management Agreement and Administration Agreement</w:t>
      </w:r>
      <w:r>
        <w:rPr>
          <w:rFonts w:ascii="Arial" w:cs="Arial" w:eastAsia="Arial" w:hAnsi="Arial"/>
          <w:sz w:val="16"/>
          <w:szCs w:val="16"/>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0"/>
          </w:cols>
          <w:pgMar w:left="780" w:top="274" w:right="359" w:bottom="1440" w:gutter="0" w:footer="0" w:header="0"/>
        </w:sectPr>
      </w:pPr>
    </w:p>
    <w:bookmarkStart w:id="22" w:name="page23"/>
    <w:bookmarkEnd w:id="22"/>
    <w:p>
      <w:pPr>
        <w:ind w:right="120" w:firstLine="967"/>
        <w:spacing w:after="0" w:line="270" w:lineRule="auto"/>
        <w:tabs>
          <w:tab w:leader="none" w:pos="127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Absence of Further Requirements</w:t>
      </w:r>
      <w:r>
        <w:rPr>
          <w:rFonts w:ascii="Arial" w:cs="Arial" w:eastAsia="Arial" w:hAnsi="Arial"/>
          <w:sz w:val="17"/>
          <w:szCs w:val="17"/>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Shares hereunder or the consummation of the transactions contemplated by this Agreement, the Investment Management Agreement, the Administration Agreement, the General Disclosure Package or the Prospectus (including the issuance and sale of the Shares and the use of the proceeds from the sale of the Shares as described in the General Disclosure Package and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72" w:lineRule="exact"/>
        <w:rPr>
          <w:rFonts w:ascii="Arial" w:cs="Arial" w:eastAsia="Arial" w:hAnsi="Arial"/>
          <w:sz w:val="17"/>
          <w:szCs w:val="17"/>
          <w:color w:val="auto"/>
        </w:rPr>
      </w:pPr>
    </w:p>
    <w:p>
      <w:pPr>
        <w:ind w:firstLine="967"/>
        <w:spacing w:after="0" w:line="259" w:lineRule="auto"/>
        <w:tabs>
          <w:tab w:leader="none" w:pos="122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Descriptions of Adviser and Administrator</w:t>
      </w:r>
      <w:r>
        <w:rPr>
          <w:rFonts w:ascii="Arial" w:cs="Arial" w:eastAsia="Arial" w:hAnsi="Arial"/>
          <w:sz w:val="18"/>
          <w:szCs w:val="18"/>
          <w:color w:val="auto"/>
        </w:rPr>
        <w:t>. The descriptions of the Adviser and the Administrator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jc w:val="both"/>
        <w:ind w:right="180" w:firstLine="967"/>
        <w:spacing w:after="0" w:line="287" w:lineRule="auto"/>
        <w:tabs>
          <w:tab w:leader="none" w:pos="127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w:t>
      </w:r>
    </w:p>
    <w:p>
      <w:pPr>
        <w:spacing w:after="0" w:line="2" w:lineRule="exact"/>
        <w:rPr>
          <w:rFonts w:ascii="Arial" w:cs="Arial" w:eastAsia="Arial" w:hAnsi="Arial"/>
          <w:sz w:val="16"/>
          <w:szCs w:val="16"/>
          <w:color w:val="auto"/>
        </w:rPr>
      </w:pP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40"/>
          </w:cols>
          <w:pgMar w:left="780" w:top="274" w:right="379" w:bottom="1440" w:gutter="0" w:footer="0" w:header="0"/>
        </w:sectPr>
      </w:pPr>
    </w:p>
    <w:bookmarkStart w:id="23" w:name="page24"/>
    <w:bookmarkEnd w:id="23"/>
    <w:p>
      <w:pPr>
        <w:ind w:right="200" w:firstLine="967"/>
        <w:spacing w:after="0" w:line="311" w:lineRule="auto"/>
        <w:tabs>
          <w:tab w:leader="none" w:pos="132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Stabilization and Manipulation</w:t>
      </w:r>
      <w:r>
        <w:rPr>
          <w:rFonts w:ascii="Arial" w:cs="Arial" w:eastAsia="Arial" w:hAnsi="Arial"/>
          <w:sz w:val="16"/>
          <w:szCs w:val="16"/>
          <w:color w:val="auto"/>
        </w:rPr>
        <w:t>. Neither the Adviser nor the Administrator has taken, nor will take, directly or indirectly, without giving effect to any activities by the Underwriters, any action designed, or that would reasonably be expected, to cause or result in, or which constitutes, the stabilization or manipulation of the price of the Shares, other than activity permitted pursuant to Rule 10b-18 under the 1934 Act.</w:t>
      </w:r>
    </w:p>
    <w:p>
      <w:pPr>
        <w:spacing w:after="0" w:line="40" w:lineRule="exact"/>
        <w:rPr>
          <w:rFonts w:ascii="Arial" w:cs="Arial" w:eastAsia="Arial" w:hAnsi="Arial"/>
          <w:sz w:val="16"/>
          <w:szCs w:val="16"/>
          <w:color w:val="auto"/>
        </w:rPr>
      </w:pPr>
    </w:p>
    <w:p>
      <w:pPr>
        <w:ind w:firstLine="967"/>
        <w:spacing w:after="0" w:line="269" w:lineRule="auto"/>
        <w:tabs>
          <w:tab w:leader="none" w:pos="137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Anti-Bribery</w:t>
      </w:r>
      <w:r>
        <w:rPr>
          <w:rFonts w:ascii="Arial" w:cs="Arial" w:eastAsia="Arial" w:hAnsi="Arial"/>
          <w:sz w:val="17"/>
          <w:szCs w:val="17"/>
          <w:color w:val="auto"/>
        </w:rPr>
        <w:t>. None of the Adviser, the Administrator, any of their respective subsidiaries, nor, to the knowledge of the Adviser or the Administrator, any director or officer or any employee of the Adviser or the Administrator, or any agent or representative of the Adviser or the Administrator in its capacity as agent or representative of the Adviser or the Administrator or of any of their respective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Adviser and the Administrator and their respective Subsidiaries have conducted their businesses in material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77" w:lineRule="exact"/>
        <w:rPr>
          <w:rFonts w:ascii="Arial" w:cs="Arial" w:eastAsia="Arial" w:hAnsi="Arial"/>
          <w:sz w:val="17"/>
          <w:szCs w:val="17"/>
          <w:color w:val="auto"/>
        </w:rPr>
      </w:pPr>
    </w:p>
    <w:p>
      <w:pPr>
        <w:ind w:left="1360" w:hanging="393"/>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Sanctions.</w:t>
      </w:r>
    </w:p>
    <w:p>
      <w:pPr>
        <w:spacing w:after="0" w:line="130" w:lineRule="exact"/>
        <w:rPr>
          <w:rFonts w:ascii="Arial" w:cs="Arial" w:eastAsia="Arial" w:hAnsi="Arial"/>
          <w:sz w:val="18"/>
          <w:szCs w:val="18"/>
          <w:color w:val="auto"/>
        </w:rPr>
      </w:pPr>
    </w:p>
    <w:p>
      <w:pPr>
        <w:ind w:left="1560" w:right="140" w:hanging="554"/>
        <w:spacing w:after="0" w:line="259" w:lineRule="auto"/>
        <w:tabs>
          <w:tab w:leader="none" w:pos="15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Neither the Adviser nor the Administrator, nor any of their respective Subsidiaries (collectively, the “Adviser Entity”), nor to the knowledge of the Adviser or Administrator, any director or officer of the Adviser Entity, or any employee, or any agent or representative of the Adviser Entity in its capacity as agent or representative of the Adviser Entity, is a Person that is, or is owned or controlled by a Person that is:</w:t>
      </w:r>
    </w:p>
    <w:p>
      <w:pPr>
        <w:spacing w:after="0" w:line="92" w:lineRule="exact"/>
        <w:rPr>
          <w:rFonts w:ascii="Arial" w:cs="Arial" w:eastAsia="Arial" w:hAnsi="Arial"/>
          <w:sz w:val="18"/>
          <w:szCs w:val="18"/>
          <w:color w:val="auto"/>
        </w:rPr>
      </w:pPr>
    </w:p>
    <w:p>
      <w:pPr>
        <w:ind w:left="2000" w:hanging="657"/>
        <w:spacing w:after="0"/>
        <w:tabs>
          <w:tab w:leader="none" w:pos="20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subject of any Sanctions, or</w:t>
      </w:r>
    </w:p>
    <w:p>
      <w:pPr>
        <w:spacing w:after="0" w:line="130" w:lineRule="exact"/>
        <w:rPr>
          <w:rFonts w:ascii="Arial" w:cs="Arial" w:eastAsia="Arial" w:hAnsi="Arial"/>
          <w:sz w:val="18"/>
          <w:szCs w:val="18"/>
          <w:color w:val="auto"/>
        </w:rPr>
      </w:pPr>
    </w:p>
    <w:p>
      <w:pPr>
        <w:ind w:left="2000" w:right="220" w:hanging="657"/>
        <w:spacing w:after="0" w:line="263" w:lineRule="auto"/>
        <w:tabs>
          <w:tab w:leader="none" w:pos="20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North Korea, Sudan, Syria</w:t>
      </w:r>
      <w:r>
        <w:rPr>
          <w:rFonts w:ascii="Arial" w:cs="Arial" w:eastAsia="Arial" w:hAnsi="Arial"/>
          <w:sz w:val="18"/>
          <w:szCs w:val="18"/>
          <w:u w:val="single" w:color="auto"/>
          <w:color w:val="auto"/>
        </w:rPr>
        <w:t>,</w:t>
      </w:r>
      <w:r>
        <w:rPr>
          <w:rFonts w:ascii="Arial" w:cs="Arial" w:eastAsia="Arial" w:hAnsi="Arial"/>
          <w:sz w:val="18"/>
          <w:szCs w:val="18"/>
          <w:color w:val="auto"/>
        </w:rPr>
        <w:t xml:space="preserve"> Crimea, the so-called People’s Republics of Luhansk and Donetsk or any other territory or region of Ukraine currently the subject of Sanctions).</w:t>
      </w:r>
    </w:p>
    <w:p>
      <w:pPr>
        <w:spacing w:after="0" w:line="89" w:lineRule="exact"/>
        <w:rPr>
          <w:sz w:val="20"/>
          <w:szCs w:val="20"/>
          <w:color w:val="auto"/>
        </w:rPr>
      </w:pPr>
    </w:p>
    <w:p>
      <w:pPr>
        <w:ind w:left="1560" w:right="360" w:hanging="554"/>
        <w:spacing w:after="0" w:line="308" w:lineRule="auto"/>
        <w:tabs>
          <w:tab w:leader="none" w:pos="1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Adviser Entity represents and covenants that it will not, directly or indirectly, use the proceeds of the offering, or lend, contribute or otherwise make available such proceeds to any subsidiary, joint venture partner or other Person:</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0"/>
          </w:cols>
          <w:pgMar w:left="780" w:top="274" w:right="359" w:bottom="1440" w:gutter="0" w:footer="0" w:header="0"/>
        </w:sectPr>
      </w:pPr>
    </w:p>
    <w:bookmarkStart w:id="24" w:name="page25"/>
    <w:bookmarkEnd w:id="24"/>
    <w:p>
      <w:pPr>
        <w:ind w:left="2000" w:hanging="657"/>
        <w:spacing w:after="0" w:line="277" w:lineRule="auto"/>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fund or facilitate any activities or business of or with any Person or in any country or territory that, at the time of such funding or facilitation, is the subject of Sanctions; or</w:t>
      </w:r>
    </w:p>
    <w:p>
      <w:pPr>
        <w:spacing w:after="0" w:line="75" w:lineRule="exact"/>
        <w:rPr>
          <w:rFonts w:ascii="Arial" w:cs="Arial" w:eastAsia="Arial" w:hAnsi="Arial"/>
          <w:sz w:val="18"/>
          <w:szCs w:val="18"/>
          <w:color w:val="auto"/>
        </w:rPr>
      </w:pPr>
    </w:p>
    <w:p>
      <w:pPr>
        <w:ind w:left="2000" w:right="120" w:hanging="657"/>
        <w:spacing w:after="0" w:line="277" w:lineRule="auto"/>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75" w:lineRule="exact"/>
        <w:rPr>
          <w:rFonts w:ascii="Arial" w:cs="Arial" w:eastAsia="Arial" w:hAnsi="Arial"/>
          <w:sz w:val="18"/>
          <w:szCs w:val="18"/>
          <w:color w:val="auto"/>
        </w:rPr>
      </w:pPr>
    </w:p>
    <w:p>
      <w:pPr>
        <w:ind w:left="1560" w:right="80" w:hanging="554"/>
        <w:spacing w:after="0" w:line="263" w:lineRule="auto"/>
        <w:tabs>
          <w:tab w:leader="none" w:pos="1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Adviser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76" w:lineRule="exact"/>
        <w:rPr>
          <w:sz w:val="20"/>
          <w:szCs w:val="20"/>
          <w:color w:val="auto"/>
        </w:rPr>
      </w:pPr>
    </w:p>
    <w:p>
      <w:pPr>
        <w:ind w:firstLine="967"/>
        <w:spacing w:after="0" w:line="259" w:lineRule="auto"/>
        <w:tabs>
          <w:tab w:leader="none" w:pos="131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Anti-Money Laundering</w:t>
      </w:r>
      <w:r>
        <w:rPr>
          <w:rFonts w:ascii="Arial" w:cs="Arial" w:eastAsia="Arial" w:hAnsi="Arial"/>
          <w:sz w:val="18"/>
          <w:szCs w:val="18"/>
          <w:color w:val="auto"/>
        </w:rPr>
        <w:t>. The operations of the Adviser Entity are and have been conducted at all times in material compliance with all applicable financial recordkeeping and reporting requirements, including the Anti-Money Laundering Laws, and no action, suit or proceeding by or before any court or governmental agency, authority or body or any arbitrator involving the Adviser with respect to the Anti-Money Laundering Laws is pending or, to the best knowledge of the Adviser, threatened</w:t>
      </w:r>
      <w:r>
        <w:rPr>
          <w:rFonts w:ascii="Arial" w:cs="Arial" w:eastAsia="Arial" w:hAnsi="Arial"/>
          <w:sz w:val="18"/>
          <w:szCs w:val="18"/>
          <w:u w:val="single" w:color="auto"/>
          <w:color w:val="auto"/>
        </w:rPr>
        <w:t>.</w:t>
      </w:r>
    </w:p>
    <w:p>
      <w:pPr>
        <w:spacing w:after="0" w:line="78" w:lineRule="exact"/>
        <w:rPr>
          <w:rFonts w:ascii="Arial" w:cs="Arial" w:eastAsia="Arial" w:hAnsi="Arial"/>
          <w:sz w:val="18"/>
          <w:szCs w:val="18"/>
          <w:color w:val="auto"/>
        </w:rPr>
      </w:pPr>
    </w:p>
    <w:p>
      <w:pPr>
        <w:ind w:right="120" w:firstLine="967"/>
        <w:spacing w:after="0" w:line="257" w:lineRule="auto"/>
        <w:tabs>
          <w:tab w:leader="none" w:pos="136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Key Employees</w:t>
      </w:r>
      <w:r>
        <w:rPr>
          <w:rFonts w:ascii="Arial" w:cs="Arial" w:eastAsia="Arial" w:hAnsi="Arial"/>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79" w:lineRule="exact"/>
        <w:rPr>
          <w:rFonts w:ascii="Arial" w:cs="Arial" w:eastAsia="Arial" w:hAnsi="Arial"/>
          <w:sz w:val="18"/>
          <w:szCs w:val="18"/>
          <w:color w:val="auto"/>
        </w:rPr>
      </w:pPr>
    </w:p>
    <w:p>
      <w:pPr>
        <w:ind w:right="20" w:firstLine="967"/>
        <w:spacing w:after="0" w:line="257" w:lineRule="auto"/>
        <w:tabs>
          <w:tab w:leader="none" w:pos="141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Labor Disputes</w:t>
      </w:r>
      <w:r>
        <w:rPr>
          <w:rFonts w:ascii="Arial" w:cs="Arial" w:eastAsia="Arial" w:hAnsi="Arial"/>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79" w:lineRule="exact"/>
        <w:rPr>
          <w:rFonts w:ascii="Arial" w:cs="Arial" w:eastAsia="Arial" w:hAnsi="Arial"/>
          <w:sz w:val="18"/>
          <w:szCs w:val="18"/>
          <w:color w:val="auto"/>
        </w:rPr>
      </w:pPr>
    </w:p>
    <w:p>
      <w:pPr>
        <w:ind w:firstLine="967"/>
        <w:spacing w:after="0" w:line="257" w:lineRule="auto"/>
        <w:tabs>
          <w:tab w:leader="none" w:pos="146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Accounting Controls</w:t>
      </w:r>
      <w:r>
        <w:rPr>
          <w:rFonts w:ascii="Arial" w:cs="Arial" w:eastAsia="Arial" w:hAnsi="Arial"/>
          <w:sz w:val="18"/>
          <w:szCs w:val="18"/>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80"/>
          </w:cols>
          <w:pgMar w:left="780" w:top="274" w:right="439" w:bottom="1440" w:gutter="0" w:footer="0" w:header="0"/>
        </w:sectPr>
      </w:pPr>
    </w:p>
    <w:bookmarkStart w:id="25" w:name="page26"/>
    <w:bookmarkEnd w:id="25"/>
    <w:p>
      <w:pPr>
        <w:ind w:left="38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79" w:lineRule="exact"/>
        <w:rPr>
          <w:sz w:val="20"/>
          <w:szCs w:val="20"/>
          <w:color w:val="auto"/>
        </w:rPr>
      </w:pPr>
    </w:p>
    <w:p>
      <w:pPr>
        <w:ind w:left="380" w:right="160" w:firstLine="967"/>
        <w:spacing w:after="0" w:line="263" w:lineRule="auto"/>
        <w:tabs>
          <w:tab w:leader="none" w:pos="1745"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Financial Resources</w:t>
      </w:r>
      <w:r>
        <w:rPr>
          <w:rFonts w:ascii="Arial" w:cs="Arial" w:eastAsia="Arial" w:hAnsi="Arial"/>
          <w:sz w:val="18"/>
          <w:szCs w:val="18"/>
          <w:color w:val="auto"/>
        </w:rPr>
        <w:t>. Each of the Adviser and the Administrator has the financial resources available to it necessary for the performance of its services and obligations as contemplated by the Registration Statement, the General Disclosure Package, the Prospectus and the Investment Management Agreement.</w:t>
      </w:r>
    </w:p>
    <w:p>
      <w:pPr>
        <w:spacing w:after="0" w:line="75" w:lineRule="exact"/>
        <w:rPr>
          <w:rFonts w:ascii="Arial" w:cs="Arial" w:eastAsia="Arial" w:hAnsi="Arial"/>
          <w:sz w:val="18"/>
          <w:szCs w:val="18"/>
          <w:color w:val="auto"/>
        </w:rPr>
      </w:pPr>
    </w:p>
    <w:p>
      <w:pPr>
        <w:ind w:left="380" w:right="40" w:firstLine="967"/>
        <w:spacing w:after="0" w:line="263" w:lineRule="auto"/>
        <w:tabs>
          <w:tab w:leader="none" w:pos="1695"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Officer’s Certificates</w:t>
      </w:r>
      <w:r>
        <w:rPr>
          <w:rFonts w:ascii="Arial" w:cs="Arial" w:eastAsia="Arial" w:hAnsi="Arial"/>
          <w:sz w:val="18"/>
          <w:szCs w:val="18"/>
          <w:color w:val="auto"/>
        </w:rPr>
        <w:t>. Any certificate signed by any officer of the Adviser or the Administrator delivered to the Underwriters or to counsel for the Underwriters shall be deemed a representation and warranty by the Adviser or the Administrator, as applicable, to each Underwriter as to the matters covered thereby.</w:t>
      </w:r>
    </w:p>
    <w:p>
      <w:pPr>
        <w:spacing w:after="0" w:line="183" w:lineRule="exact"/>
        <w:rPr>
          <w:rFonts w:ascii="Arial" w:cs="Arial" w:eastAsia="Arial" w:hAnsi="Arial"/>
          <w:sz w:val="18"/>
          <w:szCs w:val="18"/>
          <w:color w:val="auto"/>
        </w:rPr>
      </w:pPr>
    </w:p>
    <w:p>
      <w:pPr>
        <w:ind w:left="-80" w:right="140" w:firstLine="457"/>
        <w:spacing w:after="0" w:line="277" w:lineRule="auto"/>
        <w:tabs>
          <w:tab w:leader="none" w:pos="54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62" w:lineRule="exact"/>
        <w:rPr>
          <w:rFonts w:ascii="Arial" w:cs="Arial" w:eastAsia="Arial" w:hAnsi="Arial"/>
          <w:sz w:val="18"/>
          <w:szCs w:val="18"/>
          <w:color w:val="auto"/>
        </w:rPr>
      </w:pPr>
    </w:p>
    <w:p>
      <w:pPr>
        <w:ind w:left="-80" w:firstLine="1019"/>
        <w:spacing w:after="0" w:line="254" w:lineRule="auto"/>
        <w:tabs>
          <w:tab w:leader="none" w:pos="11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furnish such information as may be required and otherwise to cooperate in qualifying the Shares for offering and sale under the securities or blue sky laws of such states or other jurisdictions as you may designate and to use its commercially reasonable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94" w:lineRule="exact"/>
        <w:rPr>
          <w:rFonts w:ascii="Arial" w:cs="Arial" w:eastAsia="Arial" w:hAnsi="Arial"/>
          <w:sz w:val="18"/>
          <w:szCs w:val="18"/>
          <w:color w:val="auto"/>
        </w:rPr>
      </w:pPr>
    </w:p>
    <w:p>
      <w:pPr>
        <w:ind w:left="-80" w:right="20" w:firstLine="1019"/>
        <w:spacing w:after="0" w:line="255" w:lineRule="auto"/>
        <w:tabs>
          <w:tab w:leader="none" w:pos="11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furnish to the Underwriters as many copies of the preliminary prospectus and the Prospectus (or of the preliminary prospectus and the Prospectus as amended or supplemented if the Company shall have made any amendments or supplements thereto) as the Underwriters may reasonably request for the purposes contemplated by the 1933 Act; in case any Underwriter is required to deliver a prospectus after the nine-month period referred to in Section 10(a)(3) of the 1933 Act in connection with the sale of the Shares, the Company will prepare, at the requesting Underwriter’s expense, promptly upon request such amendment or amendments to the Registration Statement and the Prospectus as may be necessary to permit compliance with the requirements of Section 10(a)(3) of the 1933 Act;</w:t>
      </w:r>
    </w:p>
    <w:p>
      <w:pPr>
        <w:spacing w:after="0" w:line="192" w:lineRule="exact"/>
        <w:rPr>
          <w:rFonts w:ascii="Arial" w:cs="Arial" w:eastAsia="Arial" w:hAnsi="Arial"/>
          <w:sz w:val="18"/>
          <w:szCs w:val="18"/>
          <w:color w:val="auto"/>
        </w:rPr>
      </w:pPr>
    </w:p>
    <w:p>
      <w:pPr>
        <w:ind w:left="-80" w:right="60" w:firstLine="1019"/>
        <w:spacing w:after="0" w:line="259" w:lineRule="auto"/>
        <w:tabs>
          <w:tab w:leader="none" w:pos="11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that if, at the time of this Agreement is executed and delivered, it is necessary for any post-effective amendment to the Registration Statement to be declared effective before the Shares may be sold, the Company will endeavor to cause such post-effective amendment to become effective as soon as possible, and the Company will advise you promptly and, if requested by you, will confirm such advice in writing, when such post-effective amendment has become effective;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400" w:top="274" w:right="399" w:bottom="1440" w:gutter="0" w:footer="0" w:header="0"/>
        </w:sectPr>
      </w:pPr>
    </w:p>
    <w:bookmarkStart w:id="26" w:name="page27"/>
    <w:bookmarkEnd w:id="26"/>
    <w:p>
      <w:pPr>
        <w:ind w:left="-20" w:firstLine="1019"/>
        <w:spacing w:after="0" w:line="253" w:lineRule="auto"/>
        <w:tabs>
          <w:tab w:leader="none" w:pos="1246"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commercially reasonable efforts to obtain the lifting or removal of such order as soon as possible; to advise you promptly of any proposal to amend or supplement the Registration Statement, the preliminary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1933 Act or the 1940 Act), and to file with the Commission within the applicable period specified in Rule 424 under the 1933 Act any prospectus required to be filed pursuant to such Rule;</w:t>
      </w:r>
    </w:p>
    <w:p>
      <w:pPr>
        <w:spacing w:after="0" w:line="196" w:lineRule="exact"/>
        <w:rPr>
          <w:rFonts w:ascii="Arial" w:cs="Arial" w:eastAsia="Arial" w:hAnsi="Arial"/>
          <w:sz w:val="18"/>
          <w:szCs w:val="18"/>
          <w:color w:val="auto"/>
        </w:rPr>
      </w:pPr>
    </w:p>
    <w:p>
      <w:pPr>
        <w:ind w:left="-20" w:firstLine="1019"/>
        <w:spacing w:after="0" w:line="272" w:lineRule="auto"/>
        <w:tabs>
          <w:tab w:leader="none" w:pos="12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without the prior consent of the Joint Book-Running Managers, (i) to not distribute any offering material related to the offering of the Shares other than the Registration Statement, the General Disclosure Package, the Prospectus or the information set forth on Schedule B hereto, and (ii) to not make any offer relating to the Shares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Shares, including any in-person roadshow or investor presentations (including slides and scripts relating thereto) made to investors by or on behalf of the Company;</w:t>
      </w:r>
    </w:p>
    <w:p>
      <w:pPr>
        <w:spacing w:after="0" w:line="177" w:lineRule="exact"/>
        <w:rPr>
          <w:rFonts w:ascii="Arial" w:cs="Arial" w:eastAsia="Arial" w:hAnsi="Arial"/>
          <w:sz w:val="17"/>
          <w:szCs w:val="17"/>
          <w:color w:val="auto"/>
        </w:rPr>
      </w:pPr>
    </w:p>
    <w:p>
      <w:pPr>
        <w:ind w:left="-20" w:firstLine="1019"/>
        <w:spacing w:after="0" w:line="255" w:lineRule="auto"/>
        <w:tabs>
          <w:tab w:leader="none" w:pos="12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92" w:lineRule="exact"/>
        <w:rPr>
          <w:rFonts w:ascii="Arial" w:cs="Arial" w:eastAsia="Arial" w:hAnsi="Arial"/>
          <w:sz w:val="18"/>
          <w:szCs w:val="18"/>
          <w:color w:val="auto"/>
        </w:rPr>
      </w:pPr>
    </w:p>
    <w:p>
      <w:pPr>
        <w:jc w:val="both"/>
        <w:ind w:left="-20" w:right="20" w:firstLine="1019"/>
        <w:spacing w:after="0" w:line="279" w:lineRule="auto"/>
        <w:tabs>
          <w:tab w:leader="none" w:pos="124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40" w:top="274" w:right="359" w:bottom="1440" w:gutter="0" w:footer="0" w:header="0"/>
        </w:sectPr>
      </w:pPr>
    </w:p>
    <w:bookmarkStart w:id="27" w:name="page28"/>
    <w:bookmarkEnd w:id="27"/>
    <w:p>
      <w:pPr>
        <w:ind w:left="1260" w:hanging="261"/>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necessary or appropriate, to file a registration statement pursuant to Rule 462(b) under the 1933 Act;</w:t>
      </w:r>
    </w:p>
    <w:p>
      <w:pPr>
        <w:spacing w:after="0" w:line="225" w:lineRule="exact"/>
        <w:rPr>
          <w:rFonts w:ascii="Arial" w:cs="Arial" w:eastAsia="Arial" w:hAnsi="Arial"/>
          <w:sz w:val="18"/>
          <w:szCs w:val="18"/>
          <w:color w:val="auto"/>
        </w:rPr>
      </w:pPr>
    </w:p>
    <w:p>
      <w:pPr>
        <w:ind w:left="-20" w:right="60" w:firstLine="1019"/>
        <w:spacing w:after="0" w:line="272" w:lineRule="auto"/>
        <w:tabs>
          <w:tab w:leader="none" w:pos="120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advise the Underwriters promptly of the happening of any event within the time during which a prospectus relating to the Shares is required to be delivered under the 1933 Act which could require the making of any change in the preliminary prospectus (prior to availability of the Prospectus) or the Prospectus then being used so that the General Disclosure Package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preliminary prospectus (prior to availability of the Prospectus) or Prospectus as may be necessary to reflect any such change;</w:t>
      </w:r>
    </w:p>
    <w:p>
      <w:pPr>
        <w:spacing w:after="0" w:line="177" w:lineRule="exact"/>
        <w:rPr>
          <w:rFonts w:ascii="Arial" w:cs="Arial" w:eastAsia="Arial" w:hAnsi="Arial"/>
          <w:sz w:val="17"/>
          <w:szCs w:val="17"/>
          <w:color w:val="auto"/>
        </w:rPr>
      </w:pPr>
    </w:p>
    <w:p>
      <w:pPr>
        <w:ind w:left="-20" w:right="180" w:firstLine="1019"/>
        <w:spacing w:after="0" w:line="277" w:lineRule="auto"/>
        <w:tabs>
          <w:tab w:leader="none" w:pos="12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1933 Act and Rule 158 under the 1933 Act;</w:t>
      </w:r>
    </w:p>
    <w:p>
      <w:pPr>
        <w:spacing w:after="0" w:line="170" w:lineRule="exact"/>
        <w:rPr>
          <w:rFonts w:ascii="Arial" w:cs="Arial" w:eastAsia="Arial" w:hAnsi="Arial"/>
          <w:sz w:val="18"/>
          <w:szCs w:val="18"/>
          <w:color w:val="auto"/>
        </w:rPr>
      </w:pPr>
    </w:p>
    <w:p>
      <w:pPr>
        <w:ind w:left="-20" w:right="180" w:firstLine="1019"/>
        <w:spacing w:after="0" w:line="308" w:lineRule="auto"/>
        <w:tabs>
          <w:tab w:leader="none" w:pos="12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request, the Company will promptly deliver to each Underwriter and Kirkland &amp; Ellis LLP, counsel for the Underwriters, a signed copy of the Registration Statement, as initially filed and all amendments thereto, including all consents and exhibits filed therewith;</w:t>
      </w:r>
    </w:p>
    <w:p>
      <w:pPr>
        <w:spacing w:after="0" w:line="146" w:lineRule="exact"/>
        <w:rPr>
          <w:rFonts w:ascii="Arial" w:cs="Arial" w:eastAsia="Arial" w:hAnsi="Arial"/>
          <w:sz w:val="17"/>
          <w:szCs w:val="17"/>
          <w:color w:val="auto"/>
        </w:rPr>
      </w:pPr>
    </w:p>
    <w:p>
      <w:pPr>
        <w:ind w:left="-20" w:right="540" w:firstLine="1019"/>
        <w:spacing w:after="0" w:line="277" w:lineRule="auto"/>
        <w:tabs>
          <w:tab w:leader="none" w:pos="12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preliminary prospectus and the Prospectus;</w:t>
      </w:r>
    </w:p>
    <w:p>
      <w:pPr>
        <w:spacing w:after="0" w:line="170" w:lineRule="exact"/>
        <w:rPr>
          <w:rFonts w:ascii="Arial" w:cs="Arial" w:eastAsia="Arial" w:hAnsi="Arial"/>
          <w:sz w:val="18"/>
          <w:szCs w:val="18"/>
          <w:color w:val="auto"/>
        </w:rPr>
      </w:pPr>
    </w:p>
    <w:p>
      <w:pPr>
        <w:jc w:val="both"/>
        <w:ind w:left="-20" w:right="80" w:firstLine="1019"/>
        <w:spacing w:after="0" w:line="311" w:lineRule="auto"/>
        <w:tabs>
          <w:tab w:leader="none" w:pos="12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will use its commercially reasonable efforts to maintain its status as a business development company; provided, however, the Company may change the nature of its business so as to cease to be, or to withdraw its election as, a business development company, with the approval of the board of directors and a vote of stockholders as required by Section 58 of the 1940 Act or any successor provision;</w:t>
      </w:r>
    </w:p>
    <w:p>
      <w:pPr>
        <w:spacing w:after="0" w:line="148" w:lineRule="exact"/>
        <w:rPr>
          <w:rFonts w:ascii="Arial" w:cs="Arial" w:eastAsia="Arial" w:hAnsi="Arial"/>
          <w:sz w:val="16"/>
          <w:szCs w:val="16"/>
          <w:color w:val="auto"/>
        </w:rPr>
      </w:pPr>
    </w:p>
    <w:p>
      <w:pPr>
        <w:ind w:left="-20" w:right="140" w:firstLine="1019"/>
        <w:spacing w:after="0" w:line="263"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Company will use its commercially reasonably efforts to maintain its qualification and election as a regulated investment company under Subchapter M of the Code for each full fiscal year during which it is a business development company under the 1940 Act; provided that, at the discretion of the Company’s board of directors, the Company may elect not to be so treated;</w:t>
      </w:r>
    </w:p>
    <w:p>
      <w:pPr>
        <w:spacing w:after="0" w:line="183" w:lineRule="exact"/>
        <w:rPr>
          <w:rFonts w:ascii="Arial" w:cs="Arial" w:eastAsia="Arial" w:hAnsi="Arial"/>
          <w:sz w:val="18"/>
          <w:szCs w:val="18"/>
          <w:color w:val="auto"/>
        </w:rPr>
      </w:pPr>
    </w:p>
    <w:p>
      <w:pPr>
        <w:ind w:left="-20" w:firstLine="1019"/>
        <w:spacing w:after="0" w:line="273" w:lineRule="auto"/>
        <w:tabs>
          <w:tab w:leader="none" w:pos="12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pay all costs, expenses, fees and taxes incident to the performance of its obligations hereunder, including (i) the preparation and filing of the Registration Statement, the preliminary prospectus, the Prospectus, and any amendments or supplements thereto, and the printing and furnishing of copies of the preliminary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40" w:top="274" w:right="359" w:bottom="1440" w:gutter="0" w:footer="0" w:header="0"/>
        </w:sectPr>
      </w:pPr>
    </w:p>
    <w:bookmarkStart w:id="28" w:name="page29"/>
    <w:bookmarkEnd w:id="2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determination of their eligibility for investment under state or foreign law as aforesaid (including the reasonable and documented out-of-pocket legal fees and filing fees and other disbursements of counsel for the Underwriters) and the furnishing of copies of any blue sky surveys or legal investment surveys to the Underwriters and to dealers, (iv) any listing of the Shares on the New York Stock Exchange, (v) any filing for review of the public offering of the Shares by FINRA, including the reasonable and documented out-of-pocket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 (viii)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the event that this agreement is terminated prior to payment for and delivery of the Shares, the Underwriters will be reimbursed, subject to Section 8, only for actual, accountable out-of-pocket expenses which they have incurred in connection with the transactions contemplated by this Agreement.</w:t>
      </w:r>
    </w:p>
    <w:p>
      <w:pPr>
        <w:spacing w:after="0" w:line="179" w:lineRule="exact"/>
        <w:rPr>
          <w:sz w:val="20"/>
          <w:szCs w:val="20"/>
          <w:color w:val="auto"/>
        </w:rPr>
      </w:pPr>
    </w:p>
    <w:p>
      <w:pPr>
        <w:ind w:firstLine="1019"/>
        <w:spacing w:after="0" w:line="268" w:lineRule="auto"/>
        <w:tabs>
          <w:tab w:leader="none" w:pos="126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that the Company shall not, and shall cause its Subsidiary not to, (i)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(ii) file or cause to be declared effective a registration statement under the 1933 Act relating to the offer and sale of any shares of Common Stock or securities convertible into or exercisable or exchangeable for Common Stock or other rights to purchase Common Stock or any other securities of the Company that are substantially similar to Common Stock (provided that the Company may file or cause to be declared effective such registration statement so long as it provides Morgan Stanley &amp; Co. LLC. with three (3) Business Days’ notice and does not engage in any transactions prohibited by clause (i)) for a period of 60 days after the date hereof (the “Lock-Up Period”), without the prior written consent of Morgan Stanley &amp; Co. LLC, which may not be unreasonably withheld, conditioned or delayed. The foregoing sentence shall not apply to (i) the registration of the Shares and the sales to the Underwriters pursuant to this Agreement, (ii) bona fide gifts, provided the recipient thereof agrees in writing to be bound by the terms of the agreements (each, a “Lock-Up Agreement”), in the form set forth as Exhibit A hereto, of each of the persons and entities named in Exhibit A-1 hereto, (iii) disposition to any trust for the direct or indirect benefit of the applicable party to a Lock-Up Agreement and/or the immediate family of such party, provided that such trust agrees in writing to be bound by the terms of the applicable Lock-Up Agreement, or (iv) any issuance of shares of Common Stock pursuant to the Company’s dividend reinvestment plan; and</w:t>
      </w:r>
    </w:p>
    <w:p>
      <w:pPr>
        <w:spacing w:after="0" w:line="184" w:lineRule="exact"/>
        <w:rPr>
          <w:rFonts w:ascii="Arial" w:cs="Arial" w:eastAsia="Arial" w:hAnsi="Arial"/>
          <w:sz w:val="17"/>
          <w:szCs w:val="17"/>
          <w:color w:val="auto"/>
        </w:rPr>
      </w:pPr>
    </w:p>
    <w:p>
      <w:pPr>
        <w:ind w:left="1280" w:hanging="261"/>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use its best efforts to cause the Shares to be duly authorized for listing on the New York Stock Exchange prior to the date the Shares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274" w:right="359" w:bottom="1440" w:gutter="0" w:footer="0" w:header="0"/>
        </w:sectPr>
      </w:pPr>
    </w:p>
    <w:bookmarkStart w:id="29" w:name="page30"/>
    <w:bookmarkEnd w:id="29"/>
    <w:p>
      <w:pPr>
        <w:ind w:left="-60" w:right="40" w:firstLine="457"/>
        <w:spacing w:after="0" w:line="259" w:lineRule="auto"/>
        <w:tabs>
          <w:tab w:leader="none" w:pos="56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of the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78" w:lineRule="exact"/>
        <w:rPr>
          <w:rFonts w:ascii="Arial" w:cs="Arial" w:eastAsia="Arial" w:hAnsi="Arial"/>
          <w:sz w:val="18"/>
          <w:szCs w:val="18"/>
          <w:color w:val="auto"/>
        </w:rPr>
      </w:pPr>
    </w:p>
    <w:p>
      <w:pPr>
        <w:ind w:left="-60" w:right="140" w:firstLine="1019"/>
        <w:spacing w:after="0" w:line="259" w:lineRule="auto"/>
        <w:tabs>
          <w:tab w:leader="none" w:pos="11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Exhibit D hereto. The opinion of Dechert LLP described in this Section 6(a) shall be rendered to the Underwriters at the request of the Company and shall so state therein.</w:t>
      </w:r>
    </w:p>
    <w:p>
      <w:pPr>
        <w:spacing w:after="0" w:line="186" w:lineRule="exact"/>
        <w:rPr>
          <w:rFonts w:ascii="Arial" w:cs="Arial" w:eastAsia="Arial" w:hAnsi="Arial"/>
          <w:sz w:val="18"/>
          <w:szCs w:val="18"/>
          <w:color w:val="auto"/>
        </w:rPr>
      </w:pPr>
    </w:p>
    <w:p>
      <w:pPr>
        <w:jc w:val="both"/>
        <w:ind w:left="-60" w:right="140" w:firstLine="1019"/>
        <w:spacing w:after="0" w:line="263" w:lineRule="auto"/>
        <w:tabs>
          <w:tab w:leader="none" w:pos="11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You shall have received an opinion of Venable LLP, special counsel for the Company, addressed to the Underwriters, and dated the time of purchase or the additional time of purchase, as the case may be, set forth in the form of Exhibit E hereto. The opinion of Venable LLP described in this Section 6(b) shall be rendered to the Underwriters at the request of the Company and shall so state therein.</w:t>
      </w:r>
    </w:p>
    <w:p>
      <w:pPr>
        <w:spacing w:after="0" w:line="183" w:lineRule="exact"/>
        <w:rPr>
          <w:rFonts w:ascii="Arial" w:cs="Arial" w:eastAsia="Arial" w:hAnsi="Arial"/>
          <w:sz w:val="18"/>
          <w:szCs w:val="18"/>
          <w:color w:val="auto"/>
        </w:rPr>
      </w:pPr>
    </w:p>
    <w:p>
      <w:pPr>
        <w:ind w:left="-60" w:right="180" w:firstLine="1019"/>
        <w:spacing w:after="0" w:line="279" w:lineRule="auto"/>
        <w:tabs>
          <w:tab w:leader="none" w:pos="1195" w:val="left"/>
        </w:tabs>
        <w:numPr>
          <w:ilvl w:val="1"/>
          <w:numId w:val="34"/>
        </w:numPr>
        <w:rPr>
          <w:rFonts w:ascii="Arial" w:cs="Arial" w:eastAsia="Arial" w:hAnsi="Arial"/>
          <w:sz w:val="17"/>
          <w:szCs w:val="17"/>
          <w:color w:val="auto"/>
        </w:rPr>
      </w:pPr>
      <w:r>
        <w:rPr>
          <w:rFonts w:ascii="Arial" w:cs="Arial" w:eastAsia="Arial" w:hAnsi="Arial"/>
          <w:sz w:val="17"/>
          <w:szCs w:val="17"/>
          <w:color w:val="auto"/>
        </w:rPr>
        <w:t>You shall have received from RSM US LLP letters dated, respectively, the Applicable Time, the time of purchase and, if applicable, the additional time of purchase, and addressed to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preliminary prospectus and the Prospectus.</w:t>
      </w:r>
    </w:p>
    <w:p>
      <w:pPr>
        <w:spacing w:after="0" w:line="171" w:lineRule="exact"/>
        <w:rPr>
          <w:rFonts w:ascii="Arial" w:cs="Arial" w:eastAsia="Arial" w:hAnsi="Arial"/>
          <w:sz w:val="17"/>
          <w:szCs w:val="17"/>
          <w:color w:val="auto"/>
        </w:rPr>
      </w:pPr>
    </w:p>
    <w:p>
      <w:pPr>
        <w:ind w:left="-60" w:right="60" w:firstLine="1019"/>
        <w:spacing w:after="0" w:line="263" w:lineRule="auto"/>
        <w:tabs>
          <w:tab w:leader="none" w:pos="12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Kirkland &amp; Ellis LLP, counsel for the Underwriters, dated the time of purchase or the additional time of purchase, as the case may be, with respect to the sale of the Shares and other related matters as the Underwriters may require.</w:t>
      </w:r>
    </w:p>
    <w:p>
      <w:pPr>
        <w:spacing w:after="0" w:line="183" w:lineRule="exact"/>
        <w:rPr>
          <w:rFonts w:ascii="Arial" w:cs="Arial" w:eastAsia="Arial" w:hAnsi="Arial"/>
          <w:sz w:val="18"/>
          <w:szCs w:val="18"/>
          <w:color w:val="auto"/>
        </w:rPr>
      </w:pPr>
    </w:p>
    <w:p>
      <w:pPr>
        <w:ind w:left="-60" w:firstLine="1019"/>
        <w:spacing w:after="0" w:line="273" w:lineRule="auto"/>
        <w:tabs>
          <w:tab w:leader="none" w:pos="1195" w:val="left"/>
        </w:tabs>
        <w:numPr>
          <w:ilvl w:val="1"/>
          <w:numId w:val="34"/>
        </w:numPr>
        <w:rPr>
          <w:rFonts w:ascii="Arial" w:cs="Arial" w:eastAsia="Arial" w:hAnsi="Arial"/>
          <w:sz w:val="17"/>
          <w:szCs w:val="17"/>
          <w:color w:val="auto"/>
        </w:rPr>
      </w:pPr>
      <w:r>
        <w:rPr>
          <w:rFonts w:ascii="Arial" w:cs="Arial" w:eastAsia="Arial" w:hAnsi="Arial"/>
          <w:sz w:val="17"/>
          <w:szCs w:val="17"/>
          <w:color w:val="auto"/>
        </w:rPr>
        <w:t>Prior to the time of purchase, and, if applicable, the additional time of purchase, (i) no stop order with respect to the effectiveness of the Registration Statement shall have been issued under the 1933 Act or, to the Company’s knowledge, proceedings initiated under Section 8(d) or 8(e) of the 1933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77" w:lineRule="exact"/>
        <w:rPr>
          <w:rFonts w:ascii="Arial" w:cs="Arial" w:eastAsia="Arial" w:hAnsi="Arial"/>
          <w:sz w:val="17"/>
          <w:szCs w:val="17"/>
          <w:color w:val="auto"/>
        </w:rPr>
      </w:pPr>
    </w:p>
    <w:p>
      <w:pPr>
        <w:ind w:left="-60" w:right="100" w:firstLine="1019"/>
        <w:spacing w:after="0" w:line="286" w:lineRule="auto"/>
        <w:tabs>
          <w:tab w:leader="none" w:pos="11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80" w:top="274" w:right="379" w:bottom="1440" w:gutter="0" w:footer="0" w:header="0"/>
        </w:sectPr>
      </w:pPr>
    </w:p>
    <w:bookmarkStart w:id="30" w:name="page31"/>
    <w:bookmarkEnd w:id="30"/>
    <w:p>
      <w:pPr>
        <w:ind w:left="-40" w:right="700" w:firstLine="1019"/>
        <w:spacing w:after="0" w:line="342" w:lineRule="auto"/>
        <w:tabs>
          <w:tab w:leader="none" w:pos="1226"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the Company, the Adviser and the Administrator will, at the time of purchase and, if applicable, at the additional time of purchase, deliver to you a certificate of its Chief Executive Officer and Chief Financial Officer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23" w:lineRule="exact"/>
        <w:rPr>
          <w:rFonts w:ascii="Arial" w:cs="Arial" w:eastAsia="Arial" w:hAnsi="Arial"/>
          <w:sz w:val="16"/>
          <w:szCs w:val="16"/>
          <w:color w:val="auto"/>
        </w:rPr>
      </w:pPr>
    </w:p>
    <w:p>
      <w:pPr>
        <w:ind w:left="1240" w:hanging="261"/>
        <w:spacing w:after="0"/>
        <w:tabs>
          <w:tab w:leader="none" w:pos="12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You shall have received signed Lock-Up Agreements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40" w:right="160" w:firstLine="1019"/>
        <w:spacing w:after="0" w:line="277" w:lineRule="auto"/>
        <w:tabs>
          <w:tab w:leader="none" w:pos="1186" w:val="left"/>
        </w:tabs>
        <w:numPr>
          <w:ilvl w:val="1"/>
          <w:numId w:val="35"/>
        </w:numPr>
        <w:rPr>
          <w:rFonts w:ascii="Arial" w:cs="Arial" w:eastAsia="Arial" w:hAnsi="Arial"/>
          <w:sz w:val="18"/>
          <w:szCs w:val="18"/>
          <w:color w:val="auto"/>
        </w:rPr>
      </w:pPr>
      <w:r>
        <w:rPr>
          <w:rFonts w:ascii="Arial" w:cs="Arial" w:eastAsia="Arial" w:hAnsi="Arial"/>
          <w:sz w:val="18"/>
          <w:szCs w:val="18"/>
          <w:color w:val="auto"/>
        </w:rPr>
        <w:t>Morgan Stanley &amp; Co. LLC shall have received the Adviser Supplemental Payment and Adviser Sales Load Payment with respect to the Firm Shares and, if applicable, the Additional Shares, from the Adviser.</w:t>
      </w:r>
    </w:p>
    <w:p>
      <w:pPr>
        <w:spacing w:after="0" w:line="170" w:lineRule="exact"/>
        <w:rPr>
          <w:rFonts w:ascii="Arial" w:cs="Arial" w:eastAsia="Arial" w:hAnsi="Arial"/>
          <w:sz w:val="18"/>
          <w:szCs w:val="18"/>
          <w:color w:val="auto"/>
        </w:rPr>
      </w:pPr>
    </w:p>
    <w:p>
      <w:pPr>
        <w:ind w:left="-40" w:right="80" w:firstLine="1019"/>
        <w:spacing w:after="0" w:line="277" w:lineRule="auto"/>
        <w:tabs>
          <w:tab w:leader="none" w:pos="118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Shares shall have been approved for listing on the New York Stock Exchange, subject only to official notice of issuance at or prior to the time of purchase and the additional time of purchase, as the case may be.</w:t>
      </w:r>
    </w:p>
    <w:p>
      <w:pPr>
        <w:spacing w:after="0" w:line="170" w:lineRule="exact"/>
        <w:rPr>
          <w:rFonts w:ascii="Arial" w:cs="Arial" w:eastAsia="Arial" w:hAnsi="Arial"/>
          <w:sz w:val="18"/>
          <w:szCs w:val="18"/>
          <w:color w:val="auto"/>
        </w:rPr>
      </w:pPr>
    </w:p>
    <w:p>
      <w:pPr>
        <w:ind w:left="-40" w:right="100" w:firstLine="1019"/>
        <w:spacing w:after="0" w:line="263" w:lineRule="auto"/>
        <w:tabs>
          <w:tab w:leader="none" w:pos="122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General Disclosure Package and the Prospectus as of the time of purchase and, if applicable, the additional time of purchase, as you may reasonably request.</w:t>
      </w:r>
    </w:p>
    <w:p>
      <w:pPr>
        <w:spacing w:after="0" w:line="183" w:lineRule="exact"/>
        <w:rPr>
          <w:rFonts w:ascii="Arial" w:cs="Arial" w:eastAsia="Arial" w:hAnsi="Arial"/>
          <w:sz w:val="18"/>
          <w:szCs w:val="18"/>
          <w:color w:val="auto"/>
        </w:rPr>
      </w:pPr>
    </w:p>
    <w:p>
      <w:pPr>
        <w:ind w:left="-40" w:firstLine="457"/>
        <w:spacing w:after="0" w:line="268" w:lineRule="auto"/>
        <w:tabs>
          <w:tab w:leader="none" w:pos="58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preliminary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preliminary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New York Stock Exchange;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the preliminary prospectus and the 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60" w:top="274" w:right="359" w:bottom="1440" w:gutter="0" w:footer="0" w:header="0"/>
        </w:sectPr>
      </w:pPr>
    </w:p>
    <w:bookmarkStart w:id="31" w:name="page32"/>
    <w:bookmarkEnd w:id="31"/>
    <w:p>
      <w:pPr>
        <w:ind w:right="200" w:firstLine="44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5(o) and Section 9 hereof), and the Underwriters shall be under no obligation or liability to the Company under this Agreement (except to the extent provided in Section 9 hereof) or to one another hereunder.</w:t>
      </w:r>
    </w:p>
    <w:p>
      <w:pPr>
        <w:spacing w:after="0" w:line="188" w:lineRule="exact"/>
        <w:rPr>
          <w:sz w:val="20"/>
          <w:szCs w:val="20"/>
          <w:color w:val="auto"/>
        </w:rPr>
      </w:pPr>
    </w:p>
    <w:p>
      <w:pPr>
        <w:ind w:firstLine="457"/>
        <w:spacing w:after="0" w:line="270" w:lineRule="auto"/>
        <w:tabs>
          <w:tab w:leader="none" w:pos="62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Increase in Underwriters’ Commitments</w:t>
      </w:r>
      <w:r>
        <w:rPr>
          <w:rFonts w:ascii="Arial" w:cs="Arial" w:eastAsia="Arial" w:hAnsi="Arial"/>
          <w:sz w:val="17"/>
          <w:szCs w:val="17"/>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8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6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 xml:space="preserve">The term Underwriter as used in this Agreement shall refer to and include any Underwriter substituted under this Section 8 with like effect as if such substituted Underwriter had originally been named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70" w:lineRule="exact"/>
        <w:rPr>
          <w:sz w:val="20"/>
          <w:szCs w:val="20"/>
          <w:color w:val="auto"/>
        </w:rPr>
      </w:pPr>
    </w:p>
    <w:p>
      <w:pPr>
        <w:ind w:right="300" w:firstLine="449"/>
        <w:spacing w:after="0" w:line="286" w:lineRule="auto"/>
        <w:rPr>
          <w:sz w:val="20"/>
          <w:szCs w:val="20"/>
          <w:color w:val="auto"/>
        </w:rPr>
      </w:pPr>
      <w:r>
        <w:rPr>
          <w:rFonts w:ascii="Arial" w:cs="Arial" w:eastAsia="Arial" w:hAnsi="Arial"/>
          <w:sz w:val="16"/>
          <w:szCs w:val="16"/>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4" w:right="339" w:bottom="1440" w:gutter="0" w:footer="0" w:header="0"/>
        </w:sectPr>
      </w:pPr>
    </w:p>
    <w:bookmarkStart w:id="32" w:name="page33"/>
    <w:bookmarkEnd w:id="32"/>
    <w:p>
      <w:pPr>
        <w:ind w:left="620" w:hanging="18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80" w:firstLine="1019"/>
        <w:spacing w:after="0" w:line="285" w:lineRule="auto"/>
        <w:tabs>
          <w:tab w:leader="none" w:pos="1235" w:val="left"/>
        </w:tabs>
        <w:numPr>
          <w:ilvl w:val="1"/>
          <w:numId w:val="38"/>
        </w:numPr>
        <w:rPr>
          <w:rFonts w:ascii="Arial" w:cs="Arial" w:eastAsia="Arial" w:hAnsi="Arial"/>
          <w:sz w:val="16"/>
          <w:szCs w:val="16"/>
          <w:color w:val="auto"/>
        </w:rPr>
      </w:pPr>
      <w:r>
        <w:rPr>
          <w:rFonts w:ascii="Arial" w:cs="Arial" w:eastAsia="Arial" w:hAnsi="Arial"/>
          <w:sz w:val="16"/>
          <w:szCs w:val="16"/>
          <w:color w:val="auto"/>
        </w:rPr>
        <w:t>(1) The Company agrees to indemnify, defend and hold harmless each Underwriter, its partners, directors and officers, and any person who controls any Underwriter within the meaning of Section 15 of the 1933 Act or Section 20 of the 1934 Act, each affiliate of any Underwriter within the meaning of Rule 405 under the 1933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1933 Act, the 1934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General Disclosure Package, any Offering Materials or the Prospectus (as amended or supplemented by the Company), or arising out of or based upon any omission or alleged omission to state a material fact required to be stated in either the Registration Statement, the General Disclosure Package, any Offering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General Disclosure Package, any Offering Materials or the Prospectus, it being understood and agreed that the only such information is that set forth in Section 10, or arising out of or based upon any omission or alleged omission to state a material fact in connection with such information required to be stated in the Registration Statement, the General Disclosure Package, any Offering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74" w:lineRule="exact"/>
        <w:rPr>
          <w:sz w:val="20"/>
          <w:szCs w:val="20"/>
          <w:color w:val="auto"/>
        </w:rPr>
      </w:pPr>
    </w:p>
    <w:p>
      <w:pPr>
        <w:ind w:left="-20" w:firstLine="457"/>
        <w:spacing w:after="0" w:line="270" w:lineRule="auto"/>
        <w:tabs>
          <w:tab w:leader="none" w:pos="68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General Disclosure Package, any Offering Materials or the Prospectus (as amended or supplemented by the Company) or arising out of or is based upon any omission or alleged omission to state a material fact required to be stated in either the Registration Statement, the General Disclosure Package, any Offering Materials or the Prospectus or necessary to make the statements made therein not misleading or (y) any untrue statement or alleged untrue statement made by the Adviser or the Administrator in Section 4 hereof.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40" w:top="274" w:right="339" w:bottom="1440" w:gutter="0" w:footer="0" w:header="0"/>
        </w:sectPr>
      </w:pPr>
    </w:p>
    <w:bookmarkStart w:id="33" w:name="page34"/>
    <w:bookmarkEnd w:id="33"/>
    <w:p>
      <w:pPr>
        <w:ind w:left="-20" w:right="60" w:firstLine="1019"/>
        <w:spacing w:after="0" w:line="287" w:lineRule="auto"/>
        <w:tabs>
          <w:tab w:leader="none" w:pos="1246"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1933 Act or Section 20 of the 1934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1933 Act, the 1934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General Disclosure Package or the Prospectus, or arises out of or is based upon any omission or alleged omission to state a material fact in connection with such information required to be stated in the Registration Statement, the General Disclosure Package or the Prospectus or necessary to make such information not misleading, it being understood and agreed that the only such information is that set forth in Section 10.</w:t>
      </w:r>
    </w:p>
    <w:p>
      <w:pPr>
        <w:spacing w:after="0" w:line="171" w:lineRule="exact"/>
        <w:rPr>
          <w:rFonts w:ascii="Arial" w:cs="Arial" w:eastAsia="Arial" w:hAnsi="Arial"/>
          <w:sz w:val="16"/>
          <w:szCs w:val="16"/>
          <w:color w:val="auto"/>
        </w:rPr>
      </w:pPr>
    </w:p>
    <w:p>
      <w:pPr>
        <w:ind w:left="-20" w:firstLine="1019"/>
        <w:spacing w:after="0" w:line="268" w:lineRule="auto"/>
        <w:tabs>
          <w:tab w:leader="none" w:pos="12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9(a) or 9(b),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Joint Book-Running Managers, in the case of parties indemnified pursuant to Section 9(a), and by the Company, in the case of parties indemnified pursuant to Section (9)(b).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40" w:top="274" w:right="339" w:bottom="1440" w:gutter="0" w:footer="0" w:header="0"/>
        </w:sectPr>
      </w:pPr>
    </w:p>
    <w:bookmarkStart w:id="34" w:name="page35"/>
    <w:bookmarkEnd w:id="34"/>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(i) such settlement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85" w:lineRule="exact"/>
        <w:rPr>
          <w:sz w:val="20"/>
          <w:szCs w:val="20"/>
          <w:color w:val="auto"/>
        </w:rPr>
      </w:pPr>
    </w:p>
    <w:p>
      <w:pPr>
        <w:ind w:firstLine="1019"/>
        <w:spacing w:after="0" w:line="285" w:lineRule="auto"/>
        <w:tabs>
          <w:tab w:leader="none" w:pos="126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(including any Adviser Sales Load Payment),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274" w:right="359" w:bottom="1440" w:gutter="0" w:footer="0" w:header="0"/>
        </w:sectPr>
      </w:pPr>
    </w:p>
    <w:bookmarkStart w:id="35" w:name="page36"/>
    <w:bookmarkEnd w:id="35"/>
    <w:p>
      <w:pPr>
        <w:ind w:left="-20" w:right="20" w:firstLine="1019"/>
        <w:spacing w:after="0" w:line="253" w:lineRule="auto"/>
        <w:tabs>
          <w:tab w:leader="none" w:pos="1235"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1933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96" w:lineRule="exact"/>
        <w:rPr>
          <w:rFonts w:ascii="Arial" w:cs="Arial" w:eastAsia="Arial" w:hAnsi="Arial"/>
          <w:sz w:val="18"/>
          <w:szCs w:val="18"/>
          <w:color w:val="auto"/>
        </w:rPr>
      </w:pPr>
    </w:p>
    <w:p>
      <w:pPr>
        <w:ind w:left="-20" w:firstLine="1019"/>
        <w:spacing w:after="0" w:line="269" w:lineRule="auto"/>
        <w:tabs>
          <w:tab w:leader="none" w:pos="1216"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1933 Act or Section 20 of the 1934 Act, or any affiliate of any Underwriter within the meaning of Rule 405 under the 1933 Act that is involved in the Offering, or any successors or assigns of all of the foregoing persons, or by or on behalf of the Company, its directors or officers or any person who controls the Company within the meaning of Section 15 of the 1933 Act or Section 20 of the 1934 Act, and shall survive any termination of this Agreement or the issuance and delivery of the Shares. The Company, the Adviser and the Administrator agree promptly to notify each Underwriter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preliminary prospectus or the Prospectus; provided, however, that the omission to so notify such Underwriter shall not relieve such Underwriter from any liability which such Underwriter may have to the Company, the Adviser or the Administrator, or any such person or otherwise.</w:t>
      </w:r>
    </w:p>
    <w:p>
      <w:pPr>
        <w:spacing w:after="0" w:line="178" w:lineRule="exact"/>
        <w:rPr>
          <w:rFonts w:ascii="Arial" w:cs="Arial" w:eastAsia="Arial" w:hAnsi="Arial"/>
          <w:sz w:val="17"/>
          <w:szCs w:val="17"/>
          <w:color w:val="auto"/>
        </w:rPr>
      </w:pPr>
    </w:p>
    <w:p>
      <w:pPr>
        <w:ind w:left="-20" w:right="80" w:firstLine="1019"/>
        <w:spacing w:after="0" w:line="308" w:lineRule="auto"/>
        <w:tabs>
          <w:tab w:leader="none" w:pos="1246" w:val="left"/>
        </w:tabs>
        <w:numPr>
          <w:ilvl w:val="1"/>
          <w:numId w:val="42"/>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46" w:lineRule="exact"/>
        <w:rPr>
          <w:rFonts w:ascii="Arial" w:cs="Arial" w:eastAsia="Arial" w:hAnsi="Arial"/>
          <w:sz w:val="17"/>
          <w:szCs w:val="17"/>
          <w:color w:val="auto"/>
        </w:rPr>
      </w:pPr>
    </w:p>
    <w:p>
      <w:pPr>
        <w:ind w:left="-20" w:right="140" w:firstLine="457"/>
        <w:spacing w:after="0" w:line="279" w:lineRule="auto"/>
        <w:tabs>
          <w:tab w:leader="none" w:pos="69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Information Furnished by the Underwriters</w:t>
      </w:r>
      <w:r>
        <w:rPr>
          <w:rFonts w:ascii="Arial" w:cs="Arial" w:eastAsia="Arial" w:hAnsi="Arial"/>
          <w:sz w:val="17"/>
          <w:szCs w:val="17"/>
          <w:color w:val="auto"/>
        </w:rPr>
        <w:t>. The Company acknowledges that, for purposes of this Agreement, (i) the names of the underwriters set forth in the table following the first paragraph under the heading “Underwriting”, (ii) the sentences relating to concessions, and (iii) the first, second, fifth and seventh sentences under the heading “Underwriting—Short Positions” in the preliminary prospectus and the Prospectus constitute the only information furnished by or on behalf of the several Underwriters for inclusion in the preliminary prospectus and the Prospectus.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40" w:top="274" w:right="339" w:bottom="1440" w:gutter="0" w:footer="0" w:header="0"/>
        </w:sectPr>
      </w:pPr>
    </w:p>
    <w:bookmarkStart w:id="36" w:name="page37"/>
    <w:bookmarkEnd w:id="36"/>
    <w:p>
      <w:pPr>
        <w:ind w:left="-20" w:right="40" w:firstLine="457"/>
        <w:spacing w:after="0" w:line="270" w:lineRule="auto"/>
        <w:tabs>
          <w:tab w:leader="none" w:pos="692"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7"/>
          <w:szCs w:val="17"/>
          <w:color w:val="auto"/>
        </w:rPr>
        <w:t>. Except as otherwise herein provided, all statements, requests, notices and agreements shall be in writing or by telegram and, if to the Underwriters, shall be sufficient in all respects if delivered or sent to Morgan Stanley &amp; Co. LLC, 1585 Broadway, New York, New York 10036, Attention: Equity Syndicate Desk, with a copy to the Legal Department, UBS Securities LLC, 1285 Avenue of the Americas, New York, New York, 10019, Attn: Syndicate, Goldman Sachs &amp; Co. LLC, 200 West Street, New York, New York 10282-2198, Attention: Registration Department, J.P. Morgan Securities LLC, 383 Madison Avenue, New York, New York 10179, Attention: Equity Syndicate Desk, Fax: 212-622-8358, and Keefe, Bruyette &amp; Woods, Inc., 787 Seventh Avenue, New York, New York 10019, Attention: Capital Markets, and a copy, which shall not constitute notice, to Kirkland &amp; Ellis LLP, 1301 Pennsylvania Avenue NW, Washington, DC 20004, attention of William J. Tuttle and Erin M. Lett; and, if to the Company, the Adviser or the Administrator shall be sufficient in all respects if delivered or sent to the Company at the offices of the Company at 1691 Michigan Avenue, Suite 500, Miami Beach, Florida 33139, facsimile no. (212) 905-1075, Attention: Arthur Penn, Chief Executive Officer.</w:t>
      </w:r>
    </w:p>
    <w:p>
      <w:pPr>
        <w:spacing w:after="0" w:line="180" w:lineRule="exact"/>
        <w:rPr>
          <w:rFonts w:ascii="Arial" w:cs="Arial" w:eastAsia="Arial" w:hAnsi="Arial"/>
          <w:sz w:val="17"/>
          <w:szCs w:val="17"/>
          <w:color w:val="auto"/>
        </w:rPr>
      </w:pPr>
    </w:p>
    <w:p>
      <w:pPr>
        <w:ind w:left="-20" w:right="80" w:firstLine="457"/>
        <w:spacing w:after="0" w:line="275" w:lineRule="auto"/>
        <w:tabs>
          <w:tab w:leader="none" w:pos="699"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(“Claim”),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76" w:lineRule="exact"/>
        <w:rPr>
          <w:rFonts w:ascii="Arial" w:cs="Arial" w:eastAsia="Arial" w:hAnsi="Arial"/>
          <w:sz w:val="17"/>
          <w:szCs w:val="17"/>
          <w:color w:val="auto"/>
        </w:rPr>
      </w:pPr>
    </w:p>
    <w:p>
      <w:pPr>
        <w:ind w:left="-20" w:firstLine="457"/>
        <w:spacing w:after="0" w:line="287" w:lineRule="auto"/>
        <w:tabs>
          <w:tab w:leader="none" w:pos="69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71" w:lineRule="exact"/>
        <w:rPr>
          <w:rFonts w:ascii="Arial" w:cs="Arial" w:eastAsia="Arial" w:hAnsi="Arial"/>
          <w:sz w:val="16"/>
          <w:szCs w:val="16"/>
          <w:color w:val="auto"/>
        </w:rPr>
      </w:pPr>
    </w:p>
    <w:p>
      <w:pPr>
        <w:ind w:left="-20" w:right="160" w:firstLine="457"/>
        <w:spacing w:after="0" w:line="301" w:lineRule="auto"/>
        <w:tabs>
          <w:tab w:leader="none" w:pos="69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Parties at Interes</w:t>
      </w:r>
      <w:r>
        <w:rPr>
          <w:rFonts w:ascii="Arial" w:cs="Arial" w:eastAsia="Arial" w:hAnsi="Arial"/>
          <w:sz w:val="16"/>
          <w:szCs w:val="16"/>
          <w:color w:val="auto"/>
        </w:rPr>
        <w:t>t. The Agreement herein set forth has been and is made solely for the benefit of the Underwriters and the Company and to the extent provided in Section 9 hereof the controlling persons, partners, directors, officers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40" w:top="274" w:right="339" w:bottom="1440" w:gutter="0" w:footer="0" w:header="0"/>
        </w:sectPr>
      </w:pPr>
    </w:p>
    <w:bookmarkStart w:id="37" w:name="page38"/>
    <w:bookmarkEnd w:id="37"/>
    <w:p>
      <w:pPr>
        <w:ind w:left="-8" w:right="80" w:firstLine="457"/>
        <w:spacing w:after="0" w:line="257" w:lineRule="auto"/>
        <w:tabs>
          <w:tab w:leader="none" w:pos="711"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8" w:right="420" w:firstLine="457"/>
        <w:spacing w:after="0" w:line="263" w:lineRule="auto"/>
        <w:tabs>
          <w:tab w:leader="none" w:pos="711"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83" w:lineRule="exact"/>
        <w:rPr>
          <w:rFonts w:ascii="Arial" w:cs="Arial" w:eastAsia="Arial" w:hAnsi="Arial"/>
          <w:sz w:val="18"/>
          <w:szCs w:val="18"/>
          <w:color w:val="auto"/>
        </w:rPr>
      </w:pPr>
    </w:p>
    <w:p>
      <w:pPr>
        <w:ind w:left="-8" w:firstLine="457"/>
        <w:spacing w:after="0" w:line="285" w:lineRule="auto"/>
        <w:tabs>
          <w:tab w:leader="none" w:pos="711"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w:t>
      </w:r>
    </w:p>
    <w:p>
      <w:pPr>
        <w:spacing w:after="0" w:line="1" w:lineRule="exact"/>
        <w:rPr>
          <w:rFonts w:ascii="Arial" w:cs="Arial" w:eastAsia="Arial" w:hAnsi="Arial"/>
          <w:sz w:val="16"/>
          <w:szCs w:val="16"/>
          <w:color w:val="auto"/>
        </w:rPr>
      </w:pPr>
    </w:p>
    <w:p>
      <w:pPr>
        <w:ind w:left="-8" w:right="40" w:firstLine="8"/>
        <w:spacing w:after="0" w:line="268" w:lineRule="auto"/>
        <w:tabs>
          <w:tab w:leader="none" w:pos="307"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deems appropriate and (vi)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1" w:lineRule="exact"/>
        <w:rPr>
          <w:rFonts w:ascii="Arial" w:cs="Arial" w:eastAsia="Arial" w:hAnsi="Arial"/>
          <w:sz w:val="17"/>
          <w:szCs w:val="17"/>
          <w:color w:val="auto"/>
        </w:rPr>
      </w:pPr>
    </w:p>
    <w:p>
      <w:pPr>
        <w:ind w:left="712" w:hanging="263"/>
        <w:spacing w:after="0"/>
        <w:tabs>
          <w:tab w:leader="none" w:pos="71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019"/>
        <w:spacing w:after="0" w:line="259" w:lineRule="auto"/>
        <w:tabs>
          <w:tab w:leader="none" w:pos="1247" w:val="left"/>
        </w:tabs>
        <w:numPr>
          <w:ilvl w:val="2"/>
          <w:numId w:val="46"/>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12"/>
          </w:cols>
          <w:pgMar w:left="328" w:top="274" w:right="359" w:bottom="1440" w:gutter="0" w:footer="0" w:header="0"/>
        </w:sectPr>
      </w:pPr>
    </w:p>
    <w:bookmarkStart w:id="38" w:name="page39"/>
    <w:bookmarkEnd w:id="38"/>
    <w:p>
      <w:pPr>
        <w:ind w:left="-20" w:right="160" w:firstLine="1019"/>
        <w:spacing w:after="0" w:line="259" w:lineRule="auto"/>
        <w:tabs>
          <w:tab w:leader="none" w:pos="1246"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20" w:firstLine="1019"/>
        <w:spacing w:after="0" w:line="254" w:lineRule="auto"/>
        <w:tabs>
          <w:tab w:leader="none" w:pos="12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40" w:top="274" w:right="359" w:bottom="1440" w:gutter="0" w:footer="0" w:header="0"/>
        </w:sectPr>
      </w:pPr>
    </w:p>
    <w:bookmarkStart w:id="39" w:name="page40"/>
    <w:bookmarkEnd w:id="3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the Adviser, the Administrator and the Underwriters, severally.</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220"/>
          </w:cols>
          <w:pgMar w:left="320" w:top="27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 to as of the date first above written:</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MORGAN STANLEY &amp; CO.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Jyri Wilska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31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Jyri Wilska</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UBS SECURITIES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Delgado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31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John Delgado</w:t>
      </w:r>
    </w:p>
    <w:p>
      <w:pPr>
        <w:spacing w:after="0" w:line="23" w:lineRule="exact"/>
        <w:rPr>
          <w:sz w:val="20"/>
          <w:szCs w:val="20"/>
          <w:color w:val="auto"/>
        </w:rPr>
      </w:pPr>
    </w:p>
    <w:p>
      <w:pPr>
        <w:jc w:val="center"/>
        <w:ind w:right="8299"/>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Neuber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31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Matthew Neuber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GOLDMAN SACHS &amp; CO.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CE Bluhm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31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CE Bluhm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J.P. MORGAN SECURITIES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31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Michael Rhodes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KEEFE, BRUYETTE &amp; WOODS, INC.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31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Al Laufenberg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139"/>
          </w:cols>
          <w:pgMar w:left="320" w:top="274" w:right="1440" w:bottom="1440" w:gutter="0" w:footer="0" w:header="0"/>
        </w:sectPr>
      </w:pPr>
    </w:p>
    <w:bookmarkStart w:id="41" w:name="page42"/>
    <w:bookmarkEnd w:id="41"/>
    <w:tbl>
      <w:tblPr>
        <w:tblLayout w:type="fixed"/>
        <w:tblInd w:w="70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840" w:type="dxa"/>
            <w:vAlign w:val="bottom"/>
            <w:gridSpan w:val="5"/>
          </w:tcPr>
          <w:p>
            <w:pPr>
              <w:ind w:left="440"/>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93"/>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206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Number of</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4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1"/>
              </w:rPr>
              <w:t>Firm Shares</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4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2,040,000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637,500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425,000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85,000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85,000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4,250,000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2" w:name="page43"/>
    <w:bookmarkEnd w:id="42"/>
    <w:p>
      <w:pPr>
        <w:ind w:left="5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Launch Press Release, dated January 23, 2023, as filed with the Commission on Form 8-K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Pricing Term Sheet, dated January 23, 2023, as filed with the Commission as a 482ad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Pricing Press Release, dated January 23, 2023, as filed with the Commission as a 482ad</w:t>
      </w:r>
    </w:p>
    <w:p>
      <w:pPr>
        <w:sectPr>
          <w:pgSz w:w="11900" w:h="16838" w:orient="portrait"/>
          <w:cols w:equalWidth="0" w:num="1">
            <w:col w:w="10139"/>
          </w:cols>
          <w:pgMar w:left="320" w:top="270" w:right="1440" w:bottom="1440" w:gutter="0" w:footer="0" w:header="0"/>
        </w:sectPr>
      </w:pPr>
    </w:p>
    <w:bookmarkStart w:id="43" w:name="page44"/>
    <w:bookmarkEnd w:id="43"/>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PFLT Investment Holdings, LLC</w:t>
      </w:r>
    </w:p>
    <w:p>
      <w:pPr>
        <w:sectPr>
          <w:pgSz w:w="11900" w:h="16838" w:orient="portrait"/>
          <w:cols w:equalWidth="0" w:num="1">
            <w:col w:w="10139"/>
          </w:cols>
          <w:pgMar w:left="320" w:top="270"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Floating Rate Capital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ectPr>
          <w:pgSz w:w="11900" w:h="16838" w:orient="portrait"/>
          <w:cols w:equalWidth="0" w:num="1">
            <w:col w:w="11240"/>
          </w:cols>
          <w:pgMar w:left="320" w:top="27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w:t>
      </w:r>
    </w:p>
    <w:p>
      <w:pPr>
        <w:spacing w:after="0" w:line="117"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This Lock-Up Letter Agreement is being delivered to you in connection with the proposed Underwriting Agreement (the “</w:t>
      </w:r>
      <w:r>
        <w:rPr>
          <w:rFonts w:ascii="Arial" w:cs="Arial" w:eastAsia="Arial" w:hAnsi="Arial"/>
          <w:sz w:val="17"/>
          <w:szCs w:val="17"/>
          <w:b w:val="1"/>
          <w:bCs w:val="1"/>
          <w:i w:val="1"/>
          <w:i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to be entered into by and among PennantPark Floating Rate Capital Ltd.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PennantPark Investment Advisers, LLC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PennantPark Investment Administration, LLC and Morgan Stanley &amp; Co. LLC, UBS Securities LLC, Goldman Sachs &amp; Co. LLC, J.P. Morgan Securities LLC and Keefe, Bruyette &amp; Woods, Inc., as representatives of the several underwriters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with respect to the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Common Stock, par value $0.001 per share, of the Company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induce you to enter into the Underwriting Agreement, the undersigned agrees that from the date hereof until the end of a period of 60 days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the final prospectus relating to the Offering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the undersigned will not, without the prior written consent of Morgan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Stanley &amp; Co. LLC, (i) sell, offer to sell, contract or agree to sell, hypothecate, pledge, grant any option to purchase or otherwise dispose of or agree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dispose of, directly or indirectly, or file (or participate in the filing of) a registration statement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of the Commission promulgated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thereunder with respect to, any Common Stock of the Company or any securities convertible into or exercisable or exchangeable for Common Stock,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or other rights to purchase Common Stock, (ii) enter into any swap or other arrangement that transfers to another, in whole or in part,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consequences of ownership of Common Stock or any securities convertible into or exercisable or exchangeable for Common Stock, or 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other rights to purchase Common Stock, whether any such transaction is to be settled by delivery of Common Stock or such other securities, in cash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or (iii) publicly announce an intention to effect any transaction specified in clause (i) or (ii). The foregoing sentence shall not apply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of or sale to the Underwriters of any Common Stock pursuant to the Offering and the Underwriting Agreement.</w:t>
      </w:r>
    </w:p>
    <w:p>
      <w:pPr>
        <w:spacing w:after="0" w:line="211" w:lineRule="exact"/>
        <w:rPr>
          <w:sz w:val="20"/>
          <w:szCs w:val="20"/>
          <w:color w:val="auto"/>
        </w:rPr>
      </w:pPr>
    </w:p>
    <w:p>
      <w:pPr>
        <w:ind w:right="360" w:firstLine="449"/>
        <w:spacing w:after="0" w:line="342" w:lineRule="auto"/>
        <w:rPr>
          <w:sz w:val="20"/>
          <w:szCs w:val="20"/>
          <w:color w:val="auto"/>
        </w:rPr>
      </w:pPr>
      <w:r>
        <w:rPr>
          <w:rFonts w:ascii="Arial" w:cs="Arial" w:eastAsia="Arial" w:hAnsi="Arial"/>
          <w:sz w:val="16"/>
          <w:szCs w:val="16"/>
          <w:color w:val="auto"/>
        </w:rPr>
        <w:t>Notwithstanding the foregoing, the undersigned may, without the prior written consent of the Underwriters, transfer any Common Stock or other securities of the Company or any securities convertible into or exchangeable or exercisable for Common Stock or other securities of the Company:</w:t>
      </w:r>
    </w:p>
    <w:p>
      <w:pPr>
        <w:spacing w:after="0" w:line="16" w:lineRule="exact"/>
        <w:rPr>
          <w:sz w:val="20"/>
          <w:szCs w:val="20"/>
          <w:color w:val="auto"/>
        </w:rPr>
      </w:pPr>
    </w:p>
    <w:p>
      <w:pPr>
        <w:ind w:right="100" w:firstLine="457"/>
        <w:spacing w:after="0" w:line="286" w:lineRule="auto"/>
        <w:tabs>
          <w:tab w:leader="none" w:pos="7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undersigned is a natural person, as a bona fide gift or gifts, or by will or intestacy, or as may be required by court order or by action of law, to any member of the immediate family (as defined below) of the undersigned or to a trust the beneficiaries of which are exclusively the undersigned or members of the undersigned’s immediate family, or as a bona fide gift or gifts to a charity or educational institution,</w:t>
      </w:r>
    </w:p>
    <w:p>
      <w:pPr>
        <w:spacing w:after="0" w:line="165" w:lineRule="exact"/>
        <w:rPr>
          <w:rFonts w:ascii="Arial" w:cs="Arial" w:eastAsia="Arial" w:hAnsi="Arial"/>
          <w:sz w:val="17"/>
          <w:szCs w:val="17"/>
          <w:color w:val="auto"/>
        </w:rPr>
      </w:pPr>
    </w:p>
    <w:p>
      <w:pPr>
        <w:ind w:right="520" w:firstLine="457"/>
        <w:spacing w:after="0" w:line="277" w:lineRule="auto"/>
        <w:tabs>
          <w:tab w:leader="none" w:pos="7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undersigned is a partnership or a limited liability company, to a partner or member, as the case may be, of such partnership or limited liability company if, in any such case, such transfer is not for value, and</w:t>
      </w:r>
    </w:p>
    <w:p>
      <w:pPr>
        <w:sectPr>
          <w:pgSz w:w="11900" w:h="16838" w:orient="portrait"/>
          <w:cols w:equalWidth="0" w:num="1">
            <w:col w:w="11220"/>
          </w:cols>
          <w:pgMar w:left="320" w:top="274" w:right="359" w:bottom="1440" w:gutter="0" w:footer="0" w:header="0"/>
        </w:sectPr>
      </w:pPr>
    </w:p>
    <w:bookmarkStart w:id="46" w:name="page47"/>
    <w:bookmarkEnd w:id="46"/>
    <w:p>
      <w:pPr>
        <w:ind w:firstLine="457"/>
        <w:spacing w:after="0" w:line="253" w:lineRule="auto"/>
        <w:tabs>
          <w:tab w:leader="none" w:pos="704"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a trust, to a beneficiary of such trust if such transfer is not for value, provided, however, that in the case of any transfer described in clause (1), (2) or (3) above, it shall be a condition to the transfer that (A) the transferee executes and delivers to the Representative, acting on behalf of the Underwriters, not later than one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the Representative, and (B) such transfer is not reported or required to be reported in any public report or filing with the Securities and Exchange Commission or otherwise, and the undersigned does not otherwise voluntarily effect any public filing or report regarding such transfer during the Restricted Period. For purposes of this paragraph, “immediate family” shall mean a spouse, child, grandchild or other lineal descendant (including by adoption), father, mother, brother or sister of the undersigned.</w:t>
      </w:r>
    </w:p>
    <w:p>
      <w:pPr>
        <w:spacing w:after="0" w:line="196"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60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76"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Shares at the price determined in the Offering, and nothing set forth in such disclosures or documentation is intended to suggest that any Underwriter is making such a recommendation.</w:t>
      </w:r>
    </w:p>
    <w:p>
      <w:pPr>
        <w:spacing w:after="0" w:line="164"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If (i) the Company notifies you in writing that it does not intend to proceed with the Offering, (ii) 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ectPr>
          <w:pgSz w:w="11900" w:h="16838" w:orient="portrait"/>
          <w:cols w:equalWidth="0" w:num="1">
            <w:col w:w="11200"/>
          </w:cols>
          <w:pgMar w:left="320" w:top="274" w:right="379" w:bottom="1440" w:gutter="0" w:footer="0" w:header="0"/>
        </w:sectPr>
      </w:pPr>
    </w:p>
    <w:bookmarkStart w:id="47" w:name="page48"/>
    <w:bookmarkEnd w:id="47"/>
    <w:p>
      <w:pPr>
        <w:ind w:left="56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Yours very truly,</w:t>
      </w: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-130175</wp:posOffset>
            </wp:positionV>
            <wp:extent cx="2846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List of Persons or Entities Affiliated with the Company, the Adviser and the Administrator</w:t>
      </w:r>
    </w:p>
    <w:p>
      <w:pPr>
        <w:spacing w:after="0" w:line="154"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Richard T. Allorto Jr.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Guy Talarico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José A. Briones, Jr.</w:t>
      </w:r>
    </w:p>
    <w:p>
      <w:pPr>
        <w:sectPr>
          <w:pgSz w:w="11900" w:h="16838" w:orient="portrait"/>
          <w:cols w:equalWidth="0" w:num="1">
            <w:col w:w="10139"/>
          </w:cols>
          <w:pgMar w:left="320" w:top="270" w:right="1440" w:bottom="1440" w:gutter="0" w:footer="0" w:header="0"/>
        </w:sectPr>
      </w:pPr>
    </w:p>
    <w:bookmarkStart w:id="49" w:name="page50"/>
    <w:bookmarkEnd w:id="49"/>
    <w:p>
      <w:pPr>
        <w:jc w:val="center"/>
        <w:ind w:right="-2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21" w:lineRule="exact"/>
        <w:rPr>
          <w:sz w:val="20"/>
          <w:szCs w:val="20"/>
          <w:color w:val="auto"/>
        </w:rPr>
      </w:pPr>
    </w:p>
    <w:p>
      <w:pPr>
        <w:jc w:val="center"/>
        <w:ind w:right="-231"/>
        <w:spacing w:after="0"/>
        <w:rPr>
          <w:sz w:val="20"/>
          <w:szCs w:val="20"/>
          <w:color w:val="auto"/>
        </w:rPr>
      </w:pPr>
      <w:r>
        <w:rPr>
          <w:rFonts w:ascii="Arial" w:cs="Arial" w:eastAsia="Arial" w:hAnsi="Arial"/>
          <w:sz w:val="18"/>
          <w:szCs w:val="18"/>
          <w:u w:val="single" w:color="auto"/>
          <w:color w:val="auto"/>
        </w:rPr>
        <w:t>Form of Certificate Required by Section 6(g)</w:t>
      </w:r>
    </w:p>
    <w:p>
      <w:pPr>
        <w:spacing w:after="0" w:line="252" w:lineRule="exact"/>
        <w:rPr>
          <w:sz w:val="20"/>
          <w:szCs w:val="20"/>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the Registration Statement, the General Disclosure Package and the Prospectus.</w:t>
      </w:r>
    </w:p>
    <w:p>
      <w:pPr>
        <w:spacing w:after="0" w:line="13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75" w:lineRule="exact"/>
        <w:rPr>
          <w:rFonts w:ascii="Arial" w:cs="Arial" w:eastAsia="Arial" w:hAnsi="Arial"/>
          <w:sz w:val="18"/>
          <w:szCs w:val="18"/>
          <w:color w:val="auto"/>
        </w:rPr>
      </w:pPr>
    </w:p>
    <w:p>
      <w:pPr>
        <w:ind w:left="452" w:right="440" w:hanging="452"/>
        <w:spacing w:after="0" w:line="27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ectPr>
          <w:pgSz w:w="11900" w:h="16838" w:orient="portrait"/>
          <w:cols w:equalWidth="0" w:num="1">
            <w:col w:w="10992"/>
          </w:cols>
          <w:pgMar w:left="328" w:top="270" w:right="579" w:bottom="1440" w:gutter="0" w:footer="0" w:header="0"/>
        </w:sectPr>
      </w:pPr>
    </w:p>
    <w:bookmarkStart w:id="50" w:name="page51"/>
    <w:bookmarkEnd w:id="50"/>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C</w:t>
            </w:r>
          </w:p>
        </w:tc>
        <w:tc>
          <w:tcPr>
            <w:tcW w:w="26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20" w:type="dxa"/>
            <w:vAlign w:val="bottom"/>
            <w:gridSpan w:val="5"/>
          </w:tcPr>
          <w:p>
            <w:pPr>
              <w:jc w:val="center"/>
              <w:ind w:right="1840"/>
              <w:spacing w:after="0"/>
              <w:rPr>
                <w:sz w:val="20"/>
                <w:szCs w:val="20"/>
                <w:color w:val="auto"/>
              </w:rPr>
            </w:pPr>
            <w:r>
              <w:rPr>
                <w:rFonts w:ascii="Arial" w:cs="Arial" w:eastAsia="Arial" w:hAnsi="Arial"/>
                <w:sz w:val="18"/>
                <w:szCs w:val="18"/>
                <w:color w:val="auto"/>
                <w:w w:val="94"/>
              </w:rPr>
              <w:t>Pricing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2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Number of Firm Shares: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4,250,000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Number of Additional Shares: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91615" cy="37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91615" cy="3771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257175</wp:posOffset>
            </wp:positionV>
            <wp:extent cx="2314575"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14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 33139</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Registration Statement on Form N-2:</w:t>
            </w:r>
          </w:p>
        </w:tc>
      </w:tr>
      <w:tr>
        <w:trPr>
          <w:trHeight w:val="237"/>
        </w:trPr>
        <w:tc>
          <w:tcPr>
            <w:tcW w:w="66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File No.: 333-268813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1011"/>
        <w:spacing w:after="0" w:line="293"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by the Company of up to 4,887,500 shares (the “Shares”) of Common Stock, $.001 par value per share, of the Company (including up to 637,500 Shares that may be issued pursuant to an option granted to the underwriters in the offering of the Shares), in an underwritten public offering,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64" w:lineRule="exact"/>
        <w:rPr>
          <w:sz w:val="20"/>
          <w:szCs w:val="20"/>
          <w:color w:val="auto"/>
        </w:rPr>
      </w:pPr>
    </w:p>
    <w:p>
      <w:pPr>
        <w:ind w:right="340" w:firstLine="1011"/>
        <w:spacing w:after="0" w:line="34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 w:lineRule="exact"/>
        <w:rPr>
          <w:sz w:val="20"/>
          <w:szCs w:val="20"/>
          <w:color w:val="auto"/>
        </w:rPr>
      </w:pPr>
    </w:p>
    <w:p>
      <w:pPr>
        <w:ind w:right="80" w:firstLine="1019"/>
        <w:spacing w:after="0" w:line="277" w:lineRule="auto"/>
        <w:tabs>
          <w:tab w:leader="none" w:pos="11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in the form in which it was filed by the Company with the Commission under the 1933 Act;</w:t>
      </w:r>
    </w:p>
    <w:p>
      <w:pPr>
        <w:spacing w:after="0" w:line="170" w:lineRule="exact"/>
        <w:rPr>
          <w:rFonts w:ascii="Arial" w:cs="Arial" w:eastAsia="Arial" w:hAnsi="Arial"/>
          <w:sz w:val="18"/>
          <w:szCs w:val="18"/>
          <w:color w:val="auto"/>
        </w:rPr>
      </w:pPr>
    </w:p>
    <w:p>
      <w:pPr>
        <w:ind w:right="440" w:firstLine="1019"/>
        <w:spacing w:after="0" w:line="277" w:lineRule="auto"/>
        <w:tabs>
          <w:tab w:leader="none" w:pos="11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Prospectus Supplement, dated January 23, 2023, in the form filed by the Company with the Commission pursuant to Rule 424(b) under the 1933 Act;</w:t>
      </w:r>
    </w:p>
    <w:p>
      <w:pPr>
        <w:spacing w:after="0" w:line="170" w:lineRule="exact"/>
        <w:rPr>
          <w:rFonts w:ascii="Arial" w:cs="Arial" w:eastAsia="Arial" w:hAnsi="Arial"/>
          <w:sz w:val="18"/>
          <w:szCs w:val="18"/>
          <w:color w:val="auto"/>
        </w:rPr>
      </w:pPr>
    </w:p>
    <w:p>
      <w:pPr>
        <w:ind w:left="1200" w:hanging="181"/>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225" w:lineRule="exact"/>
        <w:rPr>
          <w:rFonts w:ascii="Arial" w:cs="Arial" w:eastAsia="Arial" w:hAnsi="Arial"/>
          <w:sz w:val="18"/>
          <w:szCs w:val="18"/>
          <w:color w:val="auto"/>
        </w:rPr>
      </w:pPr>
    </w:p>
    <w:p>
      <w:pPr>
        <w:ind w:left="1200" w:hanging="181"/>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225" w:lineRule="exact"/>
        <w:rPr>
          <w:rFonts w:ascii="Arial" w:cs="Arial" w:eastAsia="Arial" w:hAnsi="Arial"/>
          <w:sz w:val="18"/>
          <w:szCs w:val="18"/>
          <w:color w:val="auto"/>
        </w:rPr>
      </w:pPr>
    </w:p>
    <w:p>
      <w:pPr>
        <w:ind w:left="1200" w:hanging="181"/>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491615"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77190"/>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20" w:firstLine="1019"/>
        <w:spacing w:after="0" w:line="263" w:lineRule="auto"/>
        <w:tabs>
          <w:tab w:leader="none" w:pos="119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and a duly authorized committee thereof, relating to the authorization of the filing of the Registration Statement and the sale and issuance of the Shares, certified as of the date hereof by an officer of the Company;</w:t>
      </w:r>
    </w:p>
    <w:p>
      <w:pPr>
        <w:spacing w:after="0" w:line="183" w:lineRule="exact"/>
        <w:rPr>
          <w:rFonts w:ascii="Arial" w:cs="Arial" w:eastAsia="Arial" w:hAnsi="Arial"/>
          <w:sz w:val="18"/>
          <w:szCs w:val="18"/>
          <w:color w:val="auto"/>
        </w:rPr>
      </w:pPr>
    </w:p>
    <w:p>
      <w:pPr>
        <w:ind w:left="1200" w:hanging="181"/>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right="500" w:firstLine="1019"/>
        <w:spacing w:after="0" w:line="277" w:lineRule="auto"/>
        <w:tabs>
          <w:tab w:leader="none" w:pos="1191"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17" w:lineRule="exact"/>
        <w:rPr>
          <w:sz w:val="20"/>
          <w:szCs w:val="20"/>
          <w:color w:val="auto"/>
        </w:rPr>
      </w:pPr>
    </w:p>
    <w:p>
      <w:pPr>
        <w:ind w:left="1200" w:hanging="181"/>
        <w:spacing w:after="0"/>
        <w:tabs>
          <w:tab w:leader="none" w:pos="1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248" w:lineRule="exact"/>
        <w:rPr>
          <w:rFonts w:ascii="Arial" w:cs="Arial" w:eastAsia="Arial" w:hAnsi="Arial"/>
          <w:sz w:val="16"/>
          <w:szCs w:val="16"/>
          <w:color w:val="auto"/>
        </w:rPr>
      </w:pPr>
    </w:p>
    <w:p>
      <w:pPr>
        <w:ind w:left="1200" w:hanging="181"/>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right="160" w:firstLine="1019"/>
        <w:spacing w:after="0" w:line="263" w:lineRule="auto"/>
        <w:tabs>
          <w:tab w:leader="none" w:pos="11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3" w:lineRule="exact"/>
        <w:rPr>
          <w:rFonts w:ascii="Arial" w:cs="Arial" w:eastAsia="Arial" w:hAnsi="Arial"/>
          <w:sz w:val="18"/>
          <w:szCs w:val="18"/>
          <w:color w:val="auto"/>
        </w:rPr>
      </w:pPr>
    </w:p>
    <w:p>
      <w:pPr>
        <w:ind w:firstLine="1019"/>
        <w:spacing w:after="0" w:line="273" w:lineRule="auto"/>
        <w:tabs>
          <w:tab w:leader="none" w:pos="1191"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440" w:firstLine="1019"/>
        <w:spacing w:after="0" w:line="277" w:lineRule="auto"/>
        <w:tabs>
          <w:tab w:leader="none" w:pos="11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220"/>
          </w:cols>
          <w:pgMar w:left="320" w:top="108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491615"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77190"/>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40" w:firstLine="1019"/>
        <w:spacing w:after="0" w:line="342" w:lineRule="auto"/>
        <w:tabs>
          <w:tab w:leader="none" w:pos="119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issued and delivered by the Company in accordance with the Resolutions and the Registration Statement against payment of the consideration set forth therein, the Shares will be validly issued, fully paid and nonassessable.</w:t>
      </w:r>
    </w:p>
    <w:p>
      <w:pPr>
        <w:spacing w:after="0" w:line="124" w:lineRule="exact"/>
        <w:rPr>
          <w:sz w:val="20"/>
          <w:szCs w:val="20"/>
          <w:color w:val="auto"/>
        </w:rPr>
      </w:pPr>
    </w:p>
    <w:p>
      <w:pPr>
        <w:ind w:firstLine="1011"/>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7" w:lineRule="exact"/>
        <w:rPr>
          <w:sz w:val="20"/>
          <w:szCs w:val="20"/>
          <w:color w:val="auto"/>
        </w:rPr>
      </w:pPr>
    </w:p>
    <w:p>
      <w:pPr>
        <w:ind w:right="20" w:firstLine="1011"/>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right="240" w:firstLine="1011"/>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1200"/>
      </w:cols>
      <w:pgMar w:left="320" w:top="10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abstractNum>
  <w:abstractNum w:abstractNumId="3">
    <w:nsid w:val="8138641"/>
    <w:multiLevelType w:val="hybridMultilevel"/>
    <w:lvl w:ilvl="0">
      <w:lvlJc w:val="left"/>
      <w:lvlText w:val="%1."/>
      <w:numFmt w:val="decimal"/>
      <w:start w:val="3"/>
    </w:lvl>
    <w:lvl w:ilvl="1">
      <w:lvlJc w:val="left"/>
      <w:lvlText w:val="(%2)"/>
      <w:numFmt w:val="lowerRoman"/>
      <w:start w:val="1"/>
    </w:lvl>
  </w:abstractNum>
  <w:abstractNum w:abstractNumId="4">
    <w:nsid w:val="1E7FF521"/>
    <w:multiLevelType w:val="hybridMultilevel"/>
    <w:lvl w:ilvl="0">
      <w:lvlJc w:val="left"/>
      <w:lvlText w:val="(%1)"/>
      <w:numFmt w:val="lowerRoman"/>
      <w:start w:val="2"/>
    </w:lvl>
  </w:abstractNum>
  <w:abstractNum w:abstractNumId="5">
    <w:nsid w:val="7C3DBD3D"/>
    <w:multiLevelType w:val="hybridMultilevel"/>
    <w:lvl w:ilvl="0">
      <w:lvlJc w:val="left"/>
      <w:lvlText w:val="%1"/>
      <w:numFmt w:val="lowerRoman"/>
      <w:start w:val="1"/>
    </w:lvl>
    <w:lvl w:ilvl="1">
      <w:lvlJc w:val="left"/>
      <w:lvlText w:val="(%2)"/>
      <w:numFmt w:val="lowerRoman"/>
      <w:start w:val="3"/>
    </w:lvl>
  </w:abstractNum>
  <w:abstractNum w:abstractNumId="6">
    <w:nsid w:val="737B8DDC"/>
    <w:multiLevelType w:val="hybridMultilevel"/>
    <w:lvl w:ilvl="0">
      <w:lvlJc w:val="left"/>
      <w:lvlText w:val="(%1)"/>
      <w:numFmt w:val="lowerRoman"/>
      <w:start w:val="2"/>
    </w:lvl>
    <w:lvl w:ilvl="1">
      <w:lvlJc w:val="left"/>
      <w:lvlText w:val="(%2)"/>
      <w:numFmt w:val="lowerRoman"/>
      <w:start w:val="5"/>
    </w:lvl>
  </w:abstractNum>
  <w:abstractNum w:abstractNumId="7">
    <w:nsid w:val="6CEAF087"/>
    <w:multiLevelType w:val="hybridMultilevel"/>
    <w:lvl w:ilvl="0">
      <w:lvlJc w:val="left"/>
      <w:lvlText w:val="(%1)"/>
      <w:numFmt w:val="lowerRoman"/>
      <w:start w:val="6"/>
    </w:lvl>
  </w:abstractNum>
  <w:abstractNum w:abstractNumId="8">
    <w:nsid w:val="22221A70"/>
    <w:multiLevelType w:val="hybridMultilevel"/>
    <w:lvl w:ilvl="0">
      <w:lvlJc w:val="left"/>
      <w:lvlText w:val="(%1)"/>
      <w:numFmt w:val="lowerRoman"/>
      <w:start w:val="10"/>
    </w:lvl>
  </w:abstractNum>
  <w:abstractNum w:abstractNumId="9">
    <w:nsid w:val="4516DDE9"/>
    <w:multiLevelType w:val="hybridMultilevel"/>
    <w:lvl w:ilvl="0">
      <w:lvlJc w:val="left"/>
      <w:lvlText w:val="(%1)"/>
      <w:numFmt w:val="lowerRoman"/>
      <w:start w:val="12"/>
    </w:lvl>
  </w:abstractNum>
  <w:abstractNum w:abstractNumId="10">
    <w:nsid w:val="3006C83E"/>
    <w:multiLevelType w:val="hybridMultilevel"/>
    <w:lvl w:ilvl="0">
      <w:lvlJc w:val="left"/>
      <w:lvlText w:val="(%1)"/>
      <w:numFmt w:val="lowerRoman"/>
      <w:start w:val="17"/>
    </w:lvl>
  </w:abstractNum>
  <w:abstractNum w:abstractNumId="11">
    <w:nsid w:val="614FD4A1"/>
    <w:multiLevelType w:val="hybridMultilevel"/>
    <w:lvl w:ilvl="0">
      <w:lvlJc w:val="left"/>
      <w:lvlText w:val="(%1)"/>
      <w:numFmt w:val="lowerRoman"/>
      <w:start w:val="21"/>
    </w:lvl>
  </w:abstractNum>
  <w:abstractNum w:abstractNumId="12">
    <w:nsid w:val="419AC241"/>
    <w:multiLevelType w:val="hybridMultilevel"/>
    <w:lvl w:ilvl="0">
      <w:lvlJc w:val="left"/>
      <w:lvlText w:val="(%1)"/>
      <w:numFmt w:val="lowerRoman"/>
      <w:start w:val="24"/>
    </w:lvl>
  </w:abstractNum>
  <w:abstractNum w:abstractNumId="13">
    <w:nsid w:val="5577F8E1"/>
    <w:multiLevelType w:val="hybridMultilevel"/>
    <w:lvl w:ilvl="0">
      <w:lvlJc w:val="left"/>
      <w:lvlText w:val="(%1)"/>
      <w:numFmt w:val="lowerRoman"/>
      <w:start w:val="27"/>
    </w:lvl>
  </w:abstractNum>
  <w:abstractNum w:abstractNumId="14">
    <w:nsid w:val="440BADFC"/>
    <w:multiLevelType w:val="hybridMultilevel"/>
    <w:lvl w:ilvl="0">
      <w:lvlJc w:val="left"/>
      <w:lvlText w:val="(%1)"/>
      <w:numFmt w:val="lowerRoman"/>
      <w:start w:val="31"/>
    </w:lvl>
    <w:lvl w:ilvl="1">
      <w:lvlJc w:val="left"/>
      <w:lvlText w:val="%2."/>
      <w:numFmt w:val="lowerLetter"/>
      <w:start w:val="9"/>
    </w:lvl>
    <w:lvl w:ilvl="2">
      <w:lvlJc w:val="left"/>
      <w:lvlText w:val="%3."/>
      <w:numFmt w:val="lowerLetter"/>
      <w:start w:val="1"/>
    </w:lvl>
  </w:abstractNum>
  <w:abstractNum w:abstractNumId="15">
    <w:nsid w:val="5072367"/>
    <w:multiLevelType w:val="hybridMultilevel"/>
    <w:lvl w:ilvl="0">
      <w:lvlJc w:val="left"/>
      <w:lvlText w:val="%1."/>
      <w:numFmt w:val="lowerRoman"/>
      <w:start w:val="2"/>
    </w:lvl>
  </w:abstractNum>
  <w:abstractNum w:abstractNumId="16">
    <w:nsid w:val="3804823E"/>
    <w:multiLevelType w:val="hybridMultilevel"/>
    <w:lvl w:ilvl="0">
      <w:lvlJc w:val="left"/>
      <w:lvlText w:val="%1"/>
      <w:numFmt w:val="lowerLetter"/>
      <w:start w:val="1"/>
    </w:lvl>
    <w:lvl w:ilvl="1">
      <w:lvlJc w:val="left"/>
      <w:lvlText w:val="%2."/>
      <w:numFmt w:val="lowerLetter"/>
      <w:start w:val="1"/>
    </w:lvl>
  </w:abstractNum>
  <w:abstractNum w:abstractNumId="17">
    <w:nsid w:val="77465F01"/>
    <w:multiLevelType w:val="hybridMultilevel"/>
    <w:lvl w:ilvl="0">
      <w:lvlJc w:val="left"/>
      <w:lvlText w:val="%1."/>
      <w:numFmt w:val="lowerLetter"/>
      <w:start w:val="61"/>
    </w:lvl>
    <w:lvl w:ilvl="1">
      <w:lvlJc w:val="left"/>
      <w:lvlText w:val="%2"/>
      <w:numFmt w:val="lowerLetter"/>
      <w:start w:val="1"/>
    </w:lvl>
  </w:abstractNum>
  <w:abstractNum w:abstractNumId="18">
    <w:nsid w:val="7724C67E"/>
    <w:multiLevelType w:val="hybridMultilevel"/>
    <w:lvl w:ilvl="0">
      <w:lvlJc w:val="left"/>
      <w:lvlText w:val="(%1)"/>
      <w:numFmt w:val="lowerRoman"/>
      <w:start w:val="33"/>
    </w:lvl>
  </w:abstractNum>
  <w:abstractNum w:abstractNumId="19">
    <w:nsid w:val="5C482A97"/>
    <w:multiLevelType w:val="hybridMultilevel"/>
    <w:lvl w:ilvl="0">
      <w:lvlJc w:val="left"/>
      <w:lvlText w:val="(%1)"/>
      <w:numFmt w:val="lowerRoman"/>
      <w:start w:val="1"/>
    </w:lvl>
    <w:lvl w:ilvl="1">
      <w:lvlJc w:val="left"/>
      <w:lvlText w:val="(%2)"/>
      <w:numFmt w:val="lowerRoman"/>
      <w:start w:val="38"/>
    </w:lvl>
  </w:abstractNum>
  <w:abstractNum w:abstractNumId="20">
    <w:nsid w:val="2463B9EA"/>
    <w:multiLevelType w:val="hybridMultilevel"/>
    <w:lvl w:ilvl="0">
      <w:lvlJc w:val="left"/>
      <w:lvlText w:val="%1."/>
      <w:numFmt w:val="decimal"/>
      <w:start w:val="4"/>
    </w:lvl>
    <w:lvl w:ilvl="1">
      <w:lvlJc w:val="left"/>
      <w:lvlText w:val="(%2)"/>
      <w:numFmt w:val="lowerRoman"/>
      <w:start w:val="1"/>
    </w:lvl>
  </w:abstractNum>
  <w:abstractNum w:abstractNumId="21">
    <w:nsid w:val="5E884ADC"/>
    <w:multiLevelType w:val="hybridMultilevel"/>
    <w:lvl w:ilvl="0">
      <w:lvlJc w:val="left"/>
      <w:lvlText w:val="(%1)"/>
      <w:numFmt w:val="lowerRoman"/>
      <w:start w:val="5"/>
    </w:lvl>
  </w:abstractNum>
  <w:abstractNum w:abstractNumId="22">
    <w:nsid w:val="51EAD36B"/>
    <w:multiLevelType w:val="hybridMultilevel"/>
    <w:lvl w:ilvl="0">
      <w:lvlJc w:val="left"/>
      <w:lvlText w:val="(%1)"/>
      <w:numFmt w:val="lowerRoman"/>
      <w:start w:val="9"/>
    </w:lvl>
  </w:abstractNum>
  <w:abstractNum w:abstractNumId="23">
    <w:nsid w:val="2D517796"/>
    <w:multiLevelType w:val="hybridMultilevel"/>
    <w:lvl w:ilvl="0">
      <w:lvlJc w:val="left"/>
      <w:lvlText w:val="(%1)"/>
      <w:numFmt w:val="lowerRoman"/>
      <w:start w:val="12"/>
    </w:lvl>
    <w:lvl w:ilvl="1">
      <w:lvlJc w:val="left"/>
      <w:lvlText w:val="%2."/>
      <w:numFmt w:val="lowerLetter"/>
      <w:start w:val="9"/>
    </w:lvl>
    <w:lvl w:ilvl="2">
      <w:lvlJc w:val="left"/>
      <w:lvlText w:val="%3."/>
      <w:numFmt w:val="lowerLetter"/>
      <w:start w:val="1"/>
    </w:lvl>
  </w:abstractNum>
  <w:abstractNum w:abstractNumId="24">
    <w:nsid w:val="580BD78F"/>
    <w:multiLevelType w:val="hybridMultilevel"/>
    <w:lvl w:ilvl="0">
      <w:lvlJc w:val="left"/>
      <w:lvlText w:val="%1."/>
      <w:numFmt w:val="lowerRoman"/>
      <w:start w:val="2"/>
    </w:lvl>
  </w:abstractNum>
  <w:abstractNum w:abstractNumId="25">
    <w:nsid w:val="153EA438"/>
    <w:multiLevelType w:val="hybridMultilevel"/>
    <w:lvl w:ilvl="0">
      <w:lvlJc w:val="left"/>
      <w:lvlText w:val="%1"/>
      <w:numFmt w:val="lowerLetter"/>
      <w:start w:val="1"/>
    </w:lvl>
    <w:lvl w:ilvl="1">
      <w:lvlJc w:val="left"/>
      <w:lvlText w:val="%2."/>
      <w:numFmt w:val="lowerLetter"/>
      <w:start w:val="1"/>
    </w:lvl>
  </w:abstractNum>
  <w:abstractNum w:abstractNumId="26">
    <w:nsid w:val="3855585C"/>
    <w:multiLevelType w:val="hybridMultilevel"/>
    <w:lvl w:ilvl="0">
      <w:lvlJc w:val="left"/>
      <w:lvlText w:val="%1."/>
      <w:numFmt w:val="lowerLetter"/>
      <w:start w:val="61"/>
    </w:lvl>
    <w:lvl w:ilvl="1">
      <w:lvlJc w:val="left"/>
      <w:lvlText w:val="%2"/>
      <w:numFmt w:val="lowerLetter"/>
      <w:start w:val="1"/>
    </w:lvl>
  </w:abstractNum>
  <w:abstractNum w:abstractNumId="27">
    <w:nsid w:val="70A64E2A"/>
    <w:multiLevelType w:val="hybridMultilevel"/>
    <w:lvl w:ilvl="0">
      <w:lvlJc w:val="left"/>
      <w:lvlText w:val="(%1)"/>
      <w:numFmt w:val="lowerRoman"/>
      <w:start w:val="15"/>
    </w:lvl>
  </w:abstractNum>
  <w:abstractNum w:abstractNumId="28">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9"/>
    </w:lvl>
  </w:abstractNum>
  <w:abstractNum w:abstractNumId="29">
    <w:nsid w:val="2A487CB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1D4ED43B"/>
    <w:multiLevelType w:val="hybridMultilevel"/>
    <w:lvl w:ilvl="0">
      <w:lvlJc w:val="left"/>
      <w:lvlText w:val="(%1)"/>
      <w:numFmt w:val="lowerLetter"/>
      <w:start w:val="4"/>
    </w:lvl>
  </w:abstractNum>
  <w:abstractNum w:abstractNumId="31">
    <w:nsid w:val="725A06FB"/>
    <w:multiLevelType w:val="hybridMultilevel"/>
    <w:lvl w:ilvl="0">
      <w:lvlJc w:val="left"/>
      <w:lvlText w:val="(%1)"/>
      <w:numFmt w:val="lowerLetter"/>
      <w:start w:val="8"/>
    </w:lvl>
  </w:abstractNum>
  <w:abstractNum w:abstractNumId="32">
    <w:nsid w:val="2CD89A32"/>
    <w:multiLevelType w:val="hybridMultilevel"/>
    <w:lvl w:ilvl="0">
      <w:lvlJc w:val="left"/>
      <w:lvlText w:val="(%1)"/>
      <w:numFmt w:val="lowerLetter"/>
      <w:start w:val="16"/>
    </w:lvl>
  </w:abstractNum>
  <w:abstractNum w:abstractNumId="33">
    <w:nsid w:val="57E4CCAF"/>
    <w:multiLevelType w:val="hybridMultilevel"/>
    <w:lvl w:ilvl="0">
      <w:lvlJc w:val="left"/>
      <w:lvlText w:val="%1."/>
      <w:numFmt w:val="decimal"/>
      <w:start w:val="6"/>
    </w:lvl>
    <w:lvl w:ilvl="1">
      <w:lvlJc w:val="left"/>
      <w:lvlText w:val="(%2)"/>
      <w:numFmt w:val="lowerLetter"/>
      <w:start w:val="1"/>
    </w:lvl>
  </w:abstractNum>
  <w:abstractNum w:abstractNumId="34">
    <w:nsid w:val="7A6D8D3C"/>
    <w:multiLevelType w:val="hybridMultilevel"/>
    <w:lvl w:ilvl="0">
      <w:lvlJc w:val="left"/>
      <w:lvlText w:val="%1"/>
      <w:numFmt w:val="decimal"/>
      <w:start w:val="1"/>
    </w:lvl>
    <w:lvl w:ilvl="1">
      <w:lvlJc w:val="left"/>
      <w:lvlText w:val="(%2)"/>
      <w:numFmt w:val="lowerLetter"/>
      <w:start w:val="7"/>
    </w:lvl>
  </w:abstractNum>
  <w:abstractNum w:abstractNumId="35">
    <w:nsid w:val="4B588F54"/>
    <w:multiLevelType w:val="hybridMultilevel"/>
    <w:lvl w:ilvl="0">
      <w:lvlJc w:val="left"/>
      <w:lvlText w:val="%1."/>
      <w:numFmt w:val="decimal"/>
      <w:start w:val="7"/>
    </w:lvl>
    <w:lvl w:ilvl="1">
      <w:lvlJc w:val="left"/>
      <w:lvlText w:val="%2"/>
      <w:numFmt w:val="lowerLetter"/>
      <w:start w:val="1"/>
    </w:lvl>
  </w:abstractNum>
  <w:abstractNum w:abstractNumId="36">
    <w:nsid w:val="542289EC"/>
    <w:multiLevelType w:val="hybridMultilevel"/>
    <w:lvl w:ilvl="0">
      <w:lvlJc w:val="left"/>
      <w:lvlText w:val="%1."/>
      <w:numFmt w:val="decimal"/>
      <w:start w:val="8"/>
    </w:lvl>
  </w:abstractNum>
  <w:abstractNum w:abstractNumId="37">
    <w:nsid w:val="6DE91B18"/>
    <w:multiLevelType w:val="hybridMultilevel"/>
    <w:lvl w:ilvl="0">
      <w:lvlJc w:val="left"/>
      <w:lvlText w:val="%1."/>
      <w:numFmt w:val="decimal"/>
      <w:start w:val="9"/>
    </w:lvl>
    <w:lvl w:ilvl="1">
      <w:lvlJc w:val="left"/>
      <w:lvlText w:val="(%2)"/>
      <w:numFmt w:val="lowerLetter"/>
      <w:start w:val="1"/>
    </w:lvl>
  </w:abstractNum>
  <w:abstractNum w:abstractNumId="38">
    <w:nsid w:val="38437FDB"/>
    <w:multiLevelType w:val="hybridMultilevel"/>
    <w:lvl w:ilvl="0">
      <w:lvlJc w:val="left"/>
      <w:lvlText w:val="(%1)"/>
      <w:numFmt w:val="decimal"/>
      <w:start w:val="2"/>
    </w:lvl>
  </w:abstractNum>
  <w:abstractNum w:abstractNumId="39">
    <w:nsid w:val="7644A45C"/>
    <w:multiLevelType w:val="hybridMultilevel"/>
    <w:lvl w:ilvl="0">
      <w:lvlJc w:val="left"/>
      <w:lvlText w:val="(%1)"/>
      <w:numFmt w:val="lowerLetter"/>
      <w:start w:val="2"/>
    </w:lvl>
  </w:abstractNum>
  <w:abstractNum w:abstractNumId="40">
    <w:nsid w:val="32FFF902"/>
    <w:multiLevelType w:val="hybridMultilevel"/>
    <w:lvl w:ilvl="0">
      <w:lvlJc w:val="left"/>
      <w:lvlText w:val="(%1)"/>
      <w:numFmt w:val="lowerLetter"/>
      <w:start w:val="4"/>
    </w:lvl>
  </w:abstractNum>
  <w:abstractNum w:abstractNumId="41">
    <w:nsid w:val="684A481A"/>
    <w:multiLevelType w:val="hybridMultilevel"/>
    <w:lvl w:ilvl="0">
      <w:lvlJc w:val="left"/>
      <w:lvlText w:val="%1"/>
      <w:numFmt w:val="decimal"/>
      <w:start w:val="1"/>
    </w:lvl>
    <w:lvl w:ilvl="1">
      <w:lvlJc w:val="left"/>
      <w:lvlText w:val="(%2)"/>
      <w:numFmt w:val="lowerLetter"/>
      <w:start w:val="5"/>
    </w:lvl>
  </w:abstractNum>
  <w:abstractNum w:abstractNumId="42">
    <w:nsid w:val="579478FE"/>
    <w:multiLevelType w:val="hybridMultilevel"/>
    <w:lvl w:ilvl="0">
      <w:lvlJc w:val="left"/>
      <w:lvlText w:val="%1."/>
      <w:numFmt w:val="decimal"/>
      <w:start w:val="10"/>
    </w:lvl>
    <w:lvl w:ilvl="1">
      <w:lvlJc w:val="left"/>
      <w:lvlText w:val="%2"/>
      <w:numFmt w:val="lowerLetter"/>
      <w:start w:val="1"/>
    </w:lvl>
  </w:abstractNum>
  <w:abstractNum w:abstractNumId="43">
    <w:nsid w:val="749ABB43"/>
    <w:multiLevelType w:val="hybridMultilevel"/>
    <w:lvl w:ilvl="0">
      <w:lvlJc w:val="left"/>
      <w:lvlText w:val="%1."/>
      <w:numFmt w:val="decimal"/>
      <w:start w:val="11"/>
    </w:lvl>
  </w:abstractNum>
  <w:abstractNum w:abstractNumId="44">
    <w:nsid w:val="3DC240FB"/>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45">
    <w:nsid w:val="1BA026FA"/>
    <w:multiLevelType w:val="hybridMultilevel"/>
    <w:lvl w:ilvl="0">
      <w:lvlJc w:val="left"/>
      <w:lvlText w:val="(%1)"/>
      <w:numFmt w:val="lowerLetter"/>
      <w:start w:val="61"/>
    </w:lvl>
    <w:lvl w:ilvl="1">
      <w:lvlJc w:val="left"/>
      <w:lvlText w:val="%2."/>
      <w:numFmt w:val="decimal"/>
      <w:start w:val="18"/>
    </w:lvl>
    <w:lvl w:ilvl="2">
      <w:lvlJc w:val="left"/>
      <w:lvlText w:val="(%3)"/>
      <w:numFmt w:val="lowerLetter"/>
      <w:start w:val="1"/>
    </w:lvl>
  </w:abstractNum>
  <w:abstractNum w:abstractNumId="46">
    <w:nsid w:val="79A1DEAA"/>
    <w:multiLevelType w:val="hybridMultilevel"/>
    <w:lvl w:ilvl="0">
      <w:lvlJc w:val="left"/>
      <w:lvlText w:val="(%1)"/>
      <w:numFmt w:val="lowerLetter"/>
      <w:start w:val="2"/>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6"/>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2023-01-26T15:23:48Z</dcterms:created>
  <dcterms:modified xsi:type="dcterms:W3CDTF">2023-01-26T15:23:48Z</dcterms:modified>
</cp:coreProperties>
</file>