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b/>
          <w:sz w:val="20"/>
        </w:rPr>
      </w:pPr>
      <w:bookmarkStart w:id="0" w:name="f8k_011224.htm"/>
      <w:bookmarkStart w:id="1" w:name="ksf8k_011224"/>
      <w:bookmarkEnd w:id="0"/>
      <w:bookmarkEnd w:id="1"/>
      <w:r>
        <w:rPr>
          <w:b/>
          <w:sz w:val="20"/>
        </w:rPr>
        <w:t xml:space="preserve">UNITED </w:t>
      </w:r>
      <w:r>
        <w:rPr>
          <w:b/>
          <w:spacing w:val="-2"/>
          <w:sz w:val="20"/>
        </w:rPr>
        <w:t>STATES</w:t>
      </w:r>
    </w:p>
    <w:p>
      <w:pPr>
        <w:pStyle w:val="TextBody"/>
        <w:bidi w:val="0"/>
        <w:spacing w:before="0" w:after="0"/>
        <w:jc w:val="center"/>
        <w:rPr>
          <w:b/>
          <w:sz w:val="20"/>
        </w:rPr>
      </w:pPr>
      <w:r>
        <w:rPr>
          <w:b/>
          <w:sz w:val="20"/>
        </w:rPr>
        <w:t xml:space="preserve">SECURITIES AND EXCHANGE </w:t>
      </w:r>
      <w:r>
        <w:rPr>
          <w:b/>
          <w:spacing w:val="-2"/>
          <w:sz w:val="20"/>
        </w:rPr>
        <w:t>COMMISSION</w:t>
      </w:r>
    </w:p>
    <w:p>
      <w:pPr>
        <w:pStyle w:val="TextBody"/>
        <w:bidi w:val="0"/>
        <w:spacing w:before="0" w:after="0"/>
        <w:jc w:val="center"/>
        <w:rPr/>
      </w:pPr>
      <w:r>
        <w:rPr/>
        <w:t xml:space="preserve">Washington, D.C. </w:t>
      </w:r>
      <w:r>
        <w:rPr>
          <w:spacing w:val="-4"/>
        </w:rPr>
        <w:t>20549</w:t>
      </w:r>
    </w:p>
    <w:p>
      <w:pPr>
        <w:pStyle w:val="TextBody"/>
        <w:bidi w:val="0"/>
        <w:spacing w:before="0" w:after="0"/>
        <w:jc w:val="center"/>
        <w:rPr>
          <w:spacing w:val="-4"/>
        </w:rPr>
      </w:pPr>
      <w:r>
        <w:rPr>
          <w:spacing w:val="-4"/>
        </w:rPr>
        <w:t> </w:t>
      </w:r>
    </w:p>
    <w:p>
      <w:pPr>
        <w:pStyle w:val="TextBody"/>
        <w:bidi w:val="0"/>
        <w:spacing w:before="0" w:after="0"/>
        <w:jc w:val="center"/>
        <w:rPr>
          <w:b/>
          <w:sz w:val="20"/>
        </w:rPr>
      </w:pPr>
      <w:r>
        <w:rPr>
          <w:b/>
          <w:sz w:val="20"/>
        </w:rPr>
        <w:t xml:space="preserve">FORM </w:t>
      </w:r>
      <w:bookmarkStart w:id="2" w:name="xdx_90B_edei--DocumentType_c20240112__20"/>
      <w:bookmarkEnd w:id="2"/>
      <w:r>
        <w:rPr>
          <w:b/>
          <w:sz w:val="20"/>
        </w:rPr>
        <w:t>8-K</w:t>
      </w:r>
    </w:p>
    <w:p>
      <w:pPr>
        <w:pStyle w:val="TextBody"/>
        <w:bidi w:val="0"/>
        <w:spacing w:before="0" w:after="0"/>
        <w:jc w:val="center"/>
        <w:rPr/>
      </w:pPr>
      <w:r>
        <w:rPr/>
        <w:t> </w:t>
      </w:r>
    </w:p>
    <w:p>
      <w:pPr>
        <w:pStyle w:val="TextBody"/>
        <w:bidi w:val="0"/>
        <w:spacing w:before="0" w:after="0"/>
        <w:jc w:val="center"/>
        <w:rPr>
          <w:sz w:val="20"/>
        </w:rPr>
      </w:pPr>
      <w:r>
        <w:rPr>
          <w:sz w:val="20"/>
        </w:rPr>
        <w:t xml:space="preserve">CURRENT </w:t>
      </w:r>
      <w:r>
        <w:rPr>
          <w:spacing w:val="-2"/>
          <w:sz w:val="20"/>
        </w:rPr>
        <w:t>REPORT</w:t>
      </w:r>
    </w:p>
    <w:p>
      <w:pPr>
        <w:pStyle w:val="TextBody"/>
        <w:bidi w:val="0"/>
        <w:spacing w:before="0" w:after="0"/>
        <w:jc w:val="center"/>
        <w:rPr/>
      </w:pPr>
      <w:r>
        <w:rPr/>
        <w:t> </w:t>
      </w:r>
    </w:p>
    <w:p>
      <w:pPr>
        <w:pStyle w:val="TextBody"/>
        <w:bidi w:val="0"/>
        <w:spacing w:before="0" w:after="0"/>
        <w:jc w:val="center"/>
        <w:rPr>
          <w:sz w:val="20"/>
        </w:rPr>
      </w:pPr>
      <w:r>
        <w:rPr>
          <w:sz w:val="20"/>
        </w:rPr>
        <w:t>Pursuant to Section 13 or 15(d) of the Securities Exchange Act of 1934</w:t>
      </w:r>
    </w:p>
    <w:p>
      <w:pPr>
        <w:pStyle w:val="TextBody"/>
        <w:bidi w:val="0"/>
        <w:spacing w:before="0" w:after="0"/>
        <w:jc w:val="center"/>
        <w:rPr/>
      </w:pPr>
      <w:r>
        <w:rPr/>
        <w:t> </w:t>
      </w:r>
    </w:p>
    <w:p>
      <w:pPr>
        <w:pStyle w:val="TextBody"/>
        <w:bidi w:val="0"/>
        <w:spacing w:before="0" w:after="0"/>
        <w:jc w:val="center"/>
        <w:rPr>
          <w:b/>
          <w:sz w:val="20"/>
        </w:rPr>
      </w:pPr>
      <w:r>
        <w:rPr>
          <w:b/>
          <w:sz w:val="20"/>
        </w:rPr>
        <w:t xml:space="preserve">Date of Report: </w:t>
      </w:r>
      <w:bookmarkStart w:id="3" w:name="xdx_90E_edei--DocumentPeriodEndDate_c202"/>
      <w:bookmarkEnd w:id="3"/>
      <w:r>
        <w:rPr>
          <w:b/>
          <w:sz w:val="20"/>
        </w:rPr>
        <w:t>January 12, 2024</w:t>
      </w:r>
    </w:p>
    <w:p>
      <w:pPr>
        <w:pStyle w:val="TextBody"/>
        <w:bidi w:val="0"/>
        <w:spacing w:before="0" w:after="0"/>
        <w:jc w:val="center"/>
        <w:rPr>
          <w:sz w:val="20"/>
        </w:rPr>
      </w:pPr>
      <w:r>
        <w:rPr>
          <w:sz w:val="20"/>
        </w:rPr>
        <w:t xml:space="preserve">(Date of earliest event </w:t>
      </w:r>
      <w:r>
        <w:rPr>
          <w:spacing w:val="-2"/>
          <w:sz w:val="20"/>
        </w:rPr>
        <w:t>reported)</w:t>
      </w:r>
    </w:p>
    <w:p>
      <w:pPr>
        <w:pStyle w:val="TextBody"/>
        <w:bidi w:val="0"/>
        <w:spacing w:before="0" w:after="0"/>
        <w:jc w:val="center"/>
        <w:rPr>
          <w:spacing w:val="-2"/>
        </w:rPr>
      </w:pPr>
      <w:r>
        <w:rPr>
          <w:spacing w:val="-2"/>
        </w:rPr>
        <w:t> </w:t>
      </w:r>
    </w:p>
    <w:p>
      <w:pPr>
        <w:pStyle w:val="TextBody"/>
        <w:bidi w:val="0"/>
        <w:spacing w:before="0" w:after="0"/>
        <w:jc w:val="center"/>
        <w:rPr>
          <w:b/>
          <w:sz w:val="20"/>
        </w:rPr>
      </w:pPr>
      <w:bookmarkStart w:id="4" w:name="xdx_907_edei--EntityRegistrantName_c2024"/>
      <w:bookmarkEnd w:id="4"/>
      <w:r>
        <w:rPr>
          <w:b/>
          <w:sz w:val="20"/>
        </w:rPr>
        <w:t>PennantPark Floating Rate Capital Ltd.</w:t>
      </w:r>
    </w:p>
    <w:p>
      <w:pPr>
        <w:pStyle w:val="TextBody"/>
        <w:bidi w:val="0"/>
        <w:spacing w:before="0" w:after="0"/>
        <w:jc w:val="center"/>
        <w:rPr>
          <w:sz w:val="20"/>
        </w:rPr>
      </w:pPr>
      <w:r>
        <w:rPr>
          <w:sz w:val="20"/>
        </w:rPr>
        <w:t xml:space="preserve">(Exact name of registrant as specified in its </w:t>
      </w:r>
      <w:r>
        <w:rPr>
          <w:spacing w:val="-2"/>
          <w:sz w:val="20"/>
        </w:rPr>
        <w:t>charter)</w:t>
      </w:r>
    </w:p>
    <w:p>
      <w:pPr>
        <w:pStyle w:val="TextBody"/>
        <w:bidi w:val="0"/>
        <w:spacing w:before="0" w:after="0"/>
        <w:jc w:val="left"/>
        <w:rPr/>
      </w:pPr>
      <w:r>
        <w:rPr/>
        <w:t> </w:t>
      </w:r>
    </w:p>
    <w:tbl>
      <w:tblPr>
        <w:tblW w:w="8910" w:type="dxa"/>
        <w:jc w:val="left"/>
        <w:tblInd w:w="0" w:type="dxa"/>
        <w:tblLayout w:type="fixed"/>
        <w:tblCellMar>
          <w:top w:w="0" w:type="dxa"/>
          <w:left w:w="0" w:type="dxa"/>
          <w:bottom w:w="0" w:type="dxa"/>
          <w:right w:w="0" w:type="dxa"/>
        </w:tblCellMar>
      </w:tblPr>
      <w:tblGrid>
        <w:gridCol w:w="3590"/>
        <w:gridCol w:w="2180"/>
        <w:gridCol w:w="3140"/>
      </w:tblGrid>
      <w:tr>
        <w:trPr/>
        <w:tc>
          <w:tcPr>
            <w:tcW w:w="3590" w:type="dxa"/>
            <w:tcBorders/>
            <w:vAlign w:val="center"/>
          </w:tcPr>
          <w:p>
            <w:pPr>
              <w:pStyle w:val="TableContents"/>
              <w:bidi w:val="0"/>
              <w:spacing w:before="0" w:after="0"/>
              <w:jc w:val="center"/>
              <w:rPr>
                <w:b/>
                <w:spacing w:val="-2"/>
                <w:sz w:val="20"/>
              </w:rPr>
            </w:pPr>
            <w:bookmarkStart w:id="5" w:name="xdx_906_edei--EntityIncorporationStateCo"/>
            <w:bookmarkEnd w:id="5"/>
            <w:r>
              <w:rPr>
                <w:b/>
                <w:spacing w:val="-2"/>
                <w:sz w:val="20"/>
              </w:rPr>
              <w:t>Maryland</w:t>
            </w:r>
          </w:p>
          <w:p>
            <w:pPr>
              <w:pStyle w:val="TableContents"/>
              <w:bidi w:val="0"/>
              <w:spacing w:before="0" w:after="0"/>
              <w:jc w:val="center"/>
              <w:rPr>
                <w:sz w:val="20"/>
              </w:rPr>
            </w:pPr>
            <w:r>
              <w:rPr>
                <w:sz w:val="20"/>
              </w:rPr>
              <w:t>(State or other jurisdiction of incorporation)</w:t>
            </w:r>
          </w:p>
        </w:tc>
        <w:tc>
          <w:tcPr>
            <w:tcW w:w="2180" w:type="dxa"/>
            <w:tcBorders/>
            <w:vAlign w:val="center"/>
          </w:tcPr>
          <w:p>
            <w:pPr>
              <w:pStyle w:val="TableContents"/>
              <w:bidi w:val="0"/>
              <w:spacing w:before="0" w:after="0"/>
              <w:jc w:val="center"/>
              <w:rPr>
                <w:b/>
                <w:spacing w:val="-2"/>
                <w:sz w:val="20"/>
              </w:rPr>
            </w:pPr>
            <w:bookmarkStart w:id="6" w:name="xdx_903_edei--EntityFileNumber_c20240112"/>
            <w:bookmarkEnd w:id="6"/>
            <w:r>
              <w:rPr>
                <w:b/>
                <w:spacing w:val="-2"/>
                <w:sz w:val="20"/>
              </w:rPr>
              <w:t>814-00891</w:t>
            </w:r>
          </w:p>
          <w:p>
            <w:pPr>
              <w:pStyle w:val="TableContents"/>
              <w:bidi w:val="0"/>
              <w:spacing w:before="0" w:after="0"/>
              <w:jc w:val="center"/>
              <w:rPr>
                <w:sz w:val="20"/>
              </w:rPr>
            </w:pPr>
            <w:r>
              <w:rPr>
                <w:spacing w:val="-2"/>
                <w:sz w:val="20"/>
              </w:rPr>
              <w:t xml:space="preserve">(Commission </w:t>
            </w:r>
            <w:r>
              <w:rPr>
                <w:sz w:val="20"/>
              </w:rPr>
              <w:t xml:space="preserve">File </w:t>
            </w:r>
            <w:r>
              <w:rPr>
                <w:spacing w:val="-2"/>
                <w:sz w:val="20"/>
              </w:rPr>
              <w:t>Number)</w:t>
            </w:r>
          </w:p>
        </w:tc>
        <w:tc>
          <w:tcPr>
            <w:tcW w:w="3140" w:type="dxa"/>
            <w:tcBorders/>
            <w:vAlign w:val="center"/>
          </w:tcPr>
          <w:p>
            <w:pPr>
              <w:pStyle w:val="TableContents"/>
              <w:bidi w:val="0"/>
              <w:spacing w:before="0" w:after="0"/>
              <w:jc w:val="center"/>
              <w:rPr>
                <w:b/>
                <w:spacing w:val="-2"/>
                <w:sz w:val="20"/>
              </w:rPr>
            </w:pPr>
            <w:bookmarkStart w:id="7" w:name="xdx_90F_edei--EntityTaxIdentificationNum"/>
            <w:bookmarkEnd w:id="7"/>
            <w:r>
              <w:rPr>
                <w:b/>
                <w:spacing w:val="-2"/>
                <w:sz w:val="20"/>
              </w:rPr>
              <w:t>27-3794690</w:t>
            </w:r>
          </w:p>
          <w:p>
            <w:pPr>
              <w:pStyle w:val="TableContents"/>
              <w:bidi w:val="0"/>
              <w:spacing w:before="0" w:after="0"/>
              <w:jc w:val="center"/>
              <w:rPr>
                <w:sz w:val="20"/>
              </w:rPr>
            </w:pPr>
            <w:r>
              <w:rPr>
                <w:sz w:val="20"/>
              </w:rPr>
              <w:t>(IRS Employer Identification Number)</w:t>
            </w:r>
          </w:p>
        </w:tc>
      </w:tr>
    </w:tbl>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3950"/>
        <w:gridCol w:w="920"/>
      </w:tblGrid>
      <w:tr>
        <w:trPr/>
        <w:tc>
          <w:tcPr>
            <w:tcW w:w="3950" w:type="dxa"/>
            <w:tcBorders/>
            <w:vAlign w:val="center"/>
          </w:tcPr>
          <w:p>
            <w:pPr>
              <w:pStyle w:val="TableContents"/>
              <w:bidi w:val="0"/>
              <w:spacing w:before="0" w:after="0"/>
              <w:jc w:val="center"/>
              <w:rPr>
                <w:b/>
                <w:sz w:val="20"/>
              </w:rPr>
            </w:pPr>
            <w:r>
              <w:rPr>
                <w:b/>
                <w:sz w:val="20"/>
              </w:rPr>
              <w:t>1691 Michigan Avenue, Miami Beach, Florida</w:t>
            </w:r>
          </w:p>
          <w:p>
            <w:pPr>
              <w:pStyle w:val="TableContents"/>
              <w:bidi w:val="0"/>
              <w:spacing w:before="0" w:after="0"/>
              <w:jc w:val="center"/>
              <w:rPr>
                <w:sz w:val="20"/>
              </w:rPr>
            </w:pPr>
            <w:r>
              <w:rPr>
                <w:sz w:val="20"/>
              </w:rPr>
              <w:t>(Address of principal executive offices)</w:t>
            </w:r>
          </w:p>
        </w:tc>
        <w:tc>
          <w:tcPr>
            <w:tcW w:w="920" w:type="dxa"/>
            <w:tcBorders/>
            <w:vAlign w:val="center"/>
          </w:tcPr>
          <w:p>
            <w:pPr>
              <w:pStyle w:val="TableContents"/>
              <w:bidi w:val="0"/>
              <w:spacing w:before="0" w:after="0"/>
              <w:jc w:val="center"/>
              <w:rPr>
                <w:b/>
                <w:sz w:val="20"/>
              </w:rPr>
            </w:pPr>
            <w:r>
              <w:rPr>
                <w:b/>
                <w:sz w:val="20"/>
              </w:rPr>
              <w:t>33139</w:t>
            </w:r>
          </w:p>
          <w:p>
            <w:pPr>
              <w:pStyle w:val="TableContents"/>
              <w:bidi w:val="0"/>
              <w:spacing w:before="0" w:after="0"/>
              <w:jc w:val="center"/>
              <w:rPr>
                <w:sz w:val="20"/>
              </w:rPr>
            </w:pPr>
            <w:r>
              <w:rPr>
                <w:sz w:val="20"/>
              </w:rPr>
              <w:t>(Zip Code)</w:t>
            </w:r>
          </w:p>
        </w:tc>
      </w:tr>
    </w:tbl>
    <w:p>
      <w:pPr>
        <w:pStyle w:val="TextBody"/>
        <w:bidi w:val="0"/>
        <w:spacing w:before="0" w:after="0"/>
        <w:jc w:val="left"/>
        <w:rPr/>
      </w:pPr>
      <w:r>
        <w:rPr/>
        <w:t> </w:t>
      </w:r>
    </w:p>
    <w:p>
      <w:pPr>
        <w:pStyle w:val="TextBody"/>
        <w:bidi w:val="0"/>
        <w:spacing w:before="0" w:after="0"/>
        <w:jc w:val="center"/>
        <w:rPr>
          <w:b/>
          <w:spacing w:val="-2"/>
          <w:sz w:val="20"/>
        </w:rPr>
      </w:pPr>
      <w:bookmarkStart w:id="8" w:name="xdx_905_edei--LocalPhoneNumber_c20240112"/>
      <w:bookmarkEnd w:id="8"/>
      <w:r>
        <w:rPr>
          <w:b/>
          <w:spacing w:val="-2"/>
          <w:sz w:val="20"/>
        </w:rPr>
        <w:t>786-297-9500</w:t>
      </w:r>
    </w:p>
    <w:p>
      <w:pPr>
        <w:pStyle w:val="TextBody"/>
        <w:bidi w:val="0"/>
        <w:spacing w:before="0" w:after="0"/>
        <w:jc w:val="center"/>
        <w:rPr>
          <w:sz w:val="20"/>
        </w:rPr>
      </w:pPr>
      <w:r>
        <w:rPr>
          <w:sz w:val="20"/>
        </w:rPr>
        <w:t xml:space="preserve">(Registrant's telephone number, including area </w:t>
      </w:r>
      <w:r>
        <w:rPr>
          <w:spacing w:val="-2"/>
          <w:sz w:val="20"/>
        </w:rPr>
        <w:t>code)</w:t>
      </w:r>
    </w:p>
    <w:p>
      <w:pPr>
        <w:pStyle w:val="TextBody"/>
        <w:bidi w:val="0"/>
        <w:spacing w:before="0" w:after="0"/>
        <w:jc w:val="left"/>
        <w:rPr/>
      </w:pPr>
      <w:r>
        <w:rPr/>
        <w:t> </w:t>
      </w:r>
    </w:p>
    <w:p>
      <w:pPr>
        <w:pStyle w:val="TextBody"/>
        <w:bidi w:val="0"/>
        <w:spacing w:before="0" w:after="0"/>
        <w:jc w:val="center"/>
        <w:rPr>
          <w:b/>
          <w:sz w:val="20"/>
        </w:rPr>
      </w:pPr>
      <w:r>
        <w:rPr>
          <w:b/>
          <w:sz w:val="20"/>
        </w:rPr>
        <w:t xml:space="preserve">Not </w:t>
      </w:r>
      <w:r>
        <w:rPr>
          <w:b/>
          <w:spacing w:val="-2"/>
          <w:sz w:val="20"/>
        </w:rPr>
        <w:t>Applicable</w:t>
      </w:r>
    </w:p>
    <w:p>
      <w:pPr>
        <w:pStyle w:val="TextBody"/>
        <w:bidi w:val="0"/>
        <w:spacing w:before="0" w:after="0"/>
        <w:jc w:val="center"/>
        <w:rPr>
          <w:sz w:val="20"/>
        </w:rPr>
      </w:pPr>
      <w:r>
        <w:rPr>
          <w:sz w:val="20"/>
        </w:rPr>
        <w:t xml:space="preserve">(Former Name or Former Address, if changed since last </w:t>
      </w:r>
      <w:r>
        <w:rPr>
          <w:spacing w:val="-2"/>
          <w:sz w:val="20"/>
        </w:rPr>
        <w:t>report)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8758" w:type="dxa"/>
        <w:jc w:val="left"/>
        <w:tblInd w:w="0" w:type="dxa"/>
        <w:tblLayout w:type="fixed"/>
        <w:tblCellMar>
          <w:top w:w="0" w:type="dxa"/>
          <w:left w:w="0" w:type="dxa"/>
          <w:bottom w:w="0" w:type="dxa"/>
          <w:right w:w="0" w:type="dxa"/>
        </w:tblCellMar>
      </w:tblPr>
      <w:tblGrid>
        <w:gridCol w:w="245"/>
        <w:gridCol w:w="8513"/>
      </w:tblGrid>
      <w:tr>
        <w:trPr/>
        <w:tc>
          <w:tcPr>
            <w:tcW w:w="245" w:type="dxa"/>
            <w:tcBorders/>
            <w:vAlign w:val="center"/>
          </w:tcPr>
          <w:p>
            <w:pPr>
              <w:pStyle w:val="TableContents"/>
              <w:bidi w:val="0"/>
              <w:spacing w:before="0" w:after="283"/>
              <w:jc w:val="left"/>
              <w:rPr/>
            </w:pPr>
            <w:bookmarkStart w:id="9" w:name="xdx_909_edei--WrittenCommunications_c202"/>
            <w:bookmarkEnd w:id="9"/>
            <w:r>
              <w:rPr/>
              <w:t>☐</w:t>
            </w:r>
          </w:p>
        </w:tc>
        <w:tc>
          <w:tcPr>
            <w:tcW w:w="8513" w:type="dxa"/>
            <w:tcBorders/>
            <w:vAlign w:val="center"/>
          </w:tcPr>
          <w:p>
            <w:pPr>
              <w:pStyle w:val="TableContents"/>
              <w:bidi w:val="0"/>
              <w:spacing w:before="0" w:after="283"/>
              <w:jc w:val="left"/>
              <w:rPr/>
            </w:pPr>
            <w:r>
              <w:rPr/>
              <w:t xml:space="preserve">Written communications pursuant to Rule 425 under the Securities Act (17 CFR </w:t>
            </w:r>
            <w:r>
              <w:rPr>
                <w:spacing w:val="-2"/>
              </w:rPr>
              <w:t>230.425)</w:t>
            </w:r>
          </w:p>
        </w:tc>
      </w:tr>
    </w:tbl>
    <w:p>
      <w:pPr>
        <w:pStyle w:val="TextBody"/>
        <w:bidi w:val="0"/>
        <w:spacing w:before="0" w:after="283"/>
        <w:jc w:val="left"/>
        <w:rPr/>
      </w:pPr>
      <w:r>
        <w:rPr/>
        <w:t> </w:t>
      </w:r>
    </w:p>
    <w:tbl>
      <w:tblPr>
        <w:tblW w:w="8795" w:type="dxa"/>
        <w:jc w:val="left"/>
        <w:tblInd w:w="0" w:type="dxa"/>
        <w:tblLayout w:type="fixed"/>
        <w:tblCellMar>
          <w:top w:w="0" w:type="dxa"/>
          <w:left w:w="0" w:type="dxa"/>
          <w:bottom w:w="0" w:type="dxa"/>
          <w:right w:w="0" w:type="dxa"/>
        </w:tblCellMar>
      </w:tblPr>
      <w:tblGrid>
        <w:gridCol w:w="245"/>
        <w:gridCol w:w="8550"/>
      </w:tblGrid>
      <w:tr>
        <w:trPr/>
        <w:tc>
          <w:tcPr>
            <w:tcW w:w="245" w:type="dxa"/>
            <w:tcBorders/>
            <w:vAlign w:val="center"/>
          </w:tcPr>
          <w:p>
            <w:pPr>
              <w:pStyle w:val="TableContents"/>
              <w:bidi w:val="0"/>
              <w:spacing w:before="0" w:after="283"/>
              <w:jc w:val="left"/>
              <w:rPr/>
            </w:pPr>
            <w:bookmarkStart w:id="10" w:name="xdx_90A_edei--SolicitingMaterial_c202401"/>
            <w:bookmarkEnd w:id="10"/>
            <w:r>
              <w:rPr/>
              <w:t>☐</w:t>
            </w:r>
          </w:p>
        </w:tc>
        <w:tc>
          <w:tcPr>
            <w:tcW w:w="8550" w:type="dxa"/>
            <w:tcBorders/>
            <w:vAlign w:val="center"/>
          </w:tcPr>
          <w:p>
            <w:pPr>
              <w:pStyle w:val="TableContents"/>
              <w:bidi w:val="0"/>
              <w:spacing w:before="0" w:after="283"/>
              <w:jc w:val="left"/>
              <w:rPr/>
            </w:pPr>
            <w:r>
              <w:rPr/>
              <w:t>Soliciting material pursuant to Rule 14a-12 under the Exchange Act (17 CFR 240.14a-</w:t>
            </w:r>
            <w:r>
              <w:rPr>
                <w:spacing w:val="-5"/>
              </w:rPr>
              <w:t>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1" w:name="xdx_90B_edei--PreCommencementTenderOffer"/>
            <w:bookmarkEnd w:id="11"/>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w:t>
            </w:r>
            <w:r>
              <w:rPr>
                <w:spacing w:val="-2"/>
              </w:rPr>
              <w:t>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2" w:name="xdx_900_edei--PreCommencementIssuerTende"/>
            <w:bookmarkEnd w:id="12"/>
            <w:r>
              <w:rPr/>
              <w:t>☐</w:t>
            </w:r>
          </w:p>
        </w:tc>
        <w:tc>
          <w:tcPr>
            <w:tcW w:w="9960" w:type="dxa"/>
            <w:tcBorders/>
            <w:vAlign w:val="center"/>
          </w:tcPr>
          <w:p>
            <w:pPr>
              <w:pStyle w:val="TableContents"/>
              <w:bidi w:val="0"/>
              <w:spacing w:before="0" w:after="283"/>
              <w:jc w:val="both"/>
              <w:rPr/>
            </w:pPr>
            <w:r>
              <w:rPr/>
              <w:t xml:space="preserve">Pre-commencement communications pursuant to Rule 13e-4(c) under the Exchange Act (17 CFR 240.13e-4(c))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Securities registered pursuant to Section 12(b) of the Act:</w:t>
      </w:r>
    </w:p>
    <w:p>
      <w:pPr>
        <w:pStyle w:val="TextBody"/>
        <w:bidi w:val="0"/>
        <w:spacing w:before="0" w:after="0"/>
        <w:ind w:left="0" w:right="0" w:hanging="0"/>
        <w:jc w:val="left"/>
        <w:rPr/>
      </w:pPr>
      <w:r>
        <w:rPr/>
        <w:t> </w:t>
      </w:r>
    </w:p>
    <w:tbl>
      <w:tblPr>
        <w:tblW w:w="9002" w:type="dxa"/>
        <w:jc w:val="left"/>
        <w:tblInd w:w="0" w:type="dxa"/>
        <w:tblLayout w:type="fixed"/>
        <w:tblCellMar>
          <w:top w:w="0" w:type="dxa"/>
          <w:left w:w="0" w:type="dxa"/>
          <w:bottom w:w="0" w:type="dxa"/>
          <w:right w:w="0" w:type="dxa"/>
        </w:tblCellMar>
      </w:tblPr>
      <w:tblGrid>
        <w:gridCol w:w="3515"/>
        <w:gridCol w:w="1600"/>
        <w:gridCol w:w="3887"/>
      </w:tblGrid>
      <w:tr>
        <w:trPr/>
        <w:tc>
          <w:tcPr>
            <w:tcW w:w="3515" w:type="dxa"/>
            <w:tcBorders/>
            <w:vAlign w:val="center"/>
          </w:tcPr>
          <w:p>
            <w:pPr>
              <w:pStyle w:val="TableContents"/>
              <w:bidi w:val="0"/>
              <w:spacing w:before="0" w:after="283"/>
              <w:jc w:val="center"/>
              <w:rPr>
                <w:b/>
                <w:sz w:val="20"/>
              </w:rPr>
            </w:pPr>
            <w:r>
              <w:rPr>
                <w:b/>
                <w:sz w:val="20"/>
              </w:rPr>
              <w:t xml:space="preserve">Title of Each </w:t>
            </w:r>
            <w:r>
              <w:rPr>
                <w:b/>
                <w:spacing w:val="-2"/>
                <w:sz w:val="20"/>
              </w:rPr>
              <w:t>Class</w:t>
            </w:r>
          </w:p>
        </w:tc>
        <w:tc>
          <w:tcPr>
            <w:tcW w:w="1600" w:type="dxa"/>
            <w:tcBorders/>
            <w:vAlign w:val="center"/>
          </w:tcPr>
          <w:p>
            <w:pPr>
              <w:pStyle w:val="TableContents"/>
              <w:bidi w:val="0"/>
              <w:spacing w:before="0" w:after="283"/>
              <w:jc w:val="center"/>
              <w:rPr>
                <w:b/>
                <w:sz w:val="20"/>
              </w:rPr>
            </w:pPr>
            <w:r>
              <w:rPr>
                <w:b/>
                <w:sz w:val="20"/>
              </w:rPr>
              <w:t xml:space="preserve">Trading </w:t>
            </w:r>
            <w:r>
              <w:rPr>
                <w:b/>
                <w:spacing w:val="-2"/>
                <w:sz w:val="20"/>
              </w:rPr>
              <w:t>Symbol(s)</w:t>
            </w:r>
          </w:p>
        </w:tc>
        <w:tc>
          <w:tcPr>
            <w:tcW w:w="3887" w:type="dxa"/>
            <w:tcBorders/>
            <w:vAlign w:val="center"/>
          </w:tcPr>
          <w:p>
            <w:pPr>
              <w:pStyle w:val="TableContents"/>
              <w:bidi w:val="0"/>
              <w:spacing w:before="0" w:after="283"/>
              <w:jc w:val="center"/>
              <w:rPr>
                <w:b/>
                <w:sz w:val="20"/>
              </w:rPr>
            </w:pPr>
            <w:r>
              <w:rPr>
                <w:b/>
                <w:sz w:val="20"/>
              </w:rPr>
              <w:t xml:space="preserve">Name of Each Exchange on Which </w:t>
            </w:r>
            <w:r>
              <w:rPr>
                <w:b/>
                <w:spacing w:val="-2"/>
                <w:sz w:val="20"/>
              </w:rPr>
              <w:t>Registered</w:t>
            </w:r>
          </w:p>
        </w:tc>
      </w:tr>
      <w:tr>
        <w:trPr/>
        <w:tc>
          <w:tcPr>
            <w:tcW w:w="3515" w:type="dxa"/>
            <w:tcBorders/>
            <w:vAlign w:val="center"/>
          </w:tcPr>
          <w:p>
            <w:pPr>
              <w:pStyle w:val="TableContents"/>
              <w:bidi w:val="0"/>
              <w:spacing w:before="0" w:after="283"/>
              <w:jc w:val="center"/>
              <w:rPr>
                <w:sz w:val="20"/>
              </w:rPr>
            </w:pPr>
            <w:bookmarkStart w:id="13" w:name="xdx_904_edei--Security12bTitle_c20240112"/>
            <w:bookmarkEnd w:id="13"/>
            <w:r>
              <w:rPr>
                <w:sz w:val="20"/>
              </w:rPr>
              <w:t>Common Stock, par value $0.001 per share</w:t>
            </w:r>
          </w:p>
        </w:tc>
        <w:tc>
          <w:tcPr>
            <w:tcW w:w="1600" w:type="dxa"/>
            <w:tcBorders/>
            <w:vAlign w:val="center"/>
          </w:tcPr>
          <w:p>
            <w:pPr>
              <w:pStyle w:val="TableContents"/>
              <w:bidi w:val="0"/>
              <w:spacing w:before="0" w:after="283"/>
              <w:jc w:val="center"/>
              <w:rPr>
                <w:spacing w:val="-4"/>
                <w:sz w:val="20"/>
              </w:rPr>
            </w:pPr>
            <w:bookmarkStart w:id="14" w:name="xdx_90E_edei--TradingSymbol_c20240112__2"/>
            <w:bookmarkEnd w:id="14"/>
            <w:r>
              <w:rPr>
                <w:spacing w:val="-4"/>
                <w:sz w:val="20"/>
              </w:rPr>
              <w:t>PFLT</w:t>
            </w:r>
          </w:p>
        </w:tc>
        <w:tc>
          <w:tcPr>
            <w:tcW w:w="3887" w:type="dxa"/>
            <w:tcBorders/>
            <w:vAlign w:val="center"/>
          </w:tcPr>
          <w:p>
            <w:pPr>
              <w:pStyle w:val="TableContents"/>
              <w:bidi w:val="0"/>
              <w:spacing w:before="0" w:after="283"/>
              <w:jc w:val="center"/>
              <w:rPr>
                <w:sz w:val="20"/>
              </w:rPr>
            </w:pPr>
            <w:bookmarkStart w:id="15" w:name="xdx_906_edei--SecurityExchangeName_c2024"/>
            <w:bookmarkEnd w:id="15"/>
            <w:r>
              <w:rPr>
                <w:sz w:val="20"/>
              </w:rPr>
              <w:t>The New York Stock Exchange</w:t>
            </w:r>
          </w:p>
        </w:tc>
      </w:tr>
    </w:tbl>
    <w:p>
      <w:pPr>
        <w:pStyle w:val="TextBody"/>
        <w:bidi w:val="0"/>
        <w:spacing w:before="0" w:after="0"/>
        <w:jc w:val="left"/>
        <w:rPr/>
      </w:pPr>
      <w:r>
        <w:rPr/>
        <w:t> </w:t>
      </w:r>
    </w:p>
    <w:p>
      <w:pPr>
        <w:pStyle w:val="TextBody"/>
        <w:bidi w:val="0"/>
        <w:spacing w:before="0" w:after="0"/>
        <w:jc w:val="left"/>
        <w:rPr>
          <w:sz w:val="20"/>
        </w:rPr>
      </w:pPr>
      <w:r>
        <w:rPr>
          <w:sz w:val="20"/>
        </w:rPr>
        <w:t xml:space="preserve">Indicate by check mark whether the registrant is an emerging growth company as defined in Rule 405 of the Securities Act of 1933 (17 CFR §230.405) or Rule 12b-2 of the Securities Exchange Act of 1934 (17 CFR §240.12b-2). Emerging growth company </w:t>
      </w:r>
      <w:bookmarkStart w:id="16" w:name="xdx_90E_edei--EntityEmergingGrowthCompan"/>
      <w:bookmarkEnd w:id="16"/>
      <w:r>
        <w:rPr>
          <w:sz w:val="20"/>
        </w:rPr>
        <w:t>☐</w:t>
      </w:r>
    </w:p>
    <w:p>
      <w:pPr>
        <w:pStyle w:val="TextBody"/>
        <w:bidi w:val="0"/>
        <w:spacing w:before="0" w:after="0"/>
        <w:jc w:val="left"/>
        <w:rPr/>
      </w:pPr>
      <w:r>
        <w:rPr/>
        <w:t> </w:t>
      </w:r>
    </w:p>
    <w:p>
      <w:pPr>
        <w:pStyle w:val="TextBody"/>
        <w:bidi w:val="0"/>
        <w:spacing w:before="0" w:after="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b/>
          <w:sz w:val="20"/>
        </w:rPr>
      </w:pPr>
      <w:r>
        <w:rPr>
          <w:b/>
          <w:sz w:val="20"/>
        </w:rPr>
        <w:t xml:space="preserve">Item 2.02 Results of Operations and Financial </w:t>
      </w:r>
      <w:r>
        <w:rPr>
          <w:b/>
          <w:spacing w:val="-2"/>
          <w:sz w:val="20"/>
        </w:rPr>
        <w:t>Condition</w:t>
      </w:r>
    </w:p>
    <w:p>
      <w:pPr>
        <w:pStyle w:val="TextBody"/>
        <w:bidi w:val="0"/>
        <w:spacing w:before="0" w:after="0"/>
        <w:jc w:val="left"/>
        <w:rPr>
          <w:spacing w:val="-2"/>
        </w:rPr>
      </w:pPr>
      <w:r>
        <w:rPr>
          <w:spacing w:val="-2"/>
        </w:rPr>
        <w:t> </w:t>
      </w:r>
    </w:p>
    <w:p>
      <w:pPr>
        <w:pStyle w:val="TextBody"/>
        <w:bidi w:val="0"/>
        <w:spacing w:before="0" w:after="0"/>
        <w:jc w:val="left"/>
        <w:rPr>
          <w:b/>
          <w:i/>
          <w:sz w:val="20"/>
        </w:rPr>
      </w:pPr>
      <w:r>
        <w:rPr>
          <w:b/>
          <w:i/>
          <w:sz w:val="20"/>
        </w:rPr>
        <w:t xml:space="preserve">Preliminary Estimates of Results as of December 31, </w:t>
      </w:r>
      <w:r>
        <w:rPr>
          <w:b/>
          <w:i/>
          <w:spacing w:val="-4"/>
          <w:sz w:val="20"/>
        </w:rPr>
        <w:t>2023</w:t>
      </w:r>
    </w:p>
    <w:p>
      <w:pPr>
        <w:pStyle w:val="TextBody"/>
        <w:bidi w:val="0"/>
        <w:spacing w:before="0" w:after="0"/>
        <w:jc w:val="left"/>
        <w:rPr/>
      </w:pPr>
      <w:r>
        <w:rPr/>
        <w:t> </w:t>
      </w:r>
    </w:p>
    <w:p>
      <w:pPr>
        <w:pStyle w:val="TextBody"/>
        <w:bidi w:val="0"/>
        <w:spacing w:before="0" w:after="0"/>
        <w:jc w:val="left"/>
        <w:rPr>
          <w:sz w:val="20"/>
        </w:rPr>
      </w:pPr>
      <w:r>
        <w:rPr>
          <w:sz w:val="20"/>
        </w:rPr>
        <w:t>On January 12, 2024, PennantPark Floating Rate Capital Ltd. (the “Company”) announced certain preliminary estimates of its financial results for the quarter ended December 31, 2023.</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Net asset value per share was estimated to be between $11.17 and $11.22 per common share at December 31, 2023. This compares to a net asset value per common share of $11.13 at September 30, 2023.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Net investment income was estimated to be between $0.32 and $0.34 per common share for the quarter ended December 31, 2023. This compares to net investment income of $0.32 per common share for the quarter ended September 30, 2023.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Core net investment income</w:t>
            </w:r>
            <w:r>
              <w:rPr>
                <w:position w:val="8"/>
                <w:sz w:val="19"/>
              </w:rPr>
              <w:t>(1)</w:t>
            </w:r>
            <w:r>
              <w:rPr/>
              <w:t xml:space="preserve"> was estimated to be between $0.32 and $0.34 per common share for the quarter ended December 31, 2023. This compares to core net investment income of $0.32 per common share for the quarter ended September 30, 2023.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Two loans were removed from non-accrual status in the quarter resulting in one loan currently on non-accrual making up 0.1% of the portfolio at cost and 0.0% at fair market value for the quarter ended December 31, 2023.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As of December 31, 2023, at cost, the Company had approximately $260.9 million of borrowings outstanding under the Credit Facility, $185.0 million in aggregate principal amount of 4.25% Notes due 2026 outstanding and $228.0 million in aggregate principal amount of asset-backed debt consisting of various notes due in 2031.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At December 31, 2023, we had approximately $75.8 million in cash and approximately $125.1 million in unused capacity under our credit facility.</w:t>
            </w:r>
          </w:p>
        </w:tc>
      </w:tr>
    </w:tbl>
    <w:p>
      <w:pPr>
        <w:pStyle w:val="TextBody"/>
        <w:bidi w:val="0"/>
        <w:spacing w:before="0" w:after="283"/>
        <w:jc w:val="left"/>
        <w:rPr/>
      </w:pPr>
      <w:r>
        <w:rPr/>
        <w:t> </w:t>
      </w:r>
    </w:p>
    <w:p>
      <w:pPr>
        <w:pStyle w:val="TextBody"/>
        <w:bidi w:val="0"/>
        <w:spacing w:before="0" w:after="0"/>
        <w:jc w:val="left"/>
        <w:rPr>
          <w:sz w:val="20"/>
        </w:rPr>
      </w:pPr>
      <w:r>
        <w:rPr>
          <w:sz w:val="20"/>
        </w:rPr>
        <w:t>These estimates are subject to the completion of the Company’s financial closing procedures and are not a comprehensive statement of the Company’s financial position, results of operations or cash flows for the quarter ended December 31, 2023. Final results may differ materially from these estimates as a result of the completion of the Company’s financial closing procedures, as well as any subsequent events, including the discovery of information affecting fair values of the Company’s portfolio investments as of December 31, 2023, arising between the date hereof and the completion of the Company’s financial statements and the filing of the Company’s Form 10-Q for the quarter then ended.</w:t>
      </w:r>
    </w:p>
    <w:p>
      <w:pPr>
        <w:pStyle w:val="TextBody"/>
        <w:bidi w:val="0"/>
        <w:spacing w:before="0" w:after="0"/>
        <w:jc w:val="left"/>
        <w:rPr/>
      </w:pPr>
      <w:r>
        <w:rPr/>
        <w:t> </w:t>
      </w:r>
    </w:p>
    <w:p>
      <w:pPr>
        <w:pStyle w:val="TextBody"/>
        <w:bidi w:val="0"/>
        <w:spacing w:before="0" w:after="0"/>
        <w:jc w:val="left"/>
        <w:rPr>
          <w:sz w:val="20"/>
        </w:rPr>
      </w:pPr>
      <w:r>
        <w:rPr>
          <w:sz w:val="20"/>
        </w:rPr>
        <w:t xml:space="preserve">The preliminary financial estimates provided herein have been prepared by, and are the responsibility of the </w:t>
      </w:r>
      <w:r>
        <w:rPr>
          <w:spacing w:val="-2"/>
          <w:sz w:val="20"/>
        </w:rPr>
        <w:t>Company’s management. RSM US LLP, the Company’s independent registered public accounting firm, has not audited, reviewed, compiled, or performed any procedures with respect to the accompanying preliminary financial data. Accordingly, RSM US LLP does not express an opinion or any other form of assurance with respect thereto.</w:t>
      </w:r>
    </w:p>
    <w:p>
      <w:pPr>
        <w:pStyle w:val="TextBody"/>
        <w:bidi w:val="0"/>
        <w:spacing w:before="0" w:after="0"/>
        <w:jc w:val="left"/>
        <w:rPr/>
      </w:pPr>
      <w:r>
        <w:rPr/>
        <w:t> </w:t>
      </w:r>
    </w:p>
    <w:p>
      <w:pPr>
        <w:pStyle w:val="TextBody"/>
        <w:bidi w:val="0"/>
        <w:spacing w:before="0" w:after="0"/>
        <w:jc w:val="left"/>
        <w:rPr>
          <w:b/>
          <w:sz w:val="20"/>
        </w:rPr>
      </w:pPr>
      <w:r>
        <w:rPr>
          <w:b/>
          <w:sz w:val="20"/>
        </w:rPr>
        <w:t xml:space="preserve">(1) Supplemental information regarding core net investment </w:t>
      </w:r>
      <w:r>
        <w:rPr>
          <w:b/>
          <w:spacing w:val="-2"/>
          <w:sz w:val="20"/>
        </w:rPr>
        <w:t>income</w:t>
      </w:r>
    </w:p>
    <w:p>
      <w:pPr>
        <w:pStyle w:val="TextBody"/>
        <w:bidi w:val="0"/>
        <w:spacing w:before="0" w:after="0"/>
        <w:jc w:val="left"/>
        <w:rPr/>
      </w:pPr>
      <w:r>
        <w:rPr/>
        <w:t> </w:t>
      </w:r>
    </w:p>
    <w:p>
      <w:pPr>
        <w:pStyle w:val="TextBody"/>
        <w:bidi w:val="0"/>
        <w:spacing w:before="0" w:after="0"/>
        <w:jc w:val="left"/>
        <w:rPr>
          <w:i/>
          <w:sz w:val="20"/>
        </w:rPr>
      </w:pPr>
      <w:r>
        <w:rPr>
          <w:i/>
          <w:sz w:val="20"/>
        </w:rPr>
        <w:t>Core net investment income (“Core NII”) is a non-GAAP financial measure. The Company believes that Core NII provides useful information to investors and management because it reflects the Company's financial performance excluding one-time or non- recurring investment income and expenses. The presentation of this additional information is not meant to be considered in isolation or as a substitute for financial results prepared in accordance with GAAP. For the quarter ended December 31, 2023, there were no one-time or non-recurring investment income or expenses.</w:t>
      </w:r>
    </w:p>
    <w:p>
      <w:pPr>
        <w:pStyle w:val="TextBody"/>
        <w:bidi w:val="0"/>
        <w:spacing w:before="0" w:after="0"/>
        <w:jc w:val="left"/>
        <w:rPr/>
      </w:pPr>
      <w:r>
        <w:rPr/>
        <w:t> </w:t>
      </w:r>
    </w:p>
    <w:p>
      <w:pPr>
        <w:pStyle w:val="TextBody"/>
        <w:bidi w:val="0"/>
        <w:spacing w:before="0" w:after="0"/>
        <w:jc w:val="left"/>
        <w:rPr>
          <w:b/>
          <w:sz w:val="20"/>
        </w:rPr>
      </w:pPr>
      <w:r>
        <w:rPr>
          <w:b/>
          <w:sz w:val="20"/>
        </w:rPr>
        <w:t xml:space="preserve">Forward-Looking </w:t>
      </w:r>
      <w:r>
        <w:rPr>
          <w:b/>
          <w:spacing w:val="-2"/>
          <w:sz w:val="20"/>
        </w:rPr>
        <w:t>Statements</w:t>
      </w:r>
    </w:p>
    <w:p>
      <w:pPr>
        <w:pStyle w:val="TextBody"/>
        <w:bidi w:val="0"/>
        <w:spacing w:before="0" w:after="0"/>
        <w:jc w:val="left"/>
        <w:rPr/>
      </w:pPr>
      <w:r>
        <w:rPr/>
        <w:t> </w:t>
      </w:r>
    </w:p>
    <w:p>
      <w:pPr>
        <w:pStyle w:val="TextBody"/>
        <w:bidi w:val="0"/>
        <w:spacing w:before="0" w:after="0"/>
        <w:jc w:val="left"/>
        <w:rPr>
          <w:sz w:val="20"/>
        </w:rPr>
      </w:pPr>
      <w:r>
        <w:rPr>
          <w:sz w:val="20"/>
        </w:rPr>
        <w:t>This report on Form 8-K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0"/>
        <w:jc w:val="left"/>
        <w:rPr/>
      </w:pPr>
      <w:r>
        <w:rPr/>
        <w:t> </w:t>
      </w:r>
    </w:p>
    <w:p>
      <w:pPr>
        <w:pStyle w:val="TextBody"/>
        <w:bidi w:val="0"/>
        <w:spacing w:before="0" w:after="0"/>
        <w:jc w:val="left"/>
        <w:rPr>
          <w:b/>
          <w:sz w:val="20"/>
        </w:rPr>
      </w:pPr>
      <w:r>
        <w:rPr>
          <w:b/>
          <w:sz w:val="20"/>
        </w:rPr>
        <w:t xml:space="preserve">Item 8.01 Other </w:t>
      </w:r>
      <w:r>
        <w:rPr>
          <w:b/>
          <w:spacing w:val="-2"/>
          <w:sz w:val="20"/>
        </w:rPr>
        <w:t>Information</w:t>
      </w:r>
    </w:p>
    <w:p>
      <w:pPr>
        <w:pStyle w:val="TextBody"/>
        <w:bidi w:val="0"/>
        <w:spacing w:before="0" w:after="0"/>
        <w:jc w:val="left"/>
        <w:rPr/>
      </w:pPr>
      <w:r>
        <w:rPr/>
        <w:t> </w:t>
      </w:r>
    </w:p>
    <w:p>
      <w:pPr>
        <w:pStyle w:val="TextBody"/>
        <w:bidi w:val="0"/>
        <w:spacing w:before="0" w:after="0"/>
        <w:jc w:val="left"/>
        <w:rPr>
          <w:sz w:val="20"/>
        </w:rPr>
      </w:pPr>
      <w:r>
        <w:rPr>
          <w:sz w:val="20"/>
        </w:rPr>
        <w:t xml:space="preserve">The information set forth under Item 2.02 above is incorporated herein by </w:t>
      </w:r>
      <w:r>
        <w:rPr>
          <w:spacing w:val="-2"/>
          <w:sz w:val="20"/>
        </w:rPr>
        <w:t>reference.</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center"/>
        <w:rPr>
          <w:b/>
          <w:spacing w:val="-2"/>
          <w:sz w:val="20"/>
        </w:rPr>
      </w:pPr>
      <w:r>
        <w:rPr>
          <w:b/>
          <w:spacing w:val="-2"/>
          <w:sz w:val="20"/>
        </w:rPr>
        <w:t>SIGNATURE</w:t>
      </w:r>
    </w:p>
    <w:p>
      <w:pPr>
        <w:pStyle w:val="TextBody"/>
        <w:bidi w:val="0"/>
        <w:spacing w:before="0" w:after="0"/>
        <w:ind w:left="0" w:right="0" w:firstLine="301"/>
        <w:jc w:val="left"/>
        <w:rPr/>
      </w:pPr>
      <w:r>
        <w:rPr/>
        <w:t> </w:t>
      </w:r>
    </w:p>
    <w:p>
      <w:pPr>
        <w:pStyle w:val="TextBody"/>
        <w:bidi w:val="0"/>
        <w:spacing w:before="0" w:after="0"/>
        <w:ind w:left="0" w:right="0" w:firstLine="301"/>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p>
      <w:pPr>
        <w:pStyle w:val="TextBody"/>
        <w:bidi w:val="0"/>
        <w:spacing w:before="0" w:after="0"/>
        <w:jc w:val="left"/>
        <w:rPr/>
      </w:pPr>
      <w:r>
        <w:rPr/>
        <w:t> </w:t>
      </w:r>
    </w:p>
    <w:tbl>
      <w:tblPr>
        <w:tblW w:w="6571" w:type="dxa"/>
        <w:jc w:val="left"/>
        <w:tblInd w:w="0" w:type="dxa"/>
        <w:tblLayout w:type="fixed"/>
        <w:tblCellMar>
          <w:top w:w="0" w:type="dxa"/>
          <w:left w:w="0" w:type="dxa"/>
          <w:bottom w:w="0" w:type="dxa"/>
          <w:right w:w="0" w:type="dxa"/>
        </w:tblCellMar>
      </w:tblPr>
      <w:tblGrid>
        <w:gridCol w:w="2003"/>
        <w:gridCol w:w="4568"/>
      </w:tblGrid>
      <w:tr>
        <w:trPr/>
        <w:tc>
          <w:tcPr>
            <w:tcW w:w="2003" w:type="dxa"/>
            <w:tcBorders/>
            <w:vAlign w:val="center"/>
          </w:tcPr>
          <w:p>
            <w:pPr>
              <w:pStyle w:val="TableContents"/>
              <w:bidi w:val="0"/>
              <w:spacing w:before="0" w:after="283"/>
              <w:jc w:val="left"/>
              <w:rPr>
                <w:sz w:val="20"/>
              </w:rPr>
            </w:pPr>
            <w:r>
              <w:rPr>
                <w:sz w:val="20"/>
              </w:rPr>
              <w:t xml:space="preserve">Dated: January 12, </w:t>
            </w:r>
            <w:r>
              <w:rPr>
                <w:spacing w:val="-4"/>
                <w:sz w:val="20"/>
              </w:rPr>
              <w:t>2024</w:t>
            </w:r>
          </w:p>
        </w:tc>
        <w:tc>
          <w:tcPr>
            <w:tcW w:w="4568" w:type="dxa"/>
            <w:tcBorders/>
            <w:vAlign w:val="center"/>
          </w:tcPr>
          <w:p>
            <w:pPr>
              <w:pStyle w:val="TableContents"/>
              <w:bidi w:val="0"/>
              <w:spacing w:before="0" w:after="0"/>
              <w:jc w:val="left"/>
              <w:rPr>
                <w:b/>
                <w:sz w:val="20"/>
              </w:rPr>
            </w:pPr>
            <w:r>
              <w:rPr>
                <w:b/>
                <w:sz w:val="20"/>
              </w:rPr>
              <w:t xml:space="preserve">PENNANTPARK FLOATING RATE CAPITAL </w:t>
            </w:r>
            <w:r>
              <w:rPr>
                <w:b/>
                <w:spacing w:val="-4"/>
                <w:sz w:val="20"/>
              </w:rPr>
              <w:t>LTD.</w:t>
            </w:r>
          </w:p>
          <w:p>
            <w:pPr>
              <w:pStyle w:val="TableContents"/>
              <w:bidi w:val="0"/>
              <w:spacing w:before="0" w:after="0"/>
              <w:jc w:val="left"/>
              <w:rPr/>
            </w:pPr>
            <w:r>
              <w:rPr/>
              <w:t> </w:t>
            </w:r>
          </w:p>
          <w:p>
            <w:pPr>
              <w:pStyle w:val="TableContents"/>
              <w:bidi w:val="0"/>
              <w:spacing w:before="0" w:after="0"/>
              <w:jc w:val="left"/>
              <w:rPr>
                <w:sz w:val="20"/>
              </w:rPr>
            </w:pPr>
            <w:r>
              <w:rPr>
                <w:sz w:val="20"/>
              </w:rPr>
              <w:t xml:space="preserve">By: </w:t>
            </w:r>
            <w:r>
              <w:rPr>
                <w:sz w:val="20"/>
                <w:u w:val="single"/>
              </w:rPr>
              <w:t xml:space="preserve">/s/ Richard T. Allorto, </w:t>
            </w:r>
            <w:r>
              <w:rPr>
                <w:spacing w:val="-5"/>
                <w:sz w:val="20"/>
                <w:u w:val="single"/>
              </w:rPr>
              <w:t>Jr.                            </w:t>
            </w:r>
          </w:p>
          <w:p>
            <w:pPr>
              <w:pStyle w:val="TableContents"/>
              <w:bidi w:val="0"/>
              <w:spacing w:before="0" w:after="0"/>
              <w:ind w:left="400" w:right="0" w:hanging="0"/>
              <w:jc w:val="left"/>
              <w:rPr>
                <w:sz w:val="20"/>
              </w:rPr>
            </w:pPr>
            <w:r>
              <w:rPr>
                <w:sz w:val="20"/>
              </w:rPr>
              <w:t xml:space="preserve">Richard T. Allorto, </w:t>
            </w:r>
            <w:r>
              <w:rPr>
                <w:spacing w:val="-5"/>
                <w:sz w:val="20"/>
              </w:rPr>
              <w:t>Jr.</w:t>
            </w:r>
          </w:p>
          <w:p>
            <w:pPr>
              <w:pStyle w:val="TableContents"/>
              <w:bidi w:val="0"/>
              <w:spacing w:before="0" w:after="0"/>
              <w:ind w:left="400" w:right="0" w:hanging="0"/>
              <w:jc w:val="left"/>
              <w:rPr>
                <w:i/>
                <w:sz w:val="20"/>
              </w:rPr>
            </w:pPr>
            <w:r>
              <w:rPr>
                <w:i/>
                <w:sz w:val="20"/>
              </w:rPr>
              <w:t xml:space="preserve">Chief Financial Officer &amp; </w:t>
            </w:r>
            <w:r>
              <w:rPr>
                <w:i/>
                <w:spacing w:val="-2"/>
                <w:sz w:val="20"/>
              </w:rPr>
              <w:t>Treasurer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1089</Words>
  <Characters>5992</Characters>
  <CharactersWithSpaces>7091</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