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Date of Report: July 01, 2013</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00"/>
        <w:spacing w:after="0" w:line="250" w:lineRule="auto"/>
        <w:rPr>
          <w:sz w:val="20"/>
          <w:szCs w:val="20"/>
          <w:color w:val="auto"/>
        </w:rPr>
      </w:pPr>
      <w:r>
        <w:rPr>
          <w:rFonts w:ascii="Arial" w:cs="Arial" w:eastAsia="Arial" w:hAnsi="Arial"/>
          <w:sz w:val="22"/>
          <w:szCs w:val="22"/>
          <w:color w:val="auto"/>
        </w:rPr>
        <w:t>On July 1, 2013,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154"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(d) Exhibits</w:t>
      </w:r>
    </w:p>
    <w:p>
      <w:pPr>
        <w:spacing w:after="0" w:line="15"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July 01,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00" w:type="dxa"/>
            <w:vAlign w:val="bottom"/>
          </w:tcPr>
          <w:p>
            <w:pPr>
              <w:spacing w:after="0"/>
              <w:rPr>
                <w:sz w:val="20"/>
                <w:szCs w:val="20"/>
                <w:color w:val="auto"/>
              </w:rPr>
            </w:pPr>
            <w:r>
              <w:rPr>
                <w:rFonts w:ascii="Arial" w:cs="Arial" w:eastAsia="Arial" w:hAnsi="Arial"/>
                <w:sz w:val="22"/>
                <w:szCs w:val="22"/>
                <w:color w:val="auto"/>
              </w:rPr>
              <w:t>Dated: July 01, 2013</w:t>
            </w:r>
          </w:p>
        </w:tc>
        <w:tc>
          <w:tcPr>
            <w:tcW w:w="6920" w:type="dxa"/>
            <w:vAlign w:val="bottom"/>
            <w:gridSpan w:val="3"/>
          </w:tcPr>
          <w:p>
            <w:pPr>
              <w:ind w:left="192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00" w:type="dxa"/>
            <w:vAlign w:val="bottom"/>
          </w:tcPr>
          <w:p>
            <w:pPr>
              <w:spacing w:after="0"/>
              <w:rPr>
                <w:sz w:val="24"/>
                <w:szCs w:val="24"/>
                <w:color w:val="auto"/>
              </w:rPr>
            </w:pPr>
          </w:p>
        </w:tc>
        <w:tc>
          <w:tcPr>
            <w:tcW w:w="6920" w:type="dxa"/>
            <w:vAlign w:val="bottom"/>
            <w:gridSpan w:val="3"/>
          </w:tcPr>
          <w:p>
            <w:pPr>
              <w:ind w:left="1920"/>
              <w:spacing w:after="0"/>
              <w:rPr>
                <w:sz w:val="20"/>
                <w:szCs w:val="20"/>
                <w:color w:val="auto"/>
              </w:rPr>
            </w:pPr>
            <w:r>
              <w:rPr>
                <w:rFonts w:ascii="Arial" w:cs="Arial" w:eastAsia="Arial" w:hAnsi="Arial"/>
                <w:sz w:val="22"/>
                <w:szCs w:val="22"/>
                <w:color w:val="auto"/>
              </w:rPr>
              <w:t>By: /s/ Aviv Efrat</w:t>
            </w:r>
          </w:p>
        </w:tc>
      </w:tr>
      <w:tr>
        <w:trPr>
          <w:trHeight w:val="20"/>
        </w:trPr>
        <w:tc>
          <w:tcPr>
            <w:tcW w:w="3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00" w:type="dxa"/>
            <w:vAlign w:val="bottom"/>
          </w:tcPr>
          <w:p>
            <w:pPr>
              <w:spacing w:after="0"/>
              <w:rPr>
                <w:sz w:val="21"/>
                <w:szCs w:val="21"/>
                <w:color w:val="auto"/>
              </w:rPr>
            </w:pPr>
          </w:p>
        </w:tc>
        <w:tc>
          <w:tcPr>
            <w:tcW w:w="6920" w:type="dxa"/>
            <w:vAlign w:val="bottom"/>
            <w:gridSpan w:val="3"/>
          </w:tcPr>
          <w:p>
            <w:pPr>
              <w:ind w:left="216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00" w:type="dxa"/>
            <w:vAlign w:val="bottom"/>
          </w:tcPr>
          <w:p>
            <w:pPr>
              <w:spacing w:after="0"/>
              <w:rPr>
                <w:sz w:val="23"/>
                <w:szCs w:val="23"/>
                <w:color w:val="auto"/>
              </w:rPr>
            </w:pPr>
          </w:p>
        </w:tc>
        <w:tc>
          <w:tcPr>
            <w:tcW w:w="6920" w:type="dxa"/>
            <w:vAlign w:val="bottom"/>
            <w:gridSpan w:val="3"/>
          </w:tcPr>
          <w:p>
            <w:pPr>
              <w:ind w:left="224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90"/>
              </w:rPr>
              <w:t>July 01, 2013</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$0.0875 per Share</w:t>
      </w:r>
    </w:p>
    <w:p>
      <w:pPr>
        <w:spacing w:after="0" w:line="213"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color w:val="auto"/>
        </w:rPr>
        <w:t>NEW YORK, NY -- (Marketwired - July 01, 2013) - PennantPark Floating Rate Capital Ltd. (the "Company") (NASDAQ: PFLT) declares monthly distribution for July 2013 of $0.0875 per share, payable on August 1, 2013 to stockholders of record as of July 19, 2013.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2020-05-05T12:04:34Z</dcterms:created>
  <dcterms:modified xsi:type="dcterms:W3CDTF">2020-05-05T12:04:34Z</dcterms:modified>
</cp:coreProperties>
</file>