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02, 2017</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80"/>
        <w:spacing w:after="0" w:line="250" w:lineRule="auto"/>
        <w:rPr>
          <w:sz w:val="20"/>
          <w:szCs w:val="20"/>
          <w:color w:val="auto"/>
        </w:rPr>
      </w:pPr>
      <w:r>
        <w:rPr>
          <w:rFonts w:ascii="Arial" w:cs="Arial" w:eastAsia="Arial" w:hAnsi="Arial"/>
          <w:sz w:val="22"/>
          <w:szCs w:val="22"/>
          <w:color w:val="auto"/>
        </w:rPr>
        <w:t>On February 2, 2017,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February 02,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02, 2017</w:t>
            </w:r>
          </w:p>
        </w:tc>
        <w:tc>
          <w:tcPr>
            <w:tcW w:w="6700" w:type="dxa"/>
            <w:vAlign w:val="bottom"/>
            <w:gridSpan w:val="3"/>
          </w:tcPr>
          <w:p>
            <w:pPr>
              <w:ind w:left="17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20" w:type="dxa"/>
            <w:vAlign w:val="bottom"/>
          </w:tcPr>
          <w:p>
            <w:pPr>
              <w:spacing w:after="0"/>
              <w:rPr>
                <w:sz w:val="24"/>
                <w:szCs w:val="24"/>
                <w:color w:val="auto"/>
              </w:rPr>
            </w:pPr>
          </w:p>
        </w:tc>
        <w:tc>
          <w:tcPr>
            <w:tcW w:w="670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70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70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February 02, 2017</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February 02, 2017) - PennantPark Floating Rate Capital Ltd. (the "Company") (NASDAQ: PFLT) declares monthly distribution for February 2017 of $0.095 per share, payable on March 1, 2017 to stockholders of record as of February 17,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2020-05-05T12:05:17Z</dcterms:created>
  <dcterms:modified xsi:type="dcterms:W3CDTF">2020-05-05T12:05:17Z</dcterms:modified>
</cp:coreProperties>
</file>