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sz w:val="20"/>
        </w:rPr>
      </w:pPr>
      <w:bookmarkStart w:id="0" w:name="d91163d497ad.htm"/>
      <w:bookmarkStart w:id="1" w:name="ksd91163d497ad"/>
      <w:bookmarkEnd w:id="0"/>
      <w:bookmarkEnd w:id="1"/>
      <w:r>
        <w:rPr>
          <w:rFonts w:ascii="Times New Roman" w:hAnsi="Times New Roman"/>
          <w:sz w:val="20"/>
        </w:rPr>
        <w:t xml:space="preserve">Filed Pursuant to Rule 497(a) </w:t>
      </w:r>
    </w:p>
    <w:p>
      <w:pPr>
        <w:pStyle w:val="TextBody"/>
        <w:bidi w:val="0"/>
        <w:spacing w:before="0" w:after="0"/>
        <w:jc w:val="right"/>
        <w:rPr>
          <w:rFonts w:ascii="Times New Roman" w:hAnsi="Times New Roman"/>
          <w:sz w:val="20"/>
        </w:rPr>
      </w:pPr>
      <w:r>
        <w:rPr>
          <w:rFonts w:ascii="Times New Roman" w:hAnsi="Times New Roman"/>
          <w:sz w:val="20"/>
        </w:rPr>
        <w:t xml:space="preserve">Registration No. 333-279726 </w:t>
      </w:r>
    </w:p>
    <w:p>
      <w:pPr>
        <w:pStyle w:val="TextBody"/>
        <w:bidi w:val="0"/>
        <w:spacing w:before="0" w:after="0"/>
        <w:jc w:val="right"/>
        <w:rPr>
          <w:rFonts w:ascii="Times New Roman" w:hAnsi="Times New Roman"/>
          <w:sz w:val="20"/>
        </w:rPr>
      </w:pPr>
      <w:r>
        <w:rPr>
          <w:rFonts w:ascii="Times New Roman" w:hAnsi="Times New Roman"/>
          <w:sz w:val="20"/>
        </w:rPr>
        <w:t xml:space="preserve">Rule 482ad </w:t>
      </w:r>
    </w:p>
    <w:p>
      <w:pPr>
        <w:pStyle w:val="TextBody"/>
        <w:bidi w:val="0"/>
        <w:spacing w:before="0" w:after="0"/>
        <w:jc w:val="left"/>
        <w:rPr/>
      </w:pPr>
      <w:r>
        <w:rPr/>
        <w:t> </w:t>
      </w:r>
    </w:p>
    <w:p>
      <w:pPr>
        <w:pStyle w:val="TextBody"/>
        <w:bidi w:val="0"/>
        <w:spacing w:before="0" w:after="0"/>
        <w:jc w:val="left"/>
        <w:rPr/>
      </w:pPr>
      <w:r>
        <w:rPr/>
        <w:drawing>
          <wp:inline distT="0" distB="0" distL="0" distR="0">
            <wp:extent cx="2028825"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00075"/>
                    </a:xfrm>
                    <a:prstGeom prst="rect">
                      <a:avLst/>
                    </a:prstGeom>
                  </pic:spPr>
                </pic:pic>
              </a:graphicData>
            </a:graphic>
          </wp:inline>
        </w:drawing>
      </w:r>
      <w:r>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PennantPark Floating Rate Capital Ltd. Prices Public Offering of $200 Million 6.75% Notes </w:t>
      </w:r>
    </w:p>
    <w:p>
      <w:pPr>
        <w:pStyle w:val="TextBody"/>
        <w:bidi w:val="0"/>
        <w:spacing w:before="120" w:after="0"/>
        <w:jc w:val="left"/>
        <w:rPr>
          <w:rFonts w:ascii="Times New Roman" w:hAnsi="Times New Roman"/>
          <w:sz w:val="20"/>
        </w:rPr>
      </w:pPr>
      <w:r>
        <w:rPr>
          <w:rFonts w:ascii="Times New Roman" w:hAnsi="Times New Roman"/>
          <w:sz w:val="20"/>
        </w:rPr>
        <w:t>MIAMI – February 25, 2026 — PennantPark Floating Rate Capital Ltd. (the “</w:t>
      </w:r>
      <w:r>
        <w:rPr>
          <w:rFonts w:ascii="Times New Roman" w:hAnsi="Times New Roman"/>
          <w:i/>
          <w:sz w:val="20"/>
        </w:rPr>
        <w:t>Company</w:t>
      </w:r>
      <w:r>
        <w:rPr>
          <w:rFonts w:ascii="Times New Roman" w:hAnsi="Times New Roman"/>
          <w:sz w:val="20"/>
        </w:rPr>
        <w:t>”) (NYSE: PFLT) today announced that it has priced an underwritten public offering of $200 million aggregate principal amount of its 6.75% notes due 2029 (the “</w:t>
      </w:r>
      <w:r>
        <w:rPr>
          <w:rFonts w:ascii="Times New Roman" w:hAnsi="Times New Roman"/>
          <w:i/>
          <w:sz w:val="20"/>
        </w:rPr>
        <w:t>Notes</w:t>
      </w:r>
      <w:r>
        <w:rPr>
          <w:rFonts w:ascii="Times New Roman" w:hAnsi="Times New Roman"/>
          <w:sz w:val="20"/>
        </w:rPr>
        <w:t xml:space="preserve">”). The Notes will mature on March 4, 2029 and may be redeemed in whole or in part at the Company’s option at any time at par plus a “make-whole” premium, if applicable, provided that the Notes may be redeemed at par three months prior to their maturity. The offering is expected to close on or about March 4, 2026, subject to the satisfaction of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use the net proceeds from the offering to repay our outstanding obligations under its revolving credit facility, to invest in new or existing portfolio companies and for general corporate or strategic purposes. </w:t>
      </w:r>
    </w:p>
    <w:p>
      <w:pPr>
        <w:pStyle w:val="TextBody"/>
        <w:bidi w:val="0"/>
        <w:spacing w:before="240" w:after="0"/>
        <w:jc w:val="left"/>
        <w:rPr>
          <w:rFonts w:ascii="Times New Roman" w:hAnsi="Times New Roman"/>
          <w:sz w:val="20"/>
        </w:rPr>
      </w:pPr>
      <w:r>
        <w:rPr>
          <w:rFonts w:ascii="Times New Roman" w:hAnsi="Times New Roman"/>
          <w:sz w:val="20"/>
        </w:rPr>
        <w:t xml:space="preserve">Raymond James &amp; Associates, Inc., Keefe, Bruyette &amp; Woods, </w:t>
      </w:r>
      <w:r>
        <w:rPr>
          <w:rFonts w:ascii="Times New Roman" w:hAnsi="Times New Roman"/>
          <w:i/>
          <w:sz w:val="20"/>
        </w:rPr>
        <w:t>A Stifel Company</w:t>
      </w:r>
      <w:r>
        <w:rPr>
          <w:rFonts w:ascii="Times New Roman" w:hAnsi="Times New Roman"/>
          <w:sz w:val="20"/>
        </w:rPr>
        <w:t xml:space="preserve">, Citizens JMP Securities, LLC and Truist Securities, Inc. are acting as joint book-running managers for this offering. ING Financial Markets LLC, Oppenheimer &amp; Co. Inc. and Regions Securities LLC are acting as co-managers for this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Other Information </w:t>
      </w:r>
    </w:p>
    <w:p>
      <w:pPr>
        <w:pStyle w:val="TextBody"/>
        <w:bidi w:val="0"/>
        <w:spacing w:before="120" w:after="0"/>
        <w:jc w:val="left"/>
        <w:rPr>
          <w:rFonts w:ascii="Times New Roman" w:hAnsi="Times New Roman"/>
          <w:sz w:val="20"/>
        </w:rPr>
      </w:pPr>
      <w:r>
        <w:rPr>
          <w:rFonts w:ascii="Times New Roman" w:hAnsi="Times New Roman"/>
          <w:b/>
          <w:sz w:val="20"/>
        </w:rPr>
        <w:t>Investors are advised to carefully consider the investment objectives, risks, charges and expenses of the Company before investing. The pricing term sheet dated February 25, 2026, the preliminary prospectus supplement dated February 25, 2026 and the accompanying prospectus dated July 17, 2024, each of which have been filed with the Securities and Exchange Commission (the “</w:t>
      </w:r>
      <w:r>
        <w:rPr>
          <w:rFonts w:ascii="Times New Roman" w:hAnsi="Times New Roman"/>
          <w:b/>
          <w:i/>
          <w:sz w:val="20"/>
        </w:rPr>
        <w:t>SEC</w:t>
      </w:r>
      <w:r>
        <w:rPr>
          <w:rFonts w:ascii="Times New Roman" w:hAnsi="Times New Roman"/>
          <w:sz w:val="20"/>
        </w:rPr>
        <w:t>”</w:t>
      </w:r>
      <w:r>
        <w:rPr>
          <w:rFonts w:ascii="Times New Roman" w:hAnsi="Times New Roman"/>
          <w:b/>
          <w:sz w:val="20"/>
        </w:rPr>
        <w:t xml:space="preserve">), contain this and other information about the Company and should be read carefully before investing. </w:t>
      </w:r>
    </w:p>
    <w:p>
      <w:pPr>
        <w:pStyle w:val="TextBody"/>
        <w:bidi w:val="0"/>
        <w:spacing w:before="240" w:after="0"/>
        <w:jc w:val="left"/>
        <w:rPr>
          <w:rFonts w:ascii="Times New Roman" w:hAnsi="Times New Roman"/>
          <w:b/>
          <w:sz w:val="20"/>
        </w:rPr>
      </w:pPr>
      <w:r>
        <w:rPr>
          <w:rFonts w:ascii="Times New Roman" w:hAnsi="Times New Roman"/>
          <w:b/>
          <w:sz w:val="20"/>
        </w:rPr>
        <w:t xml:space="preserve">The pricing term sheet, the preliminary prospectus supplement, the accompanying prospectus and this press release are not offers to sell any securities of the Company and are not soliciting an offer to buy such securities in any state or jurisdiction where such offer and sale is not permitted. </w:t>
      </w:r>
    </w:p>
    <w:p>
      <w:pPr>
        <w:pStyle w:val="TextBody"/>
        <w:bidi w:val="0"/>
        <w:spacing w:before="240" w:after="0"/>
        <w:jc w:val="left"/>
        <w:rPr>
          <w:rFonts w:ascii="Times New Roman" w:hAnsi="Times New Roman"/>
          <w:sz w:val="20"/>
        </w:rPr>
      </w:pPr>
      <w:r>
        <w:rPr>
          <w:rFonts w:ascii="Times New Roman" w:hAnsi="Times New Roman"/>
          <w:b/>
          <w:sz w:val="20"/>
        </w:rPr>
        <w:t>The Company’s shelf registration statement is on file and has been declared effective by the SEC. The offering may be made only by means of a preliminary prospectus supplement and an accompanying prospectus. Before you invest, you should read the prospectus in that registration statement, the preliminary prospectus supplement and other documents the Company has filed with the SEC for more complete information about the Company and this offering. You may get these documents for free by visiting EDGAR on the SEC website at</w:t>
      </w:r>
      <w:r>
        <w:rPr>
          <w:rFonts w:ascii="Times New Roman" w:hAnsi="Times New Roman"/>
          <w:sz w:val="20"/>
        </w:rPr>
        <w:t> </w:t>
      </w:r>
      <w:r>
        <w:rPr>
          <w:rFonts w:ascii="Times New Roman" w:hAnsi="Times New Roman"/>
          <w:b/>
          <w:i/>
          <w:sz w:val="20"/>
        </w:rPr>
        <w:t>www.sec.gov</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you may obtain copies of the preliminary prospectus supplement and the accompanying prospectus from Raymond James &amp; Associates, Inc., 880 Carillon Parkway, St. Petersburg, Florida 33716, email: prospectus@raymondjames.com, tel: 800-248-8863. You are advised to obtain a copy of the prospectus supplement and accompanying prospectus and to carefully review the information contained or incorporated by reference therein before making any investment decision. </w:t>
      </w:r>
    </w:p>
    <w:p>
      <w:pPr>
        <w:pStyle w:val="TextBody"/>
        <w:bidi w:val="0"/>
        <w:spacing w:before="360" w:after="0"/>
        <w:jc w:val="left"/>
        <w:rPr>
          <w:rFonts w:ascii="Times New Roman" w:hAnsi="Times New Roman"/>
          <w:sz w:val="20"/>
        </w:rPr>
      </w:pPr>
      <w:r>
        <w:rPr>
          <w:rFonts w:ascii="Times New Roman" w:hAnsi="Times New Roman"/>
          <w:sz w:val="20"/>
        </w:rPr>
        <w:t xml:space="preserve">ABOUT PENNANTPARK FLOATING RATE CAPITAL LTD. </w:t>
      </w:r>
    </w:p>
    <w:p>
      <w:pPr>
        <w:pStyle w:val="TextBody"/>
        <w:bidi w:val="0"/>
        <w:spacing w:before="120" w:after="0"/>
        <w:jc w:val="left"/>
        <w:rPr>
          <w:rFonts w:ascii="Times New Roman" w:hAnsi="Times New Roman"/>
          <w:sz w:val="20"/>
        </w:rPr>
      </w:pPr>
      <w:r>
        <w:rPr>
          <w:rFonts w:ascii="Times New Roman" w:hAnsi="Times New Roman"/>
          <w:sz w:val="20"/>
        </w:rPr>
        <w:t xml:space="preserve">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ABOUT PENNANTPARK INVESTMENT ADVISERS, LLC </w:t>
      </w:r>
    </w:p>
    <w:p>
      <w:pPr>
        <w:pStyle w:val="TextBody"/>
        <w:bidi w:val="0"/>
        <w:spacing w:before="120" w:after="0"/>
        <w:jc w:val="left"/>
        <w:rPr>
          <w:rFonts w:ascii="Times New Roman" w:hAnsi="Times New Roman"/>
          <w:sz w:val="20"/>
        </w:rPr>
      </w:pPr>
      <w:r>
        <w:rPr>
          <w:rFonts w:ascii="Times New Roman" w:hAnsi="Times New Roman"/>
          <w:sz w:val="20"/>
        </w:rPr>
        <w:t xml:space="preserve">PennantPark Investment Advisers, LLC, a leading middle-market credit platform, and its affiliates, manage approximately $10 billion of investable capital, including potential leverage. Since its inception in 2007, PennantPark Investment Advisers, LLC has provided investors access to middle-market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Amsterdam, and Zurich. </w:t>
      </w:r>
    </w:p>
    <w:p>
      <w:pPr>
        <w:pStyle w:val="TextBody"/>
        <w:bidi w:val="0"/>
        <w:spacing w:before="360" w:after="0"/>
        <w:jc w:val="left"/>
        <w:rPr>
          <w:rFonts w:ascii="Times New Roman" w:hAnsi="Times New Roman"/>
          <w:sz w:val="20"/>
        </w:rPr>
      </w:pPr>
      <w:r>
        <w:rPr>
          <w:rFonts w:ascii="Times New Roman" w:hAnsi="Times New Roman"/>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PennantPark Floating Rate Capital Ltd. undertakes no duty to update any forward-looking statement made herein. You should not place undue influence on such forward-looking statements as such statements speak only as of the date on which they are made. </w:t>
      </w:r>
    </w:p>
    <w:p>
      <w:pPr>
        <w:pStyle w:val="TextBody"/>
        <w:bidi w:val="0"/>
        <w:spacing w:before="240" w:after="0"/>
        <w:jc w:val="left"/>
        <w:rPr>
          <w:rFonts w:ascii="Times New Roman" w:hAnsi="Times New Roman"/>
          <w:sz w:val="20"/>
        </w:rPr>
      </w:pPr>
      <w:r>
        <w:rPr>
          <w:rFonts w:ascii="Times New Roman" w:hAnsi="Times New Roman"/>
          <w:sz w:val="20"/>
        </w:rPr>
        <w:t xml:space="preserve">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 </w:t>
      </w:r>
    </w:p>
    <w:p>
      <w:pPr>
        <w:pStyle w:val="TextBody"/>
        <w:bidi w:val="0"/>
        <w:spacing w:before="360" w:after="0"/>
        <w:jc w:val="left"/>
        <w:rPr>
          <w:rFonts w:ascii="Times New Roman" w:hAnsi="Times New Roman"/>
          <w:b/>
          <w:sz w:val="20"/>
        </w:rPr>
      </w:pPr>
      <w:r>
        <w:rPr>
          <w:rFonts w:ascii="Times New Roman" w:hAnsi="Times New Roman"/>
          <w:b/>
          <w:sz w:val="20"/>
        </w:rPr>
        <w:t xml:space="preserve">CONTACT: </w:t>
      </w:r>
    </w:p>
    <w:p>
      <w:pPr>
        <w:pStyle w:val="TextBody"/>
        <w:bidi w:val="0"/>
        <w:spacing w:before="120" w:after="0"/>
        <w:jc w:val="left"/>
        <w:rPr>
          <w:rFonts w:ascii="Times New Roman" w:hAnsi="Times New Roman"/>
          <w:sz w:val="20"/>
        </w:rPr>
      </w:pPr>
      <w:r>
        <w:rPr>
          <w:rFonts w:ascii="Times New Roman" w:hAnsi="Times New Roman"/>
          <w:sz w:val="20"/>
        </w:rPr>
        <w:t xml:space="preserve">Richard T. Allorto, Jr. </w:t>
      </w:r>
    </w:p>
    <w:p>
      <w:pPr>
        <w:pStyle w:val="TextBody"/>
        <w:bidi w:val="0"/>
        <w:spacing w:before="0" w:after="0"/>
        <w:jc w:val="left"/>
        <w:rPr>
          <w:rFonts w:ascii="Times New Roman" w:hAnsi="Times New Roman"/>
          <w:sz w:val="20"/>
        </w:rPr>
      </w:pPr>
      <w:r>
        <w:rPr>
          <w:rFonts w:ascii="Times New Roman" w:hAnsi="Times New Roman"/>
          <w:sz w:val="20"/>
        </w:rPr>
        <w:t xml:space="preserve">PennantPark Floating Rate Capital Ltd. </w:t>
      </w:r>
    </w:p>
    <w:p>
      <w:pPr>
        <w:pStyle w:val="TextBody"/>
        <w:bidi w:val="0"/>
        <w:spacing w:before="0" w:after="0"/>
        <w:jc w:val="left"/>
        <w:rPr>
          <w:rFonts w:ascii="Times New Roman" w:hAnsi="Times New Roman"/>
          <w:sz w:val="20"/>
        </w:rPr>
      </w:pPr>
      <w:r>
        <w:rPr>
          <w:rFonts w:ascii="Times New Roman" w:hAnsi="Times New Roman"/>
          <w:sz w:val="20"/>
        </w:rPr>
        <w:t xml:space="preserve">(212) 905-1000 </w:t>
      </w:r>
    </w:p>
    <w:p>
      <w:pPr>
        <w:pStyle w:val="TextBody"/>
        <w:bidi w:val="0"/>
        <w:spacing w:before="0" w:after="0"/>
        <w:jc w:val="left"/>
        <w:rPr/>
      </w:pPr>
      <w:r>
        <w:rPr/>
        <w:t> </w:t>
      </w:r>
    </w:p>
    <w:p>
      <w:pPr>
        <w:pStyle w:val="TextBody"/>
        <w:bidi w:val="0"/>
        <w:spacing w:before="0" w:after="0"/>
        <w:jc w:val="left"/>
        <w:rPr/>
      </w:pPr>
      <w:r>
        <w:rPr/>
        <w:drawing>
          <wp:inline distT="0" distB="0" distL="0" distR="0">
            <wp:extent cx="1200150"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00150" cy="3429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Source: PennantPark Floating Rate Capital Ltd.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893</Words>
  <Characters>5152</Characters>
  <CharactersWithSpaces>6051</CharactersWithSpaces>
  <Paragraphs>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497AD</dc:title>
</cp:coreProperties>
</file>