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300"/>
        <w:spacing w:after="0"/>
        <w:tabs>
          <w:tab w:leader="none" w:pos="7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27-3794690</w:t>
            </w:r>
          </w:p>
        </w:tc>
      </w:tr>
      <w:tr>
        <w:trPr>
          <w:trHeight w:val="148"/>
        </w:trPr>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40" w:type="dxa"/>
            <w:vAlign w:val="bottom"/>
          </w:tcPr>
          <w:p>
            <w:pPr>
              <w:jc w:val="center"/>
              <w:ind w:left="390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40" w:type="dxa"/>
            <w:vAlign w:val="bottom"/>
          </w:tcPr>
          <w:p>
            <w:pPr>
              <w:jc w:val="center"/>
              <w:ind w:left="390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w:t>
            </w:r>
          </w:p>
        </w:tc>
        <w:tc>
          <w:tcPr>
            <w:tcW w:w="5040" w:type="dxa"/>
            <w:vAlign w:val="bottom"/>
          </w:tcPr>
          <w:p>
            <w:pPr>
              <w:spacing w:after="0"/>
              <w:rPr>
                <w:sz w:val="24"/>
                <w:szCs w:val="24"/>
                <w:color w:val="auto"/>
              </w:rPr>
            </w:pPr>
          </w:p>
        </w:tc>
      </w:tr>
      <w:tr>
        <w:trPr>
          <w:trHeight w:val="231"/>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15</w:t>
            </w:r>
            <w:r>
              <w:rPr>
                <w:rFonts w:ascii="Arial" w:cs="Arial" w:eastAsia="Arial" w:hAnsi="Arial"/>
                <w:sz w:val="11"/>
                <w:szCs w:val="11"/>
                <w:b w:val="1"/>
                <w:bCs w:val="1"/>
                <w:color w:val="auto"/>
                <w:w w:val="90"/>
              </w:rPr>
              <w:t>th</w:t>
            </w:r>
            <w:r>
              <w:rPr>
                <w:rFonts w:ascii="Arial" w:cs="Arial" w:eastAsia="Arial" w:hAnsi="Arial"/>
                <w:sz w:val="18"/>
                <w:szCs w:val="18"/>
                <w:b w:val="1"/>
                <w:bCs w:val="1"/>
                <w:color w:val="auto"/>
                <w:w w:val="90"/>
              </w:rPr>
              <w:t xml:space="preserve"> Floor, New York, N.Y.</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10022</w:t>
            </w:r>
          </w:p>
        </w:tc>
      </w:tr>
      <w:tr>
        <w:trPr>
          <w:trHeight w:val="174"/>
        </w:trPr>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40" w:type="dxa"/>
            <w:vAlign w:val="bottom"/>
          </w:tcPr>
          <w:p>
            <w:pPr>
              <w:jc w:val="center"/>
              <w:ind w:left="390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280" w:type="dxa"/>
            <w:vAlign w:val="bottom"/>
          </w:tcPr>
          <w:p>
            <w:pPr>
              <w:spacing w:after="0"/>
              <w:rPr>
                <w:sz w:val="24"/>
                <w:szCs w:val="24"/>
                <w:color w:val="auto"/>
              </w:rPr>
            </w:pPr>
          </w:p>
        </w:tc>
        <w:tc>
          <w:tcPr>
            <w:tcW w:w="5040" w:type="dxa"/>
            <w:vAlign w:val="bottom"/>
          </w:tcPr>
          <w:p>
            <w:pPr>
              <w:jc w:val="right"/>
              <w:ind w:right="278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280" w:type="dxa"/>
            <w:vAlign w:val="bottom"/>
          </w:tcPr>
          <w:p>
            <w:pPr>
              <w:spacing w:after="0"/>
              <w:rPr>
                <w:sz w:val="15"/>
                <w:szCs w:val="15"/>
                <w:color w:val="auto"/>
              </w:rPr>
            </w:pPr>
          </w:p>
        </w:tc>
        <w:tc>
          <w:tcPr>
            <w:tcW w:w="5040" w:type="dxa"/>
            <w:vAlign w:val="bottom"/>
          </w:tcPr>
          <w:p>
            <w:pPr>
              <w:jc w:val="center"/>
              <w:ind w:right="170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80"/>
            <w:col w:w="160" w:space="180"/>
            <w:col w:w="1960"/>
          </w:cols>
          <w:pgMar w:left="320" w:top="230" w:right="3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February 7, 2013 was 6,850,667.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DECEMBER 31, 2012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940" w:type="dxa"/>
            <w:vAlign w:val="bottom"/>
          </w:tcPr>
          <w:p>
            <w:pPr>
              <w:ind w:left="3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200" w:type="dxa"/>
            <w:vAlign w:val="bottom"/>
          </w:tcPr>
          <w:p>
            <w:pPr>
              <w:spacing w:after="0"/>
              <w:rPr>
                <w:sz w:val="19"/>
                <w:szCs w:val="19"/>
                <w:color w:val="auto"/>
              </w:rPr>
            </w:pP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200" w:type="dxa"/>
            <w:vAlign w:val="bottom"/>
          </w:tcPr>
          <w:p>
            <w:pPr>
              <w:spacing w:after="0"/>
              <w:rPr>
                <w:sz w:val="24"/>
                <w:szCs w:val="24"/>
                <w:color w:val="auto"/>
              </w:rPr>
            </w:pP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December 31, 2012 (unaudited) and September 30, 2012</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months ended December 31, 2012 and 2011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940" w:type="dxa"/>
            <w:vAlign w:val="bottom"/>
          </w:tcPr>
          <w:p>
            <w:pPr>
              <w:ind w:left="440"/>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Consolidated Statements of Changes in Net Assets for the three months ended December 31, 2012 and 2011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three months ended December 31, 2012 and 2011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December 31, 2012 (unaudited) and September 30, 2012</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Consolidated Financial Statements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940" w:type="dxa"/>
            <w:vAlign w:val="bottom"/>
          </w:tcPr>
          <w:p>
            <w:pPr>
              <w:ind w:left="4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Report of Independent Registered Public Accounting Firm</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3. Quantitative And Qualitative Disclosures About Market Risk</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4. Controls and Procedures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940" w:type="dxa"/>
            <w:vAlign w:val="bottom"/>
          </w:tcPr>
          <w:p>
            <w:pPr>
              <w:ind w:left="400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PART II. OTHER INFORMATION</w:t>
              </w:r>
            </w:hyperlink>
          </w:p>
        </w:tc>
        <w:tc>
          <w:tcPr>
            <w:tcW w:w="1200" w:type="dxa"/>
            <w:vAlign w:val="bottom"/>
          </w:tcPr>
          <w:p>
            <w:pPr>
              <w:spacing w:after="0"/>
              <w:rPr>
                <w:sz w:val="24"/>
                <w:szCs w:val="24"/>
                <w:color w:val="auto"/>
              </w:rPr>
            </w:pP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1. Legal Proceedings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1A. Risk Factors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2. Unregistered Sales of Equity Securities and Use of Proceeds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3. Defaults Upon Senior Securities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4. Mine Safety Disclosures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5. Other Information</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6. Exhibits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94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SIGNATURES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filing this Form 10-Q, or the Report, in compliance with Rule 13a-13 promulgated by the Securities and Exchange Commission, or the SEC. In this Report, except where the context suggests otherwise, the terms “Company,” “we,” “our” or “us” refer to PennantPark Floating Rate Capital Ltd. and its consolidated subsidiary; “PennantPark Investment Advisers” or “Investment Adviser” refers to PennantPark Investment Advisers, LLC; “PennantPark Investment Administration” or “Administrator” refers to PennantPark Investment Administration, LLC; “1940 Act” refers to the Investment Company Act of 1940, as amended; “RIC” refers to a regulated investment company under the Code; “BDC” refers to a business development company under the 1940 Act; “Code” refers to the Internal Revenue Code of 1986, as amended. References to our portfolio, our investments, our senior secured revolving credit facility, or the Credit Facility, and our business include investments we make through our wholly owned consolidated subsidiary PennantPark Floating Rate Funding I, LLC, or Funding I.</w:t>
      </w:r>
    </w:p>
    <w:p>
      <w:pPr>
        <w:sectPr>
          <w:pgSz w:w="11900" w:h="16838" w:orient="portrait"/>
          <w:cols w:equalWidth="0" w:num="1">
            <w:col w:w="11060"/>
          </w:cols>
          <w:pgMar w:left="320" w:top="459"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Consolidated Financial Statements</w:t>
      </w:r>
    </w:p>
    <w:p>
      <w:pPr>
        <w:spacing w:after="0" w:line="17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Arial" w:cs="Arial" w:eastAsia="Arial" w:hAnsi="Arial"/>
                <w:sz w:val="13"/>
                <w:szCs w:val="13"/>
                <w:b w:val="1"/>
                <w:bCs w:val="1"/>
                <w:color w:val="auto"/>
              </w:rPr>
              <w:t>December 31, 2012</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September 30, 2012</w:t>
            </w:r>
          </w:p>
        </w:tc>
        <w:tc>
          <w:tcPr>
            <w:tcW w:w="0" w:type="dxa"/>
            <w:vAlign w:val="bottom"/>
          </w:tcPr>
          <w:p>
            <w:pPr>
              <w:spacing w:after="0"/>
              <w:rPr>
                <w:sz w:val="1"/>
                <w:szCs w:val="1"/>
                <w:color w:val="auto"/>
              </w:rPr>
            </w:pPr>
          </w:p>
        </w:tc>
      </w:tr>
      <w:tr>
        <w:trPr>
          <w:trHeight w:val="161"/>
        </w:trPr>
        <w:tc>
          <w:tcPr>
            <w:tcW w:w="7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(cost—$180,898,304 and $171,578,009, respectively)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180,795,910</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171,834,400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3,987,645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3,845,803</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1,089,228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1,388,867</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4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986,278</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256,196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311,313</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186,128,979</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178,366,661</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Distributions payable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565,180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548,053</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3,357,500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Credit Facility payable (cost—$85,775,000 and $75,500,000, respectively) (See Notes 5 and 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85,775,000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75,122,500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161,550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458,986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424,747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fees payable (See Note 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713,068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506,314</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585,177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447,120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Accrued sales load charges (See Note 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2,055,000</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90,315,211</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82,622,784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tcPr>
          <w:p>
            <w:pPr>
              <w:ind w:left="220"/>
              <w:spacing w:after="0"/>
              <w:rPr>
                <w:sz w:val="20"/>
                <w:szCs w:val="20"/>
                <w:color w:val="auto"/>
              </w:rPr>
            </w:pPr>
            <w:r>
              <w:rPr>
                <w:rFonts w:ascii="Arial" w:cs="Arial" w:eastAsia="Arial" w:hAnsi="Arial"/>
                <w:sz w:val="18"/>
                <w:szCs w:val="18"/>
                <w:color w:val="auto"/>
              </w:rPr>
              <w:t>Par value $0.001 per share and 100,000,000 shares authorized.</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6,851</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7"/>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95,192,222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95,192,222</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14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(949,667)</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(1,313,000)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1,666,756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1,223,913</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14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(102,394)</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256,391</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377,500</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net assets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95,813,768</w:t>
            </w:r>
          </w:p>
        </w:tc>
        <w:tc>
          <w:tcPr>
            <w:tcW w:w="5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95,743,877</w:t>
            </w:r>
          </w:p>
        </w:tc>
        <w:tc>
          <w:tcPr>
            <w:tcW w:w="0" w:type="dxa"/>
            <w:vAlign w:val="bottom"/>
          </w:tcPr>
          <w:p>
            <w:pPr>
              <w:spacing w:after="0"/>
              <w:rPr>
                <w:sz w:val="1"/>
                <w:szCs w:val="1"/>
                <w:color w:val="auto"/>
              </w:rPr>
            </w:pPr>
          </w:p>
        </w:tc>
      </w:tr>
      <w:tr>
        <w:trPr>
          <w:trHeight w:val="28"/>
        </w:trPr>
        <w:tc>
          <w:tcPr>
            <w:tcW w:w="7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186,128,979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178,366,661</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13.99</w:t>
            </w:r>
          </w:p>
        </w:tc>
        <w:tc>
          <w:tcPr>
            <w:tcW w:w="5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80"/>
          </w:cols>
          <w:pgMar w:left="320" w:top="459" w:right="8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4"/>
              </w:rPr>
              <w:t>Three Months Ended December 31,</w:t>
            </w:r>
          </w:p>
        </w:tc>
        <w:tc>
          <w:tcPr>
            <w:tcW w:w="0" w:type="dxa"/>
            <w:vAlign w:val="bottom"/>
          </w:tcPr>
          <w:p>
            <w:pPr>
              <w:spacing w:after="0"/>
              <w:rPr>
                <w:sz w:val="1"/>
                <w:szCs w:val="1"/>
                <w:color w:val="auto"/>
              </w:rPr>
            </w:pPr>
          </w:p>
        </w:tc>
      </w:tr>
      <w:tr>
        <w:trPr>
          <w:trHeight w:val="142"/>
        </w:trPr>
        <w:tc>
          <w:tcPr>
            <w:tcW w:w="8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3,638,227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2,467,028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ind w:left="4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324,446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3,962,673</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2,467,028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fees (See Note 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458,986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Performance-based incentive fees (See Note 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417,029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expenses on the Credit Facility (See Note 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471,068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155,145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367,500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b w:val="1"/>
                <w:bCs w:val="1"/>
                <w:color w:val="auto"/>
              </w:rPr>
              <w:t>Expenses before excise tax expense</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1,869,728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1,092,129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20" w:type="dxa"/>
            <w:vAlign w:val="bottom"/>
          </w:tcPr>
          <w:p>
            <w:pPr>
              <w:ind w:left="44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1,903,800</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1,092,129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2,058,873</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1,374,899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20" w:type="dxa"/>
            <w:vAlign w:val="bottom"/>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442,843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(358,785)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1,069,091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440"/>
              <w:spacing w:after="0"/>
              <w:rPr>
                <w:sz w:val="20"/>
                <w:szCs w:val="20"/>
                <w:color w:val="auto"/>
              </w:rPr>
            </w:pPr>
            <w:r>
              <w:rPr>
                <w:rFonts w:ascii="Arial" w:cs="Arial" w:eastAsia="Arial" w:hAnsi="Arial"/>
                <w:sz w:val="18"/>
                <w:szCs w:val="18"/>
                <w:color w:val="auto"/>
              </w:rPr>
              <w:t>Credit Facility (appreciation) depreciation (See Note 5)</w:t>
            </w: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(377,500)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(depreciation) appreciation on investments and Credit Facility</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(736,285)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1,420,091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Net realized and unrealized (loss) gain from investments and Credit Facility</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(293,442)</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1,730,266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1,765,431</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3,105,165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6)</w:t>
            </w: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9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3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w w:val="93"/>
              </w:rPr>
              <w:t>Three Months Ended December 31,</w:t>
            </w:r>
          </w:p>
        </w:tc>
      </w:tr>
      <w:tr>
        <w:trPr>
          <w:trHeight w:val="142"/>
        </w:trPr>
        <w:tc>
          <w:tcPr>
            <w:tcW w:w="716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3"/>
                <w:szCs w:val="13"/>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2,058,873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1,374,899</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 on investments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442,843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310,175</w:t>
            </w: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(358,785)</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1,069,091</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(377,500)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351,000</w:t>
            </w:r>
          </w:p>
        </w:tc>
      </w:tr>
      <w:tr>
        <w:trPr>
          <w:trHeight w:val="230"/>
        </w:trPr>
        <w:tc>
          <w:tcPr>
            <w:tcW w:w="716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1,765,431</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3,105,165</w:t>
            </w:r>
          </w:p>
        </w:tc>
        <w:tc>
          <w:tcPr>
            <w:tcW w:w="100" w:type="dxa"/>
            <w:vAlign w:val="bottom"/>
          </w:tcPr>
          <w:p>
            <w:pPr>
              <w:spacing w:after="0"/>
              <w:rPr>
                <w:sz w:val="20"/>
                <w:szCs w:val="20"/>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(1,695,540)</w:t>
            </w:r>
          </w:p>
        </w:tc>
        <w:tc>
          <w:tcPr>
            <w:tcW w:w="1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(1,438,640)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69,891</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1,666,525</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period</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95,743,877</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92,072,105</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95,813,768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93,738,630</w:t>
            </w:r>
          </w:p>
        </w:tc>
      </w:tr>
      <w:tr>
        <w:trPr>
          <w:trHeight w:val="20"/>
        </w:trPr>
        <w:tc>
          <w:tcPr>
            <w:tcW w:w="7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in excess of net investment income, end of period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(949,667)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(1,456,269)</w:t>
            </w:r>
          </w:p>
        </w:tc>
      </w:tr>
      <w:tr>
        <w:trPr>
          <w:trHeight w:val="20"/>
        </w:trPr>
        <w:tc>
          <w:tcPr>
            <w:tcW w:w="7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w w:val="97"/>
              </w:rPr>
              <w:t>Three Months Ended December 31,</w:t>
            </w:r>
          </w:p>
        </w:tc>
        <w:tc>
          <w:tcPr>
            <w:tcW w:w="0" w:type="dxa"/>
            <w:vAlign w:val="bottom"/>
          </w:tcPr>
          <w:p>
            <w:pPr>
              <w:spacing w:after="0"/>
              <w:rPr>
                <w:sz w:val="1"/>
                <w:szCs w:val="1"/>
                <w:color w:val="auto"/>
              </w:rPr>
            </w:pPr>
          </w:p>
        </w:tc>
      </w:tr>
      <w:tr>
        <w:trPr>
          <w:trHeight w:val="142"/>
        </w:trPr>
        <w:tc>
          <w:tcPr>
            <w:tcW w:w="8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2012</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1,765,431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3,105,165</w:t>
            </w:r>
          </w:p>
        </w:tc>
        <w:tc>
          <w:tcPr>
            <w:tcW w:w="0" w:type="dxa"/>
            <w:vAlign w:val="bottom"/>
          </w:tcPr>
          <w:p>
            <w:pPr>
              <w:spacing w:after="0"/>
              <w:rPr>
                <w:sz w:val="1"/>
                <w:szCs w:val="1"/>
                <w:color w:val="auto"/>
              </w:rPr>
            </w:pPr>
          </w:p>
        </w:tc>
      </w:tr>
      <w:tr>
        <w:trPr>
          <w:trHeight w:val="208"/>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Adjustments to reconcile net increase in net assets resulting from operations to net cash used for operating</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358,785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(1,069,091)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377,500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(351,000)</w:t>
            </w:r>
          </w:p>
        </w:tc>
        <w:tc>
          <w:tcPr>
            <w:tcW w:w="0" w:type="dxa"/>
            <w:vAlign w:val="bottom"/>
          </w:tcPr>
          <w:p>
            <w:pPr>
              <w:spacing w:after="0"/>
              <w:rPr>
                <w:sz w:val="1"/>
                <w:szCs w:val="1"/>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(442,843)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(310,175)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(236,560)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(145,347)</w:t>
            </w:r>
          </w:p>
        </w:tc>
        <w:tc>
          <w:tcPr>
            <w:tcW w:w="0" w:type="dxa"/>
            <w:vAlign w:val="bottom"/>
          </w:tcPr>
          <w:p>
            <w:pPr>
              <w:spacing w:after="0"/>
              <w:rPr>
                <w:sz w:val="1"/>
                <w:szCs w:val="1"/>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(38,911,333)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(39,340,500)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(65,478)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(33,280)</w:t>
            </w:r>
          </w:p>
        </w:tc>
        <w:tc>
          <w:tcPr>
            <w:tcW w:w="0" w:type="dxa"/>
            <w:vAlign w:val="bottom"/>
          </w:tcPr>
          <w:p>
            <w:pPr>
              <w:spacing w:after="0"/>
              <w:rPr>
                <w:sz w:val="1"/>
                <w:szCs w:val="1"/>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30,335,919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22,294,290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299,639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(98,571)</w:t>
            </w:r>
          </w:p>
        </w:tc>
        <w:tc>
          <w:tcPr>
            <w:tcW w:w="0" w:type="dxa"/>
            <w:vAlign w:val="bottom"/>
          </w:tcPr>
          <w:p>
            <w:pPr>
              <w:spacing w:after="0"/>
              <w:rPr>
                <w:sz w:val="1"/>
                <w:szCs w:val="1"/>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Decrease (increase) in receivables for investments sold</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986,278</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(5,455,000)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55,117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65,396</w:t>
            </w:r>
          </w:p>
        </w:tc>
        <w:tc>
          <w:tcPr>
            <w:tcW w:w="0" w:type="dxa"/>
            <w:vAlign w:val="bottom"/>
          </w:tcPr>
          <w:p>
            <w:pPr>
              <w:spacing w:after="0"/>
              <w:rPr>
                <w:sz w:val="1"/>
                <w:szCs w:val="1"/>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(3,357,500)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9,613,630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payable on Credit Facility</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128,735</w:t>
            </w:r>
          </w:p>
        </w:tc>
        <w:tc>
          <w:tcPr>
            <w:tcW w:w="0" w:type="dxa"/>
            <w:vAlign w:val="bottom"/>
          </w:tcPr>
          <w:p>
            <w:pPr>
              <w:spacing w:after="0"/>
              <w:rPr>
                <w:sz w:val="1"/>
                <w:szCs w:val="1"/>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34,239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49,413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206,754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Increase in accrued expenses</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138,057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208,817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(8,454,745)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(11,337,518)</w:t>
            </w:r>
          </w:p>
        </w:tc>
        <w:tc>
          <w:tcPr>
            <w:tcW w:w="0" w:type="dxa"/>
            <w:vAlign w:val="bottom"/>
          </w:tcPr>
          <w:p>
            <w:pPr>
              <w:spacing w:after="0"/>
              <w:rPr>
                <w:sz w:val="1"/>
                <w:szCs w:val="1"/>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Distributions paid to stockholders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(1,678,413)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(1,438,640)</w:t>
            </w:r>
          </w:p>
        </w:tc>
        <w:tc>
          <w:tcPr>
            <w:tcW w:w="0" w:type="dxa"/>
            <w:vAlign w:val="bottom"/>
          </w:tcPr>
          <w:p>
            <w:pPr>
              <w:spacing w:after="0"/>
              <w:rPr>
                <w:sz w:val="1"/>
                <w:szCs w:val="1"/>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Notes 5 and 9)</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30,950,000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23,000,000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Notes 5 and 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(20,675,000)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(12,550,000)</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8,596,587</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9,011,360</w:t>
            </w:r>
          </w:p>
        </w:tc>
        <w:tc>
          <w:tcPr>
            <w:tcW w:w="0" w:type="dxa"/>
            <w:vAlign w:val="bottom"/>
          </w:tcPr>
          <w:p>
            <w:pPr>
              <w:spacing w:after="0"/>
              <w:rPr>
                <w:sz w:val="1"/>
                <w:szCs w:val="1"/>
                <w:color w:val="auto"/>
              </w:rPr>
            </w:pPr>
          </w:p>
        </w:tc>
      </w:tr>
      <w:tr>
        <w:trPr>
          <w:trHeight w:val="28"/>
        </w:trPr>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141,842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(2,326,158)</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3,845,803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3,987,645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4,661,292</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469,788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150,246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Maturity</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Current</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Above</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Par /</w:t>
            </w: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55"/>
        </w:trPr>
        <w:tc>
          <w:tcPr>
            <w:tcW w:w="41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9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Coupon</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Shares</w:t>
            </w:r>
          </w:p>
        </w:tc>
        <w:tc>
          <w:tcPr>
            <w:tcW w:w="780" w:type="dxa"/>
            <w:vAlign w:val="bottom"/>
            <w:gridSpan w:val="2"/>
            <w:vMerge w:val="continue"/>
          </w:tcPr>
          <w:p>
            <w:pPr>
              <w:spacing w:after="0"/>
              <w:rPr>
                <w:sz w:val="13"/>
                <w:szCs w:val="13"/>
                <w:color w:val="auto"/>
              </w:rPr>
            </w:pPr>
          </w:p>
        </w:tc>
        <w:tc>
          <w:tcPr>
            <w:tcW w:w="640" w:type="dxa"/>
            <w:vAlign w:val="bottom"/>
          </w:tcPr>
          <w:p>
            <w:pPr>
              <w:jc w:val="right"/>
              <w:ind w:right="19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top w:val="single" w:sz="8" w:color="auto"/>
            </w:tcBorders>
          </w:tcPr>
          <w:p>
            <w:pPr>
              <w:spacing w:after="0"/>
              <w:rPr>
                <w:sz w:val="3"/>
                <w:szCs w:val="3"/>
                <w:color w:val="auto"/>
              </w:rPr>
            </w:pPr>
          </w:p>
        </w:tc>
        <w:tc>
          <w:tcPr>
            <w:tcW w:w="342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4900" w:type="dxa"/>
            <w:vAlign w:val="bottom"/>
            <w:gridSpan w:val="4"/>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Investments in Non-Controlled, Non-Affiliated Portfolio Companies—188.7%</w:t>
            </w:r>
            <w:r>
              <w:rPr>
                <w:rFonts w:ascii="Arial" w:cs="Arial" w:eastAsia="Arial" w:hAnsi="Arial"/>
                <w:sz w:val="15"/>
                <w:szCs w:val="15"/>
                <w:b w:val="1"/>
                <w:bCs w:val="1"/>
                <w:color w:val="auto"/>
                <w:vertAlign w:val="superscript"/>
              </w:rPr>
              <w:t>(3),(4)</w:t>
            </w: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Debt—164.0%</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ABB Con-Cise Optical Group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10/24/2018</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Wholesale</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6.50%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L+525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1,700,000</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$1,683,400</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w w:val="90"/>
              </w:rPr>
              <w:t>$ 1,712,750</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Airvana Network Solutions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03/25/2015</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Telecommunications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L+800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80,952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81,160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80,952</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Arial" w:cs="Arial" w:eastAsia="Arial" w:hAnsi="Arial"/>
                <w:sz w:val="13"/>
                <w:szCs w:val="13"/>
                <w:color w:val="auto"/>
              </w:rPr>
              <w:t>ARC Auto Group,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11/15/2018</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rPr>
              <w:t>Automotive</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6.25%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2,550,000</w:t>
            </w:r>
          </w:p>
        </w:tc>
        <w:tc>
          <w:tcPr>
            <w:tcW w:w="600" w:type="dxa"/>
            <w:vAlign w:val="bottom"/>
          </w:tcPr>
          <w:p>
            <w:pPr>
              <w:jc w:val="right"/>
              <w:spacing w:after="0"/>
              <w:rPr>
                <w:sz w:val="20"/>
                <w:szCs w:val="20"/>
                <w:color w:val="auto"/>
              </w:rPr>
            </w:pPr>
            <w:r>
              <w:rPr>
                <w:rFonts w:ascii="Arial" w:cs="Arial" w:eastAsia="Arial" w:hAnsi="Arial"/>
                <w:sz w:val="13"/>
                <w:szCs w:val="13"/>
                <w:color w:val="auto"/>
              </w:rPr>
              <w:t>2,524,834</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2,524,500</w:t>
            </w:r>
          </w:p>
        </w:tc>
        <w:tc>
          <w:tcPr>
            <w:tcW w:w="0" w:type="dxa"/>
            <w:vAlign w:val="bottom"/>
          </w:tcPr>
          <w:p>
            <w:pPr>
              <w:spacing w:after="0"/>
              <w:rPr>
                <w:sz w:val="1"/>
                <w:szCs w:val="1"/>
                <w:color w:val="auto"/>
              </w:rPr>
            </w:pPr>
          </w:p>
        </w:tc>
      </w:tr>
      <w:tr>
        <w:trPr>
          <w:trHeight w:val="138"/>
        </w:trPr>
        <w:tc>
          <w:tcPr>
            <w:tcW w:w="41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Archipelago Learning,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05/17/2018</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Media, Broadcasting and</w:t>
            </w:r>
          </w:p>
        </w:tc>
        <w:tc>
          <w:tcPr>
            <w:tcW w:w="9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7.50%</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L+600</w:t>
            </w:r>
          </w:p>
        </w:tc>
        <w:tc>
          <w:tcPr>
            <w:tcW w:w="7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975,000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948,508</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975,000</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Subscription</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Aspen Dental Management,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10/06/2016</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Consumer Services</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L+550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2,970,000</w:t>
            </w:r>
          </w:p>
        </w:tc>
        <w:tc>
          <w:tcPr>
            <w:tcW w:w="600" w:type="dxa"/>
            <w:vAlign w:val="bottom"/>
          </w:tcPr>
          <w:p>
            <w:pPr>
              <w:jc w:val="right"/>
              <w:spacing w:after="0"/>
              <w:rPr>
                <w:sz w:val="20"/>
                <w:szCs w:val="20"/>
                <w:color w:val="auto"/>
              </w:rPr>
            </w:pPr>
            <w:r>
              <w:rPr>
                <w:rFonts w:ascii="Arial" w:cs="Arial" w:eastAsia="Arial" w:hAnsi="Arial"/>
                <w:sz w:val="13"/>
                <w:szCs w:val="13"/>
                <w:color w:val="auto"/>
              </w:rPr>
              <w:t>2,930,861</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2,799,225</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Attachmate Corporation</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11/22/2017</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High Tech Industries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L+575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2,887,500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2,834,313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2,907,094</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Arial" w:cs="Arial" w:eastAsia="Arial" w:hAnsi="Arial"/>
                <w:sz w:val="13"/>
                <w:szCs w:val="13"/>
                <w:color w:val="auto"/>
              </w:rPr>
              <w:t>Autoparts Holdings Limited</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07/28/2017</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rPr>
              <w:t>Automotive</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6.50%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987,500</w:t>
            </w:r>
          </w:p>
        </w:tc>
        <w:tc>
          <w:tcPr>
            <w:tcW w:w="600" w:type="dxa"/>
            <w:vAlign w:val="bottom"/>
          </w:tcPr>
          <w:p>
            <w:pPr>
              <w:jc w:val="right"/>
              <w:spacing w:after="0"/>
              <w:rPr>
                <w:sz w:val="20"/>
                <w:szCs w:val="20"/>
                <w:color w:val="auto"/>
              </w:rPr>
            </w:pPr>
            <w:r>
              <w:rPr>
                <w:rFonts w:ascii="Arial" w:cs="Arial" w:eastAsia="Arial" w:hAnsi="Arial"/>
                <w:sz w:val="13"/>
                <w:szCs w:val="13"/>
                <w:color w:val="auto"/>
              </w:rPr>
              <w:t>983,597</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988,117</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 Overhead Doors,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08/17/2017</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Consumer Goods: Durable</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L+575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3,846,594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3,785,671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3,853,006</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DCS Business Services,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03/19/2018</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7.25%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L+575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3,723,750</w:t>
            </w:r>
          </w:p>
        </w:tc>
        <w:tc>
          <w:tcPr>
            <w:tcW w:w="600" w:type="dxa"/>
            <w:vAlign w:val="bottom"/>
          </w:tcPr>
          <w:p>
            <w:pPr>
              <w:jc w:val="right"/>
              <w:spacing w:after="0"/>
              <w:rPr>
                <w:sz w:val="20"/>
                <w:szCs w:val="20"/>
                <w:color w:val="auto"/>
              </w:rPr>
            </w:pPr>
            <w:r>
              <w:rPr>
                <w:rFonts w:ascii="Arial" w:cs="Arial" w:eastAsia="Arial" w:hAnsi="Arial"/>
                <w:sz w:val="13"/>
                <w:szCs w:val="13"/>
                <w:color w:val="auto"/>
              </w:rPr>
              <w:t>3,667,029</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3,667,894</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Document Technologies,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12/01/2016</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985,689</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977,469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980,761</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DS Waters of America,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08/29/2017</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Beverage, Food and Tobacco</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10.50%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L+900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3,970,000</w:t>
            </w:r>
          </w:p>
        </w:tc>
        <w:tc>
          <w:tcPr>
            <w:tcW w:w="600" w:type="dxa"/>
            <w:vAlign w:val="bottom"/>
          </w:tcPr>
          <w:p>
            <w:pPr>
              <w:jc w:val="right"/>
              <w:spacing w:after="0"/>
              <w:rPr>
                <w:sz w:val="20"/>
                <w:szCs w:val="20"/>
                <w:color w:val="auto"/>
              </w:rPr>
            </w:pPr>
            <w:r>
              <w:rPr>
                <w:rFonts w:ascii="Arial" w:cs="Arial" w:eastAsia="Arial" w:hAnsi="Arial"/>
                <w:sz w:val="13"/>
                <w:szCs w:val="13"/>
                <w:color w:val="auto"/>
              </w:rPr>
              <w:t>3,898,734</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4,074,212</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EAG,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07/28/2017</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P+350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925,363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921,658</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920,736</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Arial" w:cs="Arial" w:eastAsia="Arial" w:hAnsi="Arial"/>
                <w:sz w:val="13"/>
                <w:szCs w:val="13"/>
                <w:color w:val="auto"/>
              </w:rPr>
              <w:t>EIG Investors Corp.</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11/11/2019</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High Tech Industries</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6.25%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2,000,000</w:t>
            </w:r>
          </w:p>
        </w:tc>
        <w:tc>
          <w:tcPr>
            <w:tcW w:w="600" w:type="dxa"/>
            <w:vAlign w:val="bottom"/>
          </w:tcPr>
          <w:p>
            <w:pPr>
              <w:jc w:val="right"/>
              <w:spacing w:after="0"/>
              <w:rPr>
                <w:sz w:val="20"/>
                <w:szCs w:val="20"/>
                <w:color w:val="auto"/>
              </w:rPr>
            </w:pPr>
            <w:r>
              <w:rPr>
                <w:rFonts w:ascii="Arial" w:cs="Arial" w:eastAsia="Arial" w:hAnsi="Arial"/>
                <w:sz w:val="13"/>
                <w:szCs w:val="13"/>
                <w:color w:val="auto"/>
              </w:rPr>
              <w:t>1,980,369</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Emerald Performance Materials,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05/18/2018</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Chemicals, Plastics and Rubber</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2,488,748</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2,468,631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2,494,970</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eResearchtechnology,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05/02/2018</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8.00%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L+650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2,992,500</w:t>
            </w:r>
          </w:p>
        </w:tc>
        <w:tc>
          <w:tcPr>
            <w:tcW w:w="600" w:type="dxa"/>
            <w:vAlign w:val="bottom"/>
          </w:tcPr>
          <w:p>
            <w:pPr>
              <w:jc w:val="right"/>
              <w:spacing w:after="0"/>
              <w:rPr>
                <w:sz w:val="20"/>
                <w:szCs w:val="20"/>
                <w:color w:val="auto"/>
              </w:rPr>
            </w:pPr>
            <w:r>
              <w:rPr>
                <w:rFonts w:ascii="Arial" w:cs="Arial" w:eastAsia="Arial" w:hAnsi="Arial"/>
                <w:sz w:val="13"/>
                <w:szCs w:val="13"/>
                <w:color w:val="auto"/>
              </w:rPr>
              <w:t>2,881,158</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2,955,094</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Fishnet Security,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11/30/2017</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High Tech Industries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7.75%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L+650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3,000,000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2,970,167</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2,970,000</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GFA Brands,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07/02/2018</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Beverage, Food and Tobacco</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L+575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1,945,000</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1,909,110</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1,964,450</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09/02/2019</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9.63%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3,000,000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3,213,750</w:t>
            </w:r>
          </w:p>
        </w:tc>
        <w:tc>
          <w:tcPr>
            <w:tcW w:w="0" w:type="dxa"/>
            <w:vAlign w:val="bottom"/>
          </w:tcPr>
          <w:p>
            <w:pPr>
              <w:spacing w:after="0"/>
              <w:rPr>
                <w:sz w:val="1"/>
                <w:szCs w:val="1"/>
                <w:color w:val="auto"/>
              </w:rPr>
            </w:pPr>
          </w:p>
        </w:tc>
      </w:tr>
      <w:tr>
        <w:trPr>
          <w:trHeight w:val="138"/>
        </w:trPr>
        <w:tc>
          <w:tcPr>
            <w:tcW w:w="4180" w:type="dxa"/>
            <w:vAlign w:val="bottom"/>
            <w:gridSpan w:val="2"/>
          </w:tcPr>
          <w:p>
            <w:pPr>
              <w:spacing w:after="0" w:line="138" w:lineRule="exact"/>
              <w:rPr>
                <w:sz w:val="20"/>
                <w:szCs w:val="20"/>
                <w:color w:val="auto"/>
              </w:rPr>
            </w:pPr>
            <w:r>
              <w:rPr>
                <w:rFonts w:ascii="Arial" w:cs="Arial" w:eastAsia="Arial" w:hAnsi="Arial"/>
                <w:sz w:val="13"/>
                <w:szCs w:val="13"/>
                <w:color w:val="auto"/>
              </w:rPr>
              <w:t>GSE Environmental,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05/27/2016</w:t>
            </w:r>
          </w:p>
        </w:tc>
        <w:tc>
          <w:tcPr>
            <w:tcW w:w="100" w:type="dxa"/>
            <w:vAlign w:val="bottom"/>
          </w:tcPr>
          <w:p>
            <w:pPr>
              <w:spacing w:after="0"/>
              <w:rPr>
                <w:sz w:val="11"/>
                <w:szCs w:val="11"/>
                <w:color w:val="auto"/>
              </w:rPr>
            </w:pPr>
          </w:p>
        </w:tc>
        <w:tc>
          <w:tcPr>
            <w:tcW w:w="21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6"/>
              </w:rPr>
              <w:t>Environmental Industries</w:t>
            </w:r>
          </w:p>
        </w:tc>
        <w:tc>
          <w:tcPr>
            <w:tcW w:w="98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L+550</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6"/>
              </w:rPr>
              <w:t>2,949,343</w:t>
            </w: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2,927,771</w:t>
            </w:r>
          </w:p>
        </w:tc>
        <w:tc>
          <w:tcPr>
            <w:tcW w:w="180" w:type="dxa"/>
            <w:vAlign w:val="bottom"/>
          </w:tcPr>
          <w:p>
            <w:pPr>
              <w:spacing w:after="0"/>
              <w:rPr>
                <w:sz w:val="11"/>
                <w:szCs w:val="11"/>
                <w:color w:val="auto"/>
              </w:rPr>
            </w:pP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2,934,596</w:t>
            </w:r>
          </w:p>
        </w:tc>
        <w:tc>
          <w:tcPr>
            <w:tcW w:w="0" w:type="dxa"/>
            <w:vAlign w:val="bottom"/>
          </w:tcPr>
          <w:p>
            <w:pPr>
              <w:spacing w:after="0"/>
              <w:rPr>
                <w:sz w:val="1"/>
                <w:szCs w:val="1"/>
                <w:color w:val="auto"/>
              </w:rPr>
            </w:pPr>
          </w:p>
        </w:tc>
      </w:tr>
      <w:tr>
        <w:trPr>
          <w:trHeight w:val="159"/>
        </w:trPr>
        <w:tc>
          <w:tcPr>
            <w:tcW w:w="4180" w:type="dxa"/>
            <w:vAlign w:val="bottom"/>
            <w:gridSpan w:val="2"/>
          </w:tcPr>
          <w:p>
            <w:pPr>
              <w:ind w:left="220"/>
              <w:spacing w:after="0"/>
              <w:rPr>
                <w:sz w:val="20"/>
                <w:szCs w:val="20"/>
                <w:color w:val="auto"/>
              </w:rPr>
            </w:pPr>
            <w:r>
              <w:rPr>
                <w:rFonts w:ascii="Arial" w:cs="Arial" w:eastAsia="Arial" w:hAnsi="Arial"/>
                <w:sz w:val="13"/>
                <w:szCs w:val="13"/>
                <w:color w:val="auto"/>
              </w:rPr>
              <w:t>(f/k/a Gundle/SLT Environmental, Inc.)</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Healogics,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11/30/2017</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L+675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4,950,000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4,735,663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4,956,187</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HMK Intermediate Holdings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04/01/2019</w:t>
            </w:r>
          </w:p>
        </w:tc>
        <w:tc>
          <w:tcPr>
            <w:tcW w:w="100" w:type="dxa"/>
            <w:vAlign w:val="bottom"/>
          </w:tcPr>
          <w:p>
            <w:pPr>
              <w:spacing w:after="0"/>
              <w:rPr>
                <w:sz w:val="12"/>
                <w:szCs w:val="1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Retail</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7.25%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2,977,500</w:t>
            </w:r>
          </w:p>
        </w:tc>
        <w:tc>
          <w:tcPr>
            <w:tcW w:w="600" w:type="dxa"/>
            <w:vAlign w:val="bottom"/>
          </w:tcPr>
          <w:p>
            <w:pPr>
              <w:jc w:val="right"/>
              <w:spacing w:after="0"/>
              <w:rPr>
                <w:sz w:val="20"/>
                <w:szCs w:val="20"/>
                <w:color w:val="auto"/>
              </w:rPr>
            </w:pPr>
            <w:r>
              <w:rPr>
                <w:rFonts w:ascii="Arial" w:cs="Arial" w:eastAsia="Arial" w:hAnsi="Arial"/>
                <w:sz w:val="13"/>
                <w:szCs w:val="13"/>
                <w:color w:val="auto"/>
              </w:rPr>
              <w:t>2,924,082</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2,984,944</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Howard Berger Co.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08/03/2017</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Wholesale</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L+575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2,736,250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2,698,396</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2,708,887</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03/30/2017</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rPr>
              <w:t>Automotive</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11.50%</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2,000,000</w:t>
            </w:r>
          </w:p>
        </w:tc>
        <w:tc>
          <w:tcPr>
            <w:tcW w:w="600" w:type="dxa"/>
            <w:vAlign w:val="bottom"/>
          </w:tcPr>
          <w:p>
            <w:pPr>
              <w:jc w:val="right"/>
              <w:spacing w:after="0"/>
              <w:rPr>
                <w:sz w:val="20"/>
                <w:szCs w:val="20"/>
                <w:color w:val="auto"/>
              </w:rPr>
            </w:pPr>
            <w:r>
              <w:rPr>
                <w:rFonts w:ascii="Arial" w:cs="Arial" w:eastAsia="Arial" w:hAnsi="Arial"/>
                <w:sz w:val="13"/>
                <w:szCs w:val="13"/>
                <w:color w:val="auto"/>
              </w:rPr>
              <w:t>1,964,778</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2,155,000</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Ikaria,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06/22/2016</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7.75%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L+650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1,695,750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1,687,478</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1,704,229</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InfuSystem Holdings,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11/30/2016</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13.90%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P+625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2,175,000</w:t>
            </w:r>
          </w:p>
        </w:tc>
        <w:tc>
          <w:tcPr>
            <w:tcW w:w="600" w:type="dxa"/>
            <w:vAlign w:val="bottom"/>
          </w:tcPr>
          <w:p>
            <w:pPr>
              <w:jc w:val="right"/>
              <w:spacing w:after="0"/>
              <w:rPr>
                <w:sz w:val="20"/>
                <w:szCs w:val="20"/>
                <w:color w:val="auto"/>
              </w:rPr>
            </w:pPr>
            <w:r>
              <w:rPr>
                <w:rFonts w:ascii="Arial" w:cs="Arial" w:eastAsia="Arial" w:hAnsi="Arial"/>
                <w:sz w:val="13"/>
                <w:szCs w:val="13"/>
                <w:color w:val="auto"/>
              </w:rPr>
              <w:t>2,175,000</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2,180,297</w:t>
            </w:r>
          </w:p>
        </w:tc>
        <w:tc>
          <w:tcPr>
            <w:tcW w:w="0" w:type="dxa"/>
            <w:vAlign w:val="bottom"/>
          </w:tcPr>
          <w:p>
            <w:pPr>
              <w:spacing w:after="0"/>
              <w:rPr>
                <w:sz w:val="1"/>
                <w:szCs w:val="1"/>
                <w:color w:val="auto"/>
              </w:rPr>
            </w:pPr>
          </w:p>
        </w:tc>
      </w:tr>
      <w:tr>
        <w:trPr>
          <w:trHeight w:val="138"/>
        </w:trPr>
        <w:tc>
          <w:tcPr>
            <w:tcW w:w="41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Instant Web,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08/07/2014</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6"/>
              </w:rPr>
              <w:t>Media: Advertising, Printing and</w:t>
            </w: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L+338</w:t>
            </w:r>
          </w:p>
        </w:tc>
        <w:tc>
          <w:tcPr>
            <w:tcW w:w="7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6"/>
              </w:rPr>
              <w:t>6,836,508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6,574,255</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5,247,020</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Publishing</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Jackson Hewitt Tax Service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10/16/2017</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Consumer Services</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L+850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3,400,000</w:t>
            </w:r>
          </w:p>
        </w:tc>
        <w:tc>
          <w:tcPr>
            <w:tcW w:w="600" w:type="dxa"/>
            <w:vAlign w:val="bottom"/>
          </w:tcPr>
          <w:p>
            <w:pPr>
              <w:jc w:val="right"/>
              <w:spacing w:after="0"/>
              <w:rPr>
                <w:sz w:val="20"/>
                <w:szCs w:val="20"/>
                <w:color w:val="auto"/>
              </w:rPr>
            </w:pPr>
            <w:r>
              <w:rPr>
                <w:rFonts w:ascii="Arial" w:cs="Arial" w:eastAsia="Arial" w:hAnsi="Arial"/>
                <w:sz w:val="13"/>
                <w:szCs w:val="13"/>
                <w:color w:val="auto"/>
              </w:rPr>
              <w:t>3,269,730</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3,272,500</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K2 Pure Solutions NoCal, L.P.</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09/10/2015</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Chemicals, Plastics and Rubber</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P+675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5,474,773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5,509,569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5,420,025</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06/02/2014</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Consumer Goods: Non-Durable</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8.50%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L+700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4,925,000</w:t>
            </w:r>
          </w:p>
        </w:tc>
        <w:tc>
          <w:tcPr>
            <w:tcW w:w="600" w:type="dxa"/>
            <w:vAlign w:val="bottom"/>
          </w:tcPr>
          <w:p>
            <w:pPr>
              <w:jc w:val="right"/>
              <w:spacing w:after="0"/>
              <w:rPr>
                <w:sz w:val="20"/>
                <w:szCs w:val="20"/>
                <w:color w:val="auto"/>
              </w:rPr>
            </w:pPr>
            <w:r>
              <w:rPr>
                <w:rFonts w:ascii="Arial" w:cs="Arial" w:eastAsia="Arial" w:hAnsi="Arial"/>
                <w:sz w:val="13"/>
                <w:szCs w:val="13"/>
                <w:color w:val="auto"/>
              </w:rPr>
              <w:t>4,846,902</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4,826,500</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Medpace Intermediateco,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06/19/2017</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1,844,649</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1,822,635</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1,752,417</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Arial" w:cs="Arial" w:eastAsia="Arial" w:hAnsi="Arial"/>
                <w:sz w:val="13"/>
                <w:szCs w:val="13"/>
                <w:color w:val="auto"/>
              </w:rPr>
              <w:t>Milk Specialties Company</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11/09/2018</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Consumer Goods: Non-Durable</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L+475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3,400,000</w:t>
            </w:r>
          </w:p>
        </w:tc>
        <w:tc>
          <w:tcPr>
            <w:tcW w:w="600" w:type="dxa"/>
            <w:vAlign w:val="bottom"/>
          </w:tcPr>
          <w:p>
            <w:pPr>
              <w:jc w:val="right"/>
              <w:spacing w:after="0"/>
              <w:rPr>
                <w:sz w:val="20"/>
                <w:szCs w:val="20"/>
                <w:color w:val="auto"/>
              </w:rPr>
            </w:pPr>
            <w:r>
              <w:rPr>
                <w:rFonts w:ascii="Arial" w:cs="Arial" w:eastAsia="Arial" w:hAnsi="Arial"/>
                <w:sz w:val="13"/>
                <w:szCs w:val="13"/>
                <w:color w:val="auto"/>
              </w:rPr>
              <w:t>3,366,959</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3,383,000</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MModal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08/16/2019</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3,391,596</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3,342,843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3,238,974</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05/07/2018</w:t>
            </w:r>
          </w:p>
        </w:tc>
        <w:tc>
          <w:tcPr>
            <w:tcW w:w="100" w:type="dxa"/>
            <w:vAlign w:val="bottom"/>
          </w:tcPr>
          <w:p>
            <w:pPr>
              <w:spacing w:after="0"/>
              <w:rPr>
                <w:sz w:val="12"/>
                <w:szCs w:val="1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Media: Diversified and Production</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L+550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2,366,529</w:t>
            </w:r>
          </w:p>
        </w:tc>
        <w:tc>
          <w:tcPr>
            <w:tcW w:w="600" w:type="dxa"/>
            <w:vAlign w:val="bottom"/>
          </w:tcPr>
          <w:p>
            <w:pPr>
              <w:jc w:val="right"/>
              <w:spacing w:after="0"/>
              <w:rPr>
                <w:sz w:val="20"/>
                <w:szCs w:val="20"/>
                <w:color w:val="auto"/>
              </w:rPr>
            </w:pPr>
            <w:r>
              <w:rPr>
                <w:rFonts w:ascii="Arial" w:cs="Arial" w:eastAsia="Arial" w:hAnsi="Arial"/>
                <w:sz w:val="13"/>
                <w:szCs w:val="13"/>
                <w:color w:val="auto"/>
              </w:rPr>
              <w:t>2,347,524</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2,358,837</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12/23/2016</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High Tech Industries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L+700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2,831,250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2,773,496</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2,831,250</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MX USA,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05/01/2017</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6.50%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L+525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2,977,500</w:t>
            </w:r>
          </w:p>
        </w:tc>
        <w:tc>
          <w:tcPr>
            <w:tcW w:w="600" w:type="dxa"/>
            <w:vAlign w:val="bottom"/>
          </w:tcPr>
          <w:p>
            <w:pPr>
              <w:jc w:val="right"/>
              <w:spacing w:after="0"/>
              <w:rPr>
                <w:sz w:val="20"/>
                <w:szCs w:val="20"/>
                <w:color w:val="auto"/>
              </w:rPr>
            </w:pPr>
            <w:r>
              <w:rPr>
                <w:rFonts w:ascii="Arial" w:cs="Arial" w:eastAsia="Arial" w:hAnsi="Arial"/>
                <w:sz w:val="13"/>
                <w:szCs w:val="13"/>
                <w:color w:val="auto"/>
              </w:rPr>
              <w:t>2,938,674</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2,977,500</w:t>
            </w:r>
          </w:p>
        </w:tc>
        <w:tc>
          <w:tcPr>
            <w:tcW w:w="0" w:type="dxa"/>
            <w:vAlign w:val="bottom"/>
          </w:tcPr>
          <w:p>
            <w:pPr>
              <w:spacing w:after="0"/>
              <w:rPr>
                <w:sz w:val="1"/>
                <w:szCs w:val="1"/>
                <w:color w:val="auto"/>
              </w:rPr>
            </w:pPr>
          </w:p>
        </w:tc>
      </w:tr>
      <w:tr>
        <w:trPr>
          <w:trHeight w:val="138"/>
        </w:trPr>
        <w:tc>
          <w:tcPr>
            <w:tcW w:w="41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04/24/2018</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Banking, Finance, Insurance and Real</w:t>
            </w:r>
          </w:p>
        </w:tc>
        <w:tc>
          <w:tcPr>
            <w:tcW w:w="9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7.00%</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L+550</w:t>
            </w:r>
          </w:p>
        </w:tc>
        <w:tc>
          <w:tcPr>
            <w:tcW w:w="7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975,000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962,244</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979,875</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Estate</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Northfield Park Associates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12/19/2018</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9.00%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L+775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4,500,000</w:t>
            </w:r>
          </w:p>
        </w:tc>
        <w:tc>
          <w:tcPr>
            <w:tcW w:w="600" w:type="dxa"/>
            <w:vAlign w:val="bottom"/>
          </w:tcPr>
          <w:p>
            <w:pPr>
              <w:jc w:val="right"/>
              <w:spacing w:after="0"/>
              <w:rPr>
                <w:sz w:val="20"/>
                <w:szCs w:val="20"/>
                <w:color w:val="auto"/>
              </w:rPr>
            </w:pPr>
            <w:r>
              <w:rPr>
                <w:rFonts w:ascii="Arial" w:cs="Arial" w:eastAsia="Arial" w:hAnsi="Arial"/>
                <w:sz w:val="13"/>
                <w:szCs w:val="13"/>
                <w:color w:val="auto"/>
              </w:rPr>
              <w:t>4,410,278</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4,455,000</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Pelican Products,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07/11/2018</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Containers, Packaging and Glass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1,492,500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1,464,991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1,462,650</w:t>
            </w:r>
          </w:p>
        </w:tc>
        <w:tc>
          <w:tcPr>
            <w:tcW w:w="0" w:type="dxa"/>
            <w:vAlign w:val="bottom"/>
          </w:tcPr>
          <w:p>
            <w:pPr>
              <w:spacing w:after="0"/>
              <w:rPr>
                <w:sz w:val="1"/>
                <w:szCs w:val="1"/>
                <w:color w:val="auto"/>
              </w:rPr>
            </w:pPr>
          </w:p>
        </w:tc>
      </w:tr>
      <w:tr>
        <w:trPr>
          <w:trHeight w:val="138"/>
        </w:trPr>
        <w:tc>
          <w:tcPr>
            <w:tcW w:w="4180" w:type="dxa"/>
            <w:vAlign w:val="bottom"/>
            <w:gridSpan w:val="2"/>
          </w:tcPr>
          <w:p>
            <w:pPr>
              <w:spacing w:after="0" w:line="138" w:lineRule="exact"/>
              <w:rPr>
                <w:sz w:val="20"/>
                <w:szCs w:val="20"/>
                <w:color w:val="auto"/>
              </w:rPr>
            </w:pPr>
            <w:r>
              <w:rPr>
                <w:rFonts w:ascii="Arial" w:cs="Arial" w:eastAsia="Arial" w:hAnsi="Arial"/>
                <w:sz w:val="13"/>
                <w:szCs w:val="13"/>
                <w:color w:val="auto"/>
              </w:rPr>
              <w:t>Penton Media,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08/01/2014</w:t>
            </w:r>
          </w:p>
        </w:tc>
        <w:tc>
          <w:tcPr>
            <w:tcW w:w="100" w:type="dxa"/>
            <w:vAlign w:val="bottom"/>
          </w:tcPr>
          <w:p>
            <w:pPr>
              <w:spacing w:after="0"/>
              <w:rPr>
                <w:sz w:val="11"/>
                <w:szCs w:val="11"/>
                <w:color w:val="auto"/>
              </w:rPr>
            </w:pPr>
          </w:p>
        </w:tc>
        <w:tc>
          <w:tcPr>
            <w:tcW w:w="216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6"/>
              </w:rPr>
              <w:t>Media: Diversified and Production</w:t>
            </w:r>
          </w:p>
        </w:tc>
        <w:tc>
          <w:tcPr>
            <w:tcW w:w="98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5.00%</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L+400</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6"/>
              </w:rPr>
              <w:t>5,497,273</w:t>
            </w: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5,005,505</w:t>
            </w:r>
          </w:p>
        </w:tc>
        <w:tc>
          <w:tcPr>
            <w:tcW w:w="180" w:type="dxa"/>
            <w:vAlign w:val="bottom"/>
          </w:tcPr>
          <w:p>
            <w:pPr>
              <w:spacing w:after="0"/>
              <w:rPr>
                <w:sz w:val="11"/>
                <w:szCs w:val="11"/>
                <w:color w:val="auto"/>
              </w:rPr>
            </w:pP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4,833,021</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color w:val="auto"/>
              </w:rPr>
              <w:t>(PIK 1.00%)</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Premier Dental Services,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11/01/2018</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Consumer Services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L+700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3,400,000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3,299,842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3,298,000</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Arial" w:cs="Arial" w:eastAsia="Arial" w:hAnsi="Arial"/>
                <w:sz w:val="13"/>
                <w:szCs w:val="13"/>
                <w:color w:val="auto"/>
              </w:rPr>
              <w:t>RiverBoat Corporation of Mississippi</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11/29/2016</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L+875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4,250,000</w:t>
            </w:r>
          </w:p>
        </w:tc>
        <w:tc>
          <w:tcPr>
            <w:tcW w:w="600" w:type="dxa"/>
            <w:vAlign w:val="bottom"/>
          </w:tcPr>
          <w:p>
            <w:pPr>
              <w:jc w:val="right"/>
              <w:spacing w:after="0"/>
              <w:rPr>
                <w:sz w:val="20"/>
                <w:szCs w:val="20"/>
                <w:color w:val="auto"/>
              </w:rPr>
            </w:pPr>
            <w:r>
              <w:rPr>
                <w:rFonts w:ascii="Arial" w:cs="Arial" w:eastAsia="Arial" w:hAnsi="Arial"/>
                <w:sz w:val="13"/>
                <w:szCs w:val="13"/>
                <w:color w:val="auto"/>
              </w:rPr>
              <w:t>4,165,526</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4,186,250</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Sabre Industries,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08/24/2018</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Construction and Building</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L+575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3,000,000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2,957,148</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3,004,821</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Securus Technologies,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05/31/2017</w:t>
            </w:r>
          </w:p>
        </w:tc>
        <w:tc>
          <w:tcPr>
            <w:tcW w:w="100" w:type="dxa"/>
            <w:vAlign w:val="bottom"/>
          </w:tcPr>
          <w:p>
            <w:pPr>
              <w:spacing w:after="0"/>
              <w:rPr>
                <w:sz w:val="12"/>
                <w:szCs w:val="1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Telecommunications</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6.50%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L+525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2,955,000</w:t>
            </w:r>
          </w:p>
        </w:tc>
        <w:tc>
          <w:tcPr>
            <w:tcW w:w="600" w:type="dxa"/>
            <w:vAlign w:val="bottom"/>
          </w:tcPr>
          <w:p>
            <w:pPr>
              <w:jc w:val="right"/>
              <w:spacing w:after="0"/>
              <w:rPr>
                <w:sz w:val="20"/>
                <w:szCs w:val="20"/>
                <w:color w:val="auto"/>
              </w:rPr>
            </w:pPr>
            <w:r>
              <w:rPr>
                <w:rFonts w:ascii="Arial" w:cs="Arial" w:eastAsia="Arial" w:hAnsi="Arial"/>
                <w:sz w:val="13"/>
                <w:szCs w:val="13"/>
                <w:color w:val="auto"/>
              </w:rPr>
              <w:t>2,931,995</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2,960,541</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Seven Seas Cruises S. DE R.L.</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12/21/2018</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1,481,250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1,467,035</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1,496,062</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Sotera Defense Solutions,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04/21/2017</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Aerospace and Defense</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7.50%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2,780,743</w:t>
            </w:r>
          </w:p>
        </w:tc>
        <w:tc>
          <w:tcPr>
            <w:tcW w:w="600" w:type="dxa"/>
            <w:vAlign w:val="bottom"/>
          </w:tcPr>
          <w:p>
            <w:pPr>
              <w:jc w:val="right"/>
              <w:spacing w:after="0"/>
              <w:rPr>
                <w:sz w:val="20"/>
                <w:szCs w:val="20"/>
                <w:color w:val="auto"/>
              </w:rPr>
            </w:pPr>
            <w:r>
              <w:rPr>
                <w:rFonts w:ascii="Arial" w:cs="Arial" w:eastAsia="Arial" w:hAnsi="Arial"/>
                <w:sz w:val="13"/>
                <w:szCs w:val="13"/>
                <w:color w:val="auto"/>
              </w:rPr>
              <w:t>2,760,235</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2,739,032</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 George’s University Scholastic Services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12/20/2017</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Consumer Services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L+700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2,550,000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2,499,043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2,508,562</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Tekelec Global,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01/29/2018</w:t>
            </w:r>
          </w:p>
        </w:tc>
        <w:tc>
          <w:tcPr>
            <w:tcW w:w="100" w:type="dxa"/>
            <w:vAlign w:val="bottom"/>
          </w:tcPr>
          <w:p>
            <w:pPr>
              <w:spacing w:after="0"/>
              <w:rPr>
                <w:sz w:val="12"/>
                <w:szCs w:val="1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Telecommunications</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13.50%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L+1,200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1,875,000</w:t>
            </w:r>
          </w:p>
        </w:tc>
        <w:tc>
          <w:tcPr>
            <w:tcW w:w="600" w:type="dxa"/>
            <w:vAlign w:val="bottom"/>
          </w:tcPr>
          <w:p>
            <w:pPr>
              <w:jc w:val="right"/>
              <w:spacing w:after="0"/>
              <w:rPr>
                <w:sz w:val="20"/>
                <w:szCs w:val="20"/>
                <w:color w:val="auto"/>
              </w:rPr>
            </w:pPr>
            <w:r>
              <w:rPr>
                <w:rFonts w:ascii="Arial" w:cs="Arial" w:eastAsia="Arial" w:hAnsi="Arial"/>
                <w:sz w:val="13"/>
                <w:szCs w:val="13"/>
                <w:color w:val="auto"/>
              </w:rPr>
              <w:t>1,825,500</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1,912,500</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UniTek Global Services,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04/16/2018</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Telecommunications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L+750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1,990,000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1,932,949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1,945,225</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Arial" w:cs="Arial" w:eastAsia="Arial" w:hAnsi="Arial"/>
                <w:sz w:val="13"/>
                <w:szCs w:val="13"/>
                <w:color w:val="auto"/>
              </w:rPr>
              <w:t>Univita Health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06/19/2017</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Consumer Services</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6.25%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L+475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2,955,000</w:t>
            </w:r>
          </w:p>
        </w:tc>
        <w:tc>
          <w:tcPr>
            <w:tcW w:w="600" w:type="dxa"/>
            <w:vAlign w:val="bottom"/>
          </w:tcPr>
          <w:p>
            <w:pPr>
              <w:jc w:val="right"/>
              <w:spacing w:after="0"/>
              <w:rPr>
                <w:sz w:val="20"/>
                <w:szCs w:val="20"/>
                <w:color w:val="auto"/>
              </w:rPr>
            </w:pPr>
            <w:r>
              <w:rPr>
                <w:rFonts w:ascii="Arial" w:cs="Arial" w:eastAsia="Arial" w:hAnsi="Arial"/>
                <w:sz w:val="13"/>
                <w:szCs w:val="13"/>
                <w:color w:val="auto"/>
              </w:rPr>
              <w:t>2,932,445</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2,858,962</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Valitas Health Services,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06/02/2017</w:t>
            </w: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5.75%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L+450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1,477,500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1,471,641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1,451,644</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rPr>
                <w:sz w:val="20"/>
                <w:szCs w:val="20"/>
                <w:color w:val="auto"/>
              </w:rPr>
            </w:pPr>
            <w:r>
              <w:rPr>
                <w:rFonts w:ascii="Arial" w:cs="Arial" w:eastAsia="Arial" w:hAnsi="Arial"/>
                <w:sz w:val="13"/>
                <w:szCs w:val="13"/>
                <w:color w:val="auto"/>
              </w:rPr>
              <w:t>Vantage Specialties,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02/09/2018</w:t>
            </w:r>
          </w:p>
        </w:tc>
        <w:tc>
          <w:tcPr>
            <w:tcW w:w="10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Chemicals, Plastics and Rubber</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L+550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2,977,500</w:t>
            </w:r>
          </w:p>
        </w:tc>
        <w:tc>
          <w:tcPr>
            <w:tcW w:w="600" w:type="dxa"/>
            <w:vAlign w:val="bottom"/>
          </w:tcPr>
          <w:p>
            <w:pPr>
              <w:jc w:val="right"/>
              <w:spacing w:after="0"/>
              <w:rPr>
                <w:sz w:val="20"/>
                <w:szCs w:val="20"/>
                <w:color w:val="auto"/>
              </w:rPr>
            </w:pPr>
            <w:r>
              <w:rPr>
                <w:rFonts w:ascii="Arial" w:cs="Arial" w:eastAsia="Arial" w:hAnsi="Arial"/>
                <w:sz w:val="13"/>
                <w:szCs w:val="13"/>
                <w:color w:val="auto"/>
              </w:rPr>
              <w:t>2,925,526</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2,992,388</w:t>
            </w:r>
          </w:p>
        </w:tc>
        <w:tc>
          <w:tcPr>
            <w:tcW w:w="0" w:type="dxa"/>
            <w:vAlign w:val="bottom"/>
          </w:tcPr>
          <w:p>
            <w:pPr>
              <w:spacing w:after="0"/>
              <w:rPr>
                <w:sz w:val="1"/>
                <w:szCs w:val="1"/>
                <w:color w:val="auto"/>
              </w:rPr>
            </w:pPr>
          </w:p>
        </w:tc>
      </w:tr>
      <w:tr>
        <w:trPr>
          <w:trHeight w:val="138"/>
        </w:trPr>
        <w:tc>
          <w:tcPr>
            <w:tcW w:w="41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Viamedia Services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04/19/2016</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6"/>
              </w:rPr>
              <w:t>Media: Advertising, Printing and</w:t>
            </w:r>
          </w:p>
        </w:tc>
        <w:tc>
          <w:tcPr>
            <w:tcW w:w="9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7.00%</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L+550</w:t>
            </w:r>
          </w:p>
        </w:tc>
        <w:tc>
          <w:tcPr>
            <w:tcW w:w="7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6"/>
              </w:rPr>
              <w:t>4,031,333</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3,995,934</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4,031,334</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Publishing</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Arial" w:cs="Arial" w:eastAsia="Arial" w:hAnsi="Arial"/>
                <w:sz w:val="13"/>
                <w:szCs w:val="13"/>
                <w:color w:val="auto"/>
              </w:rPr>
              <w:t>Virtual Radiologic Corporation</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12/22/2016</w:t>
            </w:r>
          </w:p>
        </w:tc>
        <w:tc>
          <w:tcPr>
            <w:tcW w:w="10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7.75%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P+450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2,955,000</w:t>
            </w:r>
          </w:p>
        </w:tc>
        <w:tc>
          <w:tcPr>
            <w:tcW w:w="600" w:type="dxa"/>
            <w:vAlign w:val="bottom"/>
          </w:tcPr>
          <w:p>
            <w:pPr>
              <w:jc w:val="right"/>
              <w:spacing w:after="0"/>
              <w:rPr>
                <w:sz w:val="20"/>
                <w:szCs w:val="20"/>
                <w:color w:val="auto"/>
              </w:rPr>
            </w:pPr>
            <w:r>
              <w:rPr>
                <w:rFonts w:ascii="Arial" w:cs="Arial" w:eastAsia="Arial" w:hAnsi="Arial"/>
                <w:sz w:val="13"/>
                <w:szCs w:val="13"/>
                <w:color w:val="auto"/>
              </w:rPr>
              <w:t>2,927,746</w:t>
            </w:r>
          </w:p>
        </w:tc>
        <w:tc>
          <w:tcPr>
            <w:tcW w:w="1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2,541,300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Maturity</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980" w:type="dxa"/>
            <w:vAlign w:val="bottom"/>
            <w:gridSpan w:val="2"/>
          </w:tcPr>
          <w:p>
            <w:pPr>
              <w:jc w:val="right"/>
              <w:ind w:right="373"/>
              <w:spacing w:after="0"/>
              <w:rPr>
                <w:sz w:val="20"/>
                <w:szCs w:val="20"/>
                <w:color w:val="auto"/>
              </w:rPr>
            </w:pPr>
            <w:r>
              <w:rPr>
                <w:rFonts w:ascii="Arial" w:cs="Arial" w:eastAsia="Arial" w:hAnsi="Arial"/>
                <w:sz w:val="13"/>
                <w:szCs w:val="13"/>
                <w:b w:val="1"/>
                <w:bCs w:val="1"/>
                <w:color w:val="auto"/>
              </w:rPr>
              <w:t>Current</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Above</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42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980" w:type="dxa"/>
            <w:vAlign w:val="bottom"/>
            <w:gridSpan w:val="2"/>
          </w:tcPr>
          <w:p>
            <w:pPr>
              <w:jc w:val="right"/>
              <w:ind w:right="393"/>
              <w:spacing w:after="0"/>
              <w:rPr>
                <w:sz w:val="20"/>
                <w:szCs w:val="20"/>
                <w:color w:val="auto"/>
              </w:rPr>
            </w:pPr>
            <w:r>
              <w:rPr>
                <w:rFonts w:ascii="Arial" w:cs="Arial" w:eastAsia="Arial" w:hAnsi="Arial"/>
                <w:sz w:val="13"/>
                <w:szCs w:val="13"/>
                <w:b w:val="1"/>
                <w:bCs w:val="1"/>
                <w:color w:val="auto"/>
              </w:rPr>
              <w:t>Coupon</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W3 CO.</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10/31/2017</w:t>
            </w:r>
          </w:p>
        </w:tc>
        <w:tc>
          <w:tcPr>
            <w:tcW w:w="3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Energy: Oil and Gas</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7.50</w:t>
            </w:r>
          </w:p>
        </w:tc>
        <w:tc>
          <w:tcPr>
            <w:tcW w:w="400" w:type="dxa"/>
            <w:vAlign w:val="bottom"/>
            <w:tcBorders>
              <w:top w:val="single" w:sz="8" w:color="CCEEFF"/>
            </w:tcBorders>
            <w:shd w:val="clear" w:color="auto" w:fill="CCEEFF"/>
          </w:tcPr>
          <w:p>
            <w:pPr>
              <w:jc w:val="right"/>
              <w:ind w:right="213"/>
              <w:spacing w:after="0" w:line="142" w:lineRule="exact"/>
              <w:rPr>
                <w:sz w:val="20"/>
                <w:szCs w:val="20"/>
                <w:color w:val="auto"/>
              </w:rPr>
            </w:pPr>
            <w:r>
              <w:rPr>
                <w:rFonts w:ascii="Arial" w:cs="Arial" w:eastAsia="Arial" w:hAnsi="Arial"/>
                <w:sz w:val="13"/>
                <w:szCs w:val="13"/>
                <w:color w:val="auto"/>
                <w:w w:val="8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L+625</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1,980,000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1,913,327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1,977,525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color w:val="auto"/>
              </w:rPr>
              <w:t>Water Pik, Inc.</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w w:val="98"/>
              </w:rPr>
              <w:t>08/10/2017</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Consumer Goods: Durable</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6.75%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L+525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3,447,500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3,418,540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3,430,263</w:t>
            </w: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Wilton Brands, LLC</w:t>
            </w:r>
          </w:p>
        </w:tc>
        <w:tc>
          <w:tcPr>
            <w:tcW w:w="98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w w:val="98"/>
              </w:rPr>
              <w:t>08/30/2018</w:t>
            </w:r>
          </w:p>
        </w:tc>
        <w:tc>
          <w:tcPr>
            <w:tcW w:w="16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4"/>
              </w:rPr>
              <w:t>Consumer Goods: Non-</w:t>
            </w:r>
          </w:p>
        </w:tc>
        <w:tc>
          <w:tcPr>
            <w:tcW w:w="98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7.50%</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L+625</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w w:val="96"/>
              </w:rPr>
              <w:t>3,357,500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3,293,647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3,374,288</w:t>
            </w:r>
          </w:p>
        </w:tc>
        <w:tc>
          <w:tcPr>
            <w:tcW w:w="0" w:type="dxa"/>
            <w:vAlign w:val="bottom"/>
          </w:tcPr>
          <w:p>
            <w:pPr>
              <w:spacing w:after="0"/>
              <w:rPr>
                <w:sz w:val="1"/>
                <w:szCs w:val="1"/>
                <w:color w:val="auto"/>
              </w:rPr>
            </w:pPr>
          </w:p>
        </w:tc>
      </w:tr>
      <w:tr>
        <w:trPr>
          <w:trHeight w:val="159"/>
        </w:trPr>
        <w:tc>
          <w:tcPr>
            <w:tcW w:w="4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Durable</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80" w:type="dxa"/>
            <w:vAlign w:val="bottom"/>
            <w:gridSpan w:val="2"/>
          </w:tcPr>
          <w:p>
            <w:pPr>
              <w:spacing w:after="0" w:line="138" w:lineRule="exact"/>
              <w:rPr>
                <w:sz w:val="20"/>
                <w:szCs w:val="20"/>
                <w:color w:val="auto"/>
              </w:rPr>
            </w:pPr>
            <w:r>
              <w:rPr>
                <w:rFonts w:ascii="Arial" w:cs="Arial" w:eastAsia="Arial" w:hAnsi="Arial"/>
                <w:sz w:val="13"/>
                <w:szCs w:val="13"/>
                <w:color w:val="auto"/>
              </w:rPr>
              <w:t>Z Wireless</w:t>
            </w:r>
          </w:p>
        </w:tc>
        <w:tc>
          <w:tcPr>
            <w:tcW w:w="98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w w:val="98"/>
              </w:rPr>
              <w:t>12/21/2016</w:t>
            </w:r>
          </w:p>
        </w:tc>
        <w:tc>
          <w:tcPr>
            <w:tcW w:w="16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rPr>
              <w:t>Retail</w:t>
            </w:r>
          </w:p>
        </w:tc>
        <w:tc>
          <w:tcPr>
            <w:tcW w:w="980" w:type="dxa"/>
            <w:vAlign w:val="bottom"/>
            <w:gridSpan w:val="2"/>
          </w:tcPr>
          <w:p>
            <w:pPr>
              <w:jc w:val="right"/>
              <w:ind w:right="73"/>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L+1,225</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w w:val="96"/>
              </w:rPr>
              <w:t>2,700,000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2,646,083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2,700,000</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73"/>
              <w:spacing w:after="0"/>
              <w:rPr>
                <w:sz w:val="20"/>
                <w:szCs w:val="20"/>
                <w:color w:val="auto"/>
              </w:rPr>
            </w:pPr>
            <w:r>
              <w:rPr>
                <w:rFonts w:ascii="Arial" w:cs="Arial" w:eastAsia="Arial" w:hAnsi="Arial"/>
                <w:sz w:val="13"/>
                <w:szCs w:val="13"/>
                <w:color w:val="auto"/>
              </w:rPr>
              <w:t>(PIK 1.50%)</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157,559,604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157,153,917</w:t>
            </w:r>
          </w:p>
        </w:tc>
        <w:tc>
          <w:tcPr>
            <w:tcW w:w="0" w:type="dxa"/>
            <w:vAlign w:val="bottom"/>
          </w:tcPr>
          <w:p>
            <w:pPr>
              <w:spacing w:after="0"/>
              <w:rPr>
                <w:sz w:val="1"/>
                <w:szCs w:val="1"/>
                <w:color w:val="auto"/>
              </w:rPr>
            </w:pPr>
          </w:p>
        </w:tc>
      </w:tr>
      <w:tr>
        <w:trPr>
          <w:trHeight w:val="155"/>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Debt—11.0%</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8"/>
              </w:rPr>
              <w:t>09/01/2017</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Metals and Mining</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11.50%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3,000,000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3,090,000</w:t>
            </w: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color w:val="auto"/>
              </w:rPr>
              <w:t>Autoparts Holdings Limited</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w w:val="98"/>
              </w:rPr>
              <w:t>01/29/2018</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rPr>
              <w:t>Automotive</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10.50%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L+900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1,000,000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995,566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950,000</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8"/>
              </w:rPr>
              <w:t>10/02/2019</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10.00%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L+875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1,700,000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1,667,338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1,606,500</w:t>
            </w: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(5), (8)</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w w:val="98"/>
              </w:rPr>
              <w:t>09/01/2018</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12.13%</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2,000,000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1,970,677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2,310,000</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Sensus USA Inc.</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8"/>
              </w:rPr>
              <w:t>05/09/2018</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Utilities: Water</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8.50%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L+725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1,000,000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992,061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w w:val="98"/>
              </w:rPr>
              <w:t>05/15/2019</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9.13%</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1,500,000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1,500,000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1,586,250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10,125,642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10,542,750</w:t>
            </w:r>
          </w:p>
        </w:tc>
        <w:tc>
          <w:tcPr>
            <w:tcW w:w="0" w:type="dxa"/>
            <w:vAlign w:val="bottom"/>
          </w:tcPr>
          <w:p>
            <w:pPr>
              <w:spacing w:after="0"/>
              <w:rPr>
                <w:sz w:val="1"/>
                <w:szCs w:val="1"/>
                <w:color w:val="auto"/>
              </w:rPr>
            </w:pPr>
          </w:p>
        </w:tc>
      </w:tr>
      <w:tr>
        <w:trPr>
          <w:trHeight w:val="156"/>
        </w:trPr>
        <w:tc>
          <w:tcPr>
            <w:tcW w:w="42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Notes—12.1% </w:t>
            </w:r>
            <w:r>
              <w:rPr>
                <w:rFonts w:ascii="Arial" w:cs="Arial" w:eastAsia="Arial" w:hAnsi="Arial"/>
                <w:sz w:val="18"/>
                <w:szCs w:val="18"/>
                <w:b w:val="1"/>
                <w:bCs w:val="1"/>
                <w:color w:val="auto"/>
                <w:vertAlign w:val="superscript"/>
              </w:rPr>
              <w:t>(8)</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Affinion Group Holdings, Inc.</w:t>
            </w:r>
          </w:p>
        </w:tc>
        <w:tc>
          <w:tcPr>
            <w:tcW w:w="98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w w:val="98"/>
              </w:rPr>
              <w:t>11/15/2015</w:t>
            </w:r>
          </w:p>
        </w:tc>
        <w:tc>
          <w:tcPr>
            <w:tcW w:w="16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4"/>
              </w:rPr>
              <w:t>Consumer Goods: Non-</w:t>
            </w:r>
          </w:p>
        </w:tc>
        <w:tc>
          <w:tcPr>
            <w:tcW w:w="98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11.63%</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w w:val="96"/>
              </w:rPr>
              <w:t>4,100,000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3,798,673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2,644,501</w:t>
            </w:r>
          </w:p>
        </w:tc>
        <w:tc>
          <w:tcPr>
            <w:tcW w:w="0" w:type="dxa"/>
            <w:vAlign w:val="bottom"/>
          </w:tcPr>
          <w:p>
            <w:pPr>
              <w:spacing w:after="0"/>
              <w:rPr>
                <w:sz w:val="1"/>
                <w:szCs w:val="1"/>
                <w:color w:val="auto"/>
              </w:rPr>
            </w:pPr>
          </w:p>
        </w:tc>
      </w:tr>
      <w:tr>
        <w:trPr>
          <w:trHeight w:val="159"/>
        </w:trPr>
        <w:tc>
          <w:tcPr>
            <w:tcW w:w="4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Durable</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color w:val="auto"/>
              </w:rPr>
              <w:t>Document Technologies, Inc.</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w w:val="98"/>
              </w:rPr>
              <w:t>12/01/2017</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13.00%</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1,000,000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980,340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1,007,500</w:t>
            </w: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98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w w:val="98"/>
              </w:rPr>
              <w:t>06/03/2019</w:t>
            </w:r>
          </w:p>
        </w:tc>
        <w:tc>
          <w:tcPr>
            <w:tcW w:w="16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98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14.25%</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w w:val="96"/>
              </w:rPr>
              <w:t>4,560,151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4,483,524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4,560,151</w:t>
            </w: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(PIK 2.25%)</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Vestcom International, Inc. </w:t>
            </w:r>
            <w:r>
              <w:rPr>
                <w:rFonts w:ascii="Arial" w:cs="Arial" w:eastAsia="Arial" w:hAnsi="Arial"/>
                <w:sz w:val="15"/>
                <w:szCs w:val="15"/>
                <w:color w:val="auto"/>
                <w:vertAlign w:val="superscript"/>
              </w:rPr>
              <w:t>(8)</w:t>
            </w:r>
          </w:p>
        </w:tc>
        <w:tc>
          <w:tcPr>
            <w:tcW w:w="98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w w:val="98"/>
              </w:rPr>
              <w:t>06/27/2019</w:t>
            </w:r>
          </w:p>
        </w:tc>
        <w:tc>
          <w:tcPr>
            <w:tcW w:w="16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7"/>
              </w:rPr>
              <w:t>Media: Advertising, Printing</w:t>
            </w:r>
          </w:p>
        </w:tc>
        <w:tc>
          <w:tcPr>
            <w:tcW w:w="980" w:type="dxa"/>
            <w:vAlign w:val="bottom"/>
            <w:gridSpan w:val="2"/>
          </w:tcPr>
          <w:p>
            <w:pPr>
              <w:jc w:val="right"/>
              <w:ind w:right="213"/>
              <w:spacing w:after="0" w:line="138" w:lineRule="exact"/>
              <w:rPr>
                <w:sz w:val="20"/>
                <w:szCs w:val="20"/>
                <w:color w:val="auto"/>
              </w:rPr>
            </w:pPr>
            <w:r>
              <w:rPr>
                <w:rFonts w:ascii="Arial" w:cs="Arial" w:eastAsia="Arial" w:hAnsi="Arial"/>
                <w:sz w:val="13"/>
                <w:szCs w:val="13"/>
                <w:color w:val="auto"/>
              </w:rPr>
              <w:t>12.00%</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w w:val="96"/>
              </w:rPr>
              <w:t>3,333,333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3,266,707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3,333,333</w:t>
            </w: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and Publishing</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12,529,244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11,545,485</w:t>
            </w:r>
          </w:p>
        </w:tc>
        <w:tc>
          <w:tcPr>
            <w:tcW w:w="0" w:type="dxa"/>
            <w:vAlign w:val="bottom"/>
          </w:tcPr>
          <w:p>
            <w:pPr>
              <w:spacing w:after="0"/>
              <w:rPr>
                <w:sz w:val="1"/>
                <w:szCs w:val="1"/>
                <w:color w:val="auto"/>
              </w:rPr>
            </w:pPr>
          </w:p>
        </w:tc>
      </w:tr>
      <w:tr>
        <w:trPr>
          <w:trHeight w:val="155"/>
        </w:trPr>
        <w:tc>
          <w:tcPr>
            <w:tcW w:w="42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8"/>
                <w:szCs w:val="18"/>
                <w:b w:val="1"/>
                <w:bCs w:val="1"/>
                <w:color w:val="auto"/>
                <w:vertAlign w:val="superscript"/>
              </w:rPr>
              <w:t>(7), (8)</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9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98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12.50%</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110,697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194,585</w:t>
            </w:r>
          </w:p>
        </w:tc>
        <w:tc>
          <w:tcPr>
            <w:tcW w:w="0" w:type="dxa"/>
            <w:vAlign w:val="bottom"/>
          </w:tcPr>
          <w:p>
            <w:pPr>
              <w:spacing w:after="0"/>
              <w:rPr>
                <w:sz w:val="1"/>
                <w:szCs w:val="1"/>
                <w:color w:val="auto"/>
              </w:rPr>
            </w:pPr>
          </w:p>
        </w:tc>
      </w:tr>
      <w:tr>
        <w:trPr>
          <w:trHeight w:val="15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(TrustHouse Services Group, Inc.)</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Equity/Partnership Interests—1.4% </w:t>
            </w:r>
            <w:r>
              <w:rPr>
                <w:rFonts w:ascii="Arial" w:cs="Arial" w:eastAsia="Arial" w:hAnsi="Arial"/>
                <w:sz w:val="18"/>
                <w:szCs w:val="18"/>
                <w:b w:val="1"/>
                <w:bCs w:val="1"/>
                <w:color w:val="auto"/>
                <w:vertAlign w:val="superscript"/>
              </w:rPr>
              <w:t>(7), (8)</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Titan Private Holdings I, LLC</w:t>
            </w:r>
          </w:p>
        </w:tc>
        <w:tc>
          <w:tcPr>
            <w:tcW w:w="9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5"/>
              </w:rPr>
              <w:t>Telecommunications</w:t>
            </w:r>
          </w:p>
        </w:tc>
        <w:tc>
          <w:tcPr>
            <w:tcW w:w="980" w:type="dxa"/>
            <w:vAlign w:val="bottom"/>
            <w:gridSpan w:val="2"/>
            <w:shd w:val="clear" w:color="auto" w:fill="CCEEFF"/>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401,797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401,450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1,181,935</w:t>
            </w:r>
          </w:p>
        </w:tc>
        <w:tc>
          <w:tcPr>
            <w:tcW w:w="0" w:type="dxa"/>
            <w:vAlign w:val="bottom"/>
          </w:tcPr>
          <w:p>
            <w:pPr>
              <w:spacing w:after="0"/>
              <w:rPr>
                <w:sz w:val="1"/>
                <w:szCs w:val="1"/>
                <w:color w:val="auto"/>
              </w:rPr>
            </w:pPr>
          </w:p>
        </w:tc>
      </w:tr>
      <w:tr>
        <w:trPr>
          <w:trHeight w:val="15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(Tekelec Global, Inc.)</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80" w:type="dxa"/>
            <w:vAlign w:val="bottom"/>
            <w:gridSpan w:val="2"/>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98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168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980" w:type="dxa"/>
            <w:vAlign w:val="bottom"/>
            <w:gridSpan w:val="2"/>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5,000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10,571</w:t>
            </w:r>
          </w:p>
        </w:tc>
        <w:tc>
          <w:tcPr>
            <w:tcW w:w="0" w:type="dxa"/>
            <w:vAlign w:val="bottom"/>
          </w:tcPr>
          <w:p>
            <w:pPr>
              <w:spacing w:after="0"/>
              <w:rPr>
                <w:sz w:val="1"/>
                <w:szCs w:val="1"/>
                <w:color w:val="auto"/>
              </w:rPr>
            </w:pPr>
          </w:p>
        </w:tc>
      </w:tr>
      <w:tr>
        <w:trPr>
          <w:trHeight w:val="159"/>
        </w:trPr>
        <w:tc>
          <w:tcPr>
            <w:tcW w:w="4280" w:type="dxa"/>
            <w:vAlign w:val="bottom"/>
            <w:gridSpan w:val="2"/>
          </w:tcPr>
          <w:p>
            <w:pPr>
              <w:ind w:left="220"/>
              <w:spacing w:after="0"/>
              <w:rPr>
                <w:sz w:val="20"/>
                <w:szCs w:val="20"/>
                <w:color w:val="auto"/>
              </w:rPr>
            </w:pPr>
            <w:r>
              <w:rPr>
                <w:rFonts w:ascii="Arial" w:cs="Arial" w:eastAsia="Arial" w:hAnsi="Arial"/>
                <w:sz w:val="13"/>
                <w:szCs w:val="13"/>
                <w:color w:val="auto"/>
              </w:rPr>
              <w:t>(TrustHouse Services Group, Inc.)</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Vestcom Parent Holdings, Inc.</w:t>
            </w:r>
          </w:p>
        </w:tc>
        <w:tc>
          <w:tcPr>
            <w:tcW w:w="98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7"/>
              </w:rPr>
              <w:t>Media: Advertising, Printing</w:t>
            </w:r>
          </w:p>
        </w:tc>
        <w:tc>
          <w:tcPr>
            <w:tcW w:w="980" w:type="dxa"/>
            <w:vAlign w:val="bottom"/>
            <w:gridSpan w:val="2"/>
            <w:shd w:val="clear" w:color="auto" w:fill="CCEEFF"/>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15,179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166,667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166,667</w:t>
            </w:r>
          </w:p>
        </w:tc>
        <w:tc>
          <w:tcPr>
            <w:tcW w:w="0" w:type="dxa"/>
            <w:vAlign w:val="bottom"/>
          </w:tcPr>
          <w:p>
            <w:pPr>
              <w:spacing w:after="0"/>
              <w:rPr>
                <w:sz w:val="1"/>
                <w:szCs w:val="1"/>
                <w:color w:val="auto"/>
              </w:rPr>
            </w:pPr>
          </w:p>
        </w:tc>
      </w:tr>
      <w:tr>
        <w:trPr>
          <w:trHeight w:val="15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(Vestcom International, Inc.)</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and Publishing</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573,117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1,359,173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428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Total Investments in Non-Controlled, Non-Affiliated Portfolio</w:t>
            </w: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1"/>
              </w:rPr>
              <w:t>180,898,304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1"/>
              </w:rPr>
              <w:t>180,795,910</w:t>
            </w:r>
          </w:p>
        </w:tc>
        <w:tc>
          <w:tcPr>
            <w:tcW w:w="0" w:type="dxa"/>
            <w:vAlign w:val="bottom"/>
          </w:tcPr>
          <w:p>
            <w:pPr>
              <w:spacing w:after="0"/>
              <w:rPr>
                <w:sz w:val="1"/>
                <w:szCs w:val="1"/>
                <w:color w:val="auto"/>
              </w:rPr>
            </w:pPr>
          </w:p>
        </w:tc>
      </w:tr>
      <w:tr>
        <w:trPr>
          <w:trHeight w:val="161"/>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Companies</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Cash Equivalents—4.2%</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3,987,645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3,987,645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Equivalents—192.9%</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184,885,949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184,783,555</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Assets—(92.9)%</w:t>
            </w: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4"/>
              </w:rPr>
              <w:t>(88,969,787)</w:t>
            </w: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95,813,768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1" w:lineRule="exact"/>
        <w:rPr>
          <w:sz w:val="20"/>
          <w:szCs w:val="20"/>
          <w:color w:val="auto"/>
        </w:rPr>
      </w:pPr>
    </w:p>
    <w:p>
      <w:pPr>
        <w:ind w:left="340" w:right="140" w:hanging="332"/>
        <w:spacing w:after="0" w:line="24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10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Maturity</w:t>
            </w: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Current</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Above</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Par /</w:t>
            </w:r>
          </w:p>
        </w:tc>
        <w:tc>
          <w:tcPr>
            <w:tcW w:w="160" w:type="dxa"/>
            <w:vAlign w:val="bottom"/>
          </w:tcPr>
          <w:p>
            <w:pPr>
              <w:spacing w:after="0"/>
              <w:rPr>
                <w:sz w:val="14"/>
                <w:szCs w:val="14"/>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5"/>
        </w:trPr>
        <w:tc>
          <w:tcPr>
            <w:tcW w:w="43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9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Coupon</w:t>
            </w: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top w:val="single" w:sz="8" w:color="auto"/>
            </w:tcBorders>
          </w:tcPr>
          <w:p>
            <w:pPr>
              <w:spacing w:after="0"/>
              <w:rPr>
                <w:sz w:val="3"/>
                <w:szCs w:val="3"/>
                <w:color w:val="auto"/>
              </w:rPr>
            </w:pPr>
          </w:p>
        </w:tc>
        <w:tc>
          <w:tcPr>
            <w:tcW w:w="356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5160" w:type="dxa"/>
            <w:vAlign w:val="bottom"/>
            <w:gridSpan w:val="4"/>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Investments in Non-Controlled, Non-Affiliated Portfolio Companies—179.5%</w:t>
            </w:r>
            <w:r>
              <w:rPr>
                <w:rFonts w:ascii="Arial" w:cs="Arial" w:eastAsia="Arial" w:hAnsi="Arial"/>
                <w:sz w:val="15"/>
                <w:szCs w:val="15"/>
                <w:b w:val="1"/>
                <w:bCs w:val="1"/>
                <w:color w:val="auto"/>
                <w:vertAlign w:val="superscript"/>
              </w:rPr>
              <w:t>(3),(4)</w:t>
            </w: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Debt—156.9%</w:t>
            </w: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Airvana Network Solutions Inc.</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03/25/2015</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Telecommunications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10.00%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L+800</w:t>
            </w:r>
          </w:p>
        </w:tc>
        <w:tc>
          <w:tcPr>
            <w:tcW w:w="580" w:type="dxa"/>
            <w:vAlign w:val="bottom"/>
          </w:tcPr>
          <w:p>
            <w:pPr>
              <w:jc w:val="right"/>
              <w:spacing w:after="0"/>
              <w:rPr>
                <w:sz w:val="20"/>
                <w:szCs w:val="20"/>
                <w:color w:val="auto"/>
              </w:rPr>
            </w:pPr>
            <w:r>
              <w:rPr>
                <w:rFonts w:ascii="Arial" w:cs="Arial" w:eastAsia="Arial" w:hAnsi="Arial"/>
                <w:sz w:val="13"/>
                <w:szCs w:val="13"/>
                <w:color w:val="auto"/>
              </w:rPr>
              <w:t>214,286</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  214,838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  214,018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Archipelago Learning, Inc.</w:t>
            </w:r>
          </w:p>
        </w:tc>
        <w:tc>
          <w:tcPr>
            <w:tcW w:w="660" w:type="dxa"/>
            <w:vAlign w:val="bottom"/>
            <w:shd w:val="clear" w:color="auto" w:fill="CCEEFF"/>
          </w:tcPr>
          <w:p>
            <w:pPr>
              <w:ind w:left="60"/>
              <w:spacing w:after="0" w:line="138" w:lineRule="exact"/>
              <w:rPr>
                <w:sz w:val="20"/>
                <w:szCs w:val="20"/>
                <w:color w:val="auto"/>
              </w:rPr>
            </w:pPr>
            <w:r>
              <w:rPr>
                <w:rFonts w:ascii="Arial" w:cs="Arial" w:eastAsia="Arial" w:hAnsi="Arial"/>
                <w:sz w:val="13"/>
                <w:szCs w:val="13"/>
                <w:color w:val="auto"/>
                <w:w w:val="89"/>
              </w:rPr>
              <w:t>05/17/2018</w:t>
            </w:r>
          </w:p>
        </w:tc>
        <w:tc>
          <w:tcPr>
            <w:tcW w:w="180" w:type="dxa"/>
            <w:vAlign w:val="bottom"/>
            <w:shd w:val="clear" w:color="auto" w:fill="CCEEFF"/>
          </w:tcPr>
          <w:p>
            <w:pPr>
              <w:spacing w:after="0"/>
              <w:rPr>
                <w:sz w:val="11"/>
                <w:szCs w:val="11"/>
                <w:color w:val="auto"/>
              </w:rPr>
            </w:pPr>
          </w:p>
        </w:tc>
        <w:tc>
          <w:tcPr>
            <w:tcW w:w="188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4"/>
              </w:rPr>
              <w:t>Media, Broadcasting and</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7.50%</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L+600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987,500</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959,574</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987,500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5"/>
              </w:rPr>
              <w:t>Subscription</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Aspen Dental Management, Inc.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10/06/2016</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Consumer Services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2,977,500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2,937,079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2,962,613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Attachmate Corporation</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11/22/2017</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High Tech Industries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2,943,750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2,888,381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2,960,309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Autoparts Holdings Limited</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07/28/2017</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8"/>
              </w:rPr>
              <w:t>Automotive</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L+500</w:t>
            </w:r>
          </w:p>
        </w:tc>
        <w:tc>
          <w:tcPr>
            <w:tcW w:w="580" w:type="dxa"/>
            <w:vAlign w:val="bottom"/>
          </w:tcPr>
          <w:p>
            <w:pPr>
              <w:jc w:val="right"/>
              <w:spacing w:after="0"/>
              <w:rPr>
                <w:sz w:val="20"/>
                <w:szCs w:val="20"/>
                <w:color w:val="auto"/>
              </w:rPr>
            </w:pPr>
            <w:r>
              <w:rPr>
                <w:rFonts w:ascii="Arial" w:cs="Arial" w:eastAsia="Arial" w:hAnsi="Arial"/>
                <w:sz w:val="13"/>
                <w:szCs w:val="13"/>
                <w:color w:val="auto"/>
              </w:rPr>
              <w:t>990,000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985,747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987,525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 Coat Systems,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02/15/2018</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High Tech Industries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L+600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3,975,000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3,902,979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4,014,750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C.H.I. Overhead Doors, Inc.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08/17/2017</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Consumer Goods: Durable</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7.25%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L+575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3,866,119</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3,801,408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3,859,675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DCS Business Services,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03/19/2018</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0"/>
              </w:rPr>
              <w:t>Business Services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3,733,125</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3,673,063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3,677,128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Document Technologies, Inc.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12/01/2016</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Business Services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L+500</w:t>
            </w:r>
          </w:p>
        </w:tc>
        <w:tc>
          <w:tcPr>
            <w:tcW w:w="580" w:type="dxa"/>
            <w:vAlign w:val="bottom"/>
          </w:tcPr>
          <w:p>
            <w:pPr>
              <w:jc w:val="right"/>
              <w:spacing w:after="0"/>
              <w:rPr>
                <w:sz w:val="20"/>
                <w:szCs w:val="20"/>
                <w:color w:val="auto"/>
              </w:rPr>
            </w:pPr>
            <w:r>
              <w:rPr>
                <w:rFonts w:ascii="Arial" w:cs="Arial" w:eastAsia="Arial" w:hAnsi="Arial"/>
                <w:sz w:val="13"/>
                <w:szCs w:val="13"/>
                <w:color w:val="auto"/>
              </w:rPr>
              <w:t>990,000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981,827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987,525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DS Waters of America,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08/29/2017</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Beverage, Food and Tobacco</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L+900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3,980,000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3,904,846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4,109,350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EAG, Inc.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07/28/2017</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Business Services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6.75%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P+350</w:t>
            </w:r>
          </w:p>
        </w:tc>
        <w:tc>
          <w:tcPr>
            <w:tcW w:w="580" w:type="dxa"/>
            <w:vAlign w:val="bottom"/>
          </w:tcPr>
          <w:p>
            <w:pPr>
              <w:jc w:val="right"/>
              <w:spacing w:after="0"/>
              <w:rPr>
                <w:sz w:val="20"/>
                <w:szCs w:val="20"/>
                <w:color w:val="auto"/>
              </w:rPr>
            </w:pPr>
            <w:r>
              <w:rPr>
                <w:rFonts w:ascii="Arial" w:cs="Arial" w:eastAsia="Arial" w:hAnsi="Arial"/>
                <w:sz w:val="13"/>
                <w:szCs w:val="13"/>
                <w:color w:val="auto"/>
              </w:rPr>
              <w:t>950,104</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946,081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945,353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EIG Investors Corp.</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04/20/2018</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High Tech Industries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7.75%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L+625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3,990,000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3,952,867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4,009,950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rPr>
                <w:sz w:val="20"/>
                <w:szCs w:val="20"/>
                <w:color w:val="auto"/>
              </w:rPr>
            </w:pPr>
            <w:r>
              <w:rPr>
                <w:rFonts w:ascii="Arial" w:cs="Arial" w:eastAsia="Arial" w:hAnsi="Arial"/>
                <w:sz w:val="13"/>
                <w:szCs w:val="13"/>
                <w:color w:val="auto"/>
              </w:rPr>
              <w:t>Emerald Performance Materials, LLC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05/18/2018</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Chemicals, Plastics and Rubber</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6.75%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1,995,000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1,975,762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2,004,975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eResearchtechnology,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05/02/2018</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Healthcare and Pharmaceuticals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L+650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3,000,000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2,884,003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Fundtech (US FT HOLDCO, INC.)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11/30/2017</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Business Services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7.50%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2,977,500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2,898,672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2,977,500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GFA Brands,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07/02/2018</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Beverage, Food and Tobacco</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1,995,000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1,956,496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2,012,456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09/02/2019</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Hotel, Gaming and Leisure</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9.63%</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3,000,000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3,000,000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3,120,000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Gundle/SLT Environmental,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05/27/2016</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5"/>
              </w:rPr>
              <w:t>Environmental Industries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2,956,829</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2,933,351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2,934,653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rPr>
                <w:sz w:val="20"/>
                <w:szCs w:val="20"/>
                <w:color w:val="auto"/>
              </w:rPr>
            </w:pPr>
            <w:r>
              <w:rPr>
                <w:rFonts w:ascii="Arial" w:cs="Arial" w:eastAsia="Arial" w:hAnsi="Arial"/>
                <w:sz w:val="13"/>
                <w:szCs w:val="13"/>
                <w:color w:val="auto"/>
              </w:rPr>
              <w:t>Healogics, Inc. (f/k/a National Healing Corp.)</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11/30/2017</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Healthcare and Pharmaceuticals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8.25%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4,962,500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4,742,008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4,925,281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HMK Intermediate Holdings LLC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04/01/2019</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Retail</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L+600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2,985,000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2,929,228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2,992,463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Howard Berger Co. LLC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08/03/2017</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Wholesale</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2,743,125</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2,702,953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2,715,694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03/30/2017</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8"/>
              </w:rPr>
              <w:t>Automotive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11.50%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2,000,000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1,963,159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Ikaria, Inc.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06/22/2016</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Healthcare and Pharmaceuticals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7.75%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1,700,000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1,691,500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1,649,000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Instant Web, Inc.</w:t>
            </w:r>
          </w:p>
        </w:tc>
        <w:tc>
          <w:tcPr>
            <w:tcW w:w="660" w:type="dxa"/>
            <w:vAlign w:val="bottom"/>
            <w:shd w:val="clear" w:color="auto" w:fill="CCEEFF"/>
          </w:tcPr>
          <w:p>
            <w:pPr>
              <w:ind w:left="60"/>
              <w:spacing w:after="0" w:line="138" w:lineRule="exact"/>
              <w:rPr>
                <w:sz w:val="20"/>
                <w:szCs w:val="20"/>
                <w:color w:val="auto"/>
              </w:rPr>
            </w:pPr>
            <w:r>
              <w:rPr>
                <w:rFonts w:ascii="Arial" w:cs="Arial" w:eastAsia="Arial" w:hAnsi="Arial"/>
                <w:sz w:val="13"/>
                <w:szCs w:val="13"/>
                <w:color w:val="auto"/>
                <w:w w:val="89"/>
              </w:rPr>
              <w:t>08/07/2014</w:t>
            </w:r>
          </w:p>
        </w:tc>
        <w:tc>
          <w:tcPr>
            <w:tcW w:w="180" w:type="dxa"/>
            <w:vAlign w:val="bottom"/>
            <w:shd w:val="clear" w:color="auto" w:fill="CCEEFF"/>
          </w:tcPr>
          <w:p>
            <w:pPr>
              <w:spacing w:after="0"/>
              <w:rPr>
                <w:sz w:val="11"/>
                <w:szCs w:val="11"/>
                <w:color w:val="auto"/>
              </w:rPr>
            </w:pPr>
          </w:p>
        </w:tc>
        <w:tc>
          <w:tcPr>
            <w:tcW w:w="18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6"/>
              </w:rPr>
              <w:t>Media: Advertising, Printing and</w:t>
            </w: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L+338</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6,836,508</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6,534,349</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5,247,020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Publishing</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K2 Pure Solutions NoCal, L.P.</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09/10/2015</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Chemicals, Plastics and Rubber</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10.00%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L+775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5,476,250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5,512,699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5,558,394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06/02/2014</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4"/>
              </w:rPr>
              <w:t>Consumer Goods: Non-Durable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L+700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4,937,500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4,845,282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4,863,438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rPr>
                <w:sz w:val="20"/>
                <w:szCs w:val="20"/>
                <w:color w:val="auto"/>
              </w:rPr>
            </w:pPr>
            <w:r>
              <w:rPr>
                <w:rFonts w:ascii="Arial" w:cs="Arial" w:eastAsia="Arial" w:hAnsi="Arial"/>
                <w:sz w:val="13"/>
                <w:szCs w:val="13"/>
                <w:color w:val="auto"/>
              </w:rPr>
              <w:t>Medpace Intermediateco, Inc.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06/19/2017</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Business Services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1,844,649</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1,821,373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1,766,252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MModal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08/16/2019</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0"/>
              </w:rPr>
              <w:t>Business Services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6.75%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3,400,000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3,349,374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3,351,125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auto"/>
                <w:w w:val="89"/>
              </w:rPr>
              <w:t>05/07/2018</w:t>
            </w:r>
          </w:p>
        </w:tc>
        <w:tc>
          <w:tcPr>
            <w:tcW w:w="180" w:type="dxa"/>
            <w:vAlign w:val="bottom"/>
          </w:tcPr>
          <w:p>
            <w:pPr>
              <w:spacing w:after="0"/>
              <w:rPr>
                <w:sz w:val="11"/>
                <w:szCs w:val="11"/>
                <w:color w:val="auto"/>
              </w:rPr>
            </w:pPr>
          </w:p>
        </w:tc>
        <w:tc>
          <w:tcPr>
            <w:tcW w:w="188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6"/>
              </w:rPr>
              <w:t>Media: Diversified and</w:t>
            </w:r>
          </w:p>
        </w:tc>
        <w:tc>
          <w:tcPr>
            <w:tcW w:w="98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L+550</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3,950,000</w:t>
            </w:r>
          </w:p>
        </w:tc>
        <w:tc>
          <w:tcPr>
            <w:tcW w:w="160" w:type="dxa"/>
            <w:vAlign w:val="bottom"/>
          </w:tcPr>
          <w:p>
            <w:pPr>
              <w:spacing w:after="0"/>
              <w:rPr>
                <w:sz w:val="11"/>
                <w:szCs w:val="11"/>
                <w:color w:val="auto"/>
              </w:rPr>
            </w:pPr>
          </w:p>
        </w:tc>
        <w:tc>
          <w:tcPr>
            <w:tcW w:w="86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3,916,596</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3,921,611</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Production</w:t>
            </w: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12/23/2016</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High Tech Industries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L+700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2,887,500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2,826,368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2,887,500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rPr>
                <w:sz w:val="20"/>
                <w:szCs w:val="20"/>
                <w:color w:val="auto"/>
              </w:rPr>
            </w:pPr>
            <w:r>
              <w:rPr>
                <w:rFonts w:ascii="Arial" w:cs="Arial" w:eastAsia="Arial" w:hAnsi="Arial"/>
                <w:sz w:val="13"/>
                <w:szCs w:val="13"/>
                <w:color w:val="auto"/>
              </w:rPr>
              <w:t>MX USA, INC and KAN-DI-KI, LLC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05/01/2017</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Healthcare and Pharmaceuticals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2,985,000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2,943,607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2,955,150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8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04/24/2018</w:t>
            </w:r>
          </w:p>
        </w:tc>
        <w:tc>
          <w:tcPr>
            <w:tcW w:w="188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Banking, Finance, Insurance and</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7.00%</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987,500</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973,817</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997,375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Real Estate</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rPr>
                <w:sz w:val="20"/>
                <w:szCs w:val="20"/>
                <w:color w:val="auto"/>
              </w:rPr>
            </w:pPr>
            <w:r>
              <w:rPr>
                <w:rFonts w:ascii="Arial" w:cs="Arial" w:eastAsia="Arial" w:hAnsi="Arial"/>
                <w:sz w:val="13"/>
                <w:szCs w:val="13"/>
                <w:color w:val="auto"/>
              </w:rPr>
              <w:t>Pelican Products, Inc.</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07/11/2018</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Containers, Packaging and Glass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1,496,250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1,467,389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1,492,509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Penton Media, Inc.</w:t>
            </w:r>
          </w:p>
        </w:tc>
        <w:tc>
          <w:tcPr>
            <w:tcW w:w="8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08/01/2014</w:t>
            </w:r>
          </w:p>
        </w:tc>
        <w:tc>
          <w:tcPr>
            <w:tcW w:w="188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6"/>
              </w:rPr>
              <w:t>Media: Diversified and</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5.00%</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L+400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5,497,407</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4,931,995</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4,439,156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Production</w:t>
            </w:r>
          </w:p>
        </w:tc>
        <w:tc>
          <w:tcPr>
            <w:tcW w:w="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(PIK 1.00%)</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20" w:type="dxa"/>
            <w:vAlign w:val="bottom"/>
            <w:gridSpan w:val="2"/>
          </w:tcPr>
          <w:p>
            <w:pPr>
              <w:spacing w:after="0"/>
              <w:rPr>
                <w:sz w:val="20"/>
                <w:szCs w:val="20"/>
                <w:color w:val="auto"/>
              </w:rPr>
            </w:pPr>
            <w:r>
              <w:rPr>
                <w:rFonts w:ascii="Arial" w:cs="Arial" w:eastAsia="Arial" w:hAnsi="Arial"/>
                <w:sz w:val="13"/>
                <w:szCs w:val="13"/>
                <w:color w:val="auto"/>
              </w:rPr>
              <w:t>Potter’s Holdings II, L.P.</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05/08/2017</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Containers, Packaging and Glass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L+450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1,975,000</w:t>
            </w:r>
          </w:p>
        </w:tc>
        <w:tc>
          <w:tcPr>
            <w:tcW w:w="16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1,958,715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1,967,594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60" w:type="dxa"/>
            <w:vAlign w:val="bottom"/>
          </w:tcPr>
          <w:p>
            <w:pPr>
              <w:spacing w:after="0"/>
              <w:rPr>
                <w:sz w:val="3"/>
                <w:szCs w:val="3"/>
                <w:color w:val="auto"/>
              </w:rPr>
            </w:pPr>
          </w:p>
        </w:tc>
        <w:tc>
          <w:tcPr>
            <w:tcW w:w="3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 Mach, Inc.</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07/06/2017</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Capital Equipment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L+475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978,077</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970,036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967,889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tcPr>
          <w:p>
            <w:pPr>
              <w:spacing w:after="0" w:line="138" w:lineRule="exact"/>
              <w:rPr>
                <w:sz w:val="20"/>
                <w:szCs w:val="20"/>
                <w:color w:val="auto"/>
              </w:rPr>
            </w:pPr>
            <w:r>
              <w:rPr>
                <w:rFonts w:ascii="Arial" w:cs="Arial" w:eastAsia="Arial" w:hAnsi="Arial"/>
                <w:sz w:val="13"/>
                <w:szCs w:val="13"/>
                <w:color w:val="auto"/>
              </w:rPr>
              <w:t>Renaissance Learning, Inc.</w:t>
            </w:r>
          </w:p>
        </w:tc>
        <w:tc>
          <w:tcPr>
            <w:tcW w:w="84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10/19/2017</w:t>
            </w:r>
          </w:p>
        </w:tc>
        <w:tc>
          <w:tcPr>
            <w:tcW w:w="188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4"/>
              </w:rPr>
              <w:t>Media: Broadcasting and</w:t>
            </w:r>
          </w:p>
        </w:tc>
        <w:tc>
          <w:tcPr>
            <w:tcW w:w="98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7.75%</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L+625</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1,980,000</w:t>
            </w:r>
          </w:p>
        </w:tc>
        <w:tc>
          <w:tcPr>
            <w:tcW w:w="160" w:type="dxa"/>
            <w:vAlign w:val="bottom"/>
          </w:tcPr>
          <w:p>
            <w:pPr>
              <w:spacing w:after="0"/>
              <w:rPr>
                <w:sz w:val="11"/>
                <w:szCs w:val="11"/>
                <w:color w:val="auto"/>
              </w:rPr>
            </w:pPr>
          </w:p>
        </w:tc>
        <w:tc>
          <w:tcPr>
            <w:tcW w:w="86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1,909,788</w:t>
            </w:r>
          </w:p>
        </w:tc>
        <w:tc>
          <w:tcPr>
            <w:tcW w:w="7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1,994,850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Subscription</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Rocket Software,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02/08/2018</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High Tech Industries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3,970,000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3,898,141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Sabre Industries, Inc.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08/24/2018</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Construction and Building</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3,000,000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2,955,509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2,973,126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Securus Technologies,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05/31/2017</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Telecommunications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2,962,500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2,938,182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2,960,648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Seven Seas Cruises S. DE R.L.</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12/21/2018</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Hotel, Gaming and Leisure</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6.25%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1,500,000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1,485,300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1,505,625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Sotera Defense Solutions,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04/21/2017</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Aerospace and Defense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2,962,512</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2,939,052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2,932,887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Tekelec Global, Inc. (First Out)</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01/29/2018</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Telecommunications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9.00%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L+750</w:t>
            </w:r>
          </w:p>
        </w:tc>
        <w:tc>
          <w:tcPr>
            <w:tcW w:w="580" w:type="dxa"/>
            <w:vAlign w:val="bottom"/>
          </w:tcPr>
          <w:p>
            <w:pPr>
              <w:jc w:val="right"/>
              <w:spacing w:after="0"/>
              <w:rPr>
                <w:sz w:val="20"/>
                <w:szCs w:val="20"/>
                <w:color w:val="auto"/>
              </w:rPr>
            </w:pPr>
            <w:r>
              <w:rPr>
                <w:rFonts w:ascii="Arial" w:cs="Arial" w:eastAsia="Arial" w:hAnsi="Arial"/>
                <w:sz w:val="13"/>
                <w:szCs w:val="13"/>
                <w:color w:val="auto"/>
              </w:rPr>
              <w:t>150,000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147,935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Tekelec Global, Inc. (Second Out)</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01/29/2018</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Telecommunications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L+1,200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1,875,000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1,823,914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1,914,375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rPr>
                <w:sz w:val="20"/>
                <w:szCs w:val="20"/>
                <w:color w:val="auto"/>
              </w:rPr>
            </w:pPr>
            <w:r>
              <w:rPr>
                <w:rFonts w:ascii="Arial" w:cs="Arial" w:eastAsia="Arial" w:hAnsi="Arial"/>
                <w:sz w:val="13"/>
                <w:szCs w:val="13"/>
                <w:color w:val="auto"/>
              </w:rPr>
              <w:t>Triple Point Technology, Inc.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10/27/2017</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High Tech Industries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8.00%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L+650</w:t>
            </w:r>
          </w:p>
        </w:tc>
        <w:tc>
          <w:tcPr>
            <w:tcW w:w="580" w:type="dxa"/>
            <w:vAlign w:val="bottom"/>
          </w:tcPr>
          <w:p>
            <w:pPr>
              <w:jc w:val="right"/>
              <w:spacing w:after="0"/>
              <w:rPr>
                <w:sz w:val="20"/>
                <w:szCs w:val="20"/>
                <w:color w:val="auto"/>
              </w:rPr>
            </w:pPr>
            <w:r>
              <w:rPr>
                <w:rFonts w:ascii="Arial" w:cs="Arial" w:eastAsia="Arial" w:hAnsi="Arial"/>
                <w:sz w:val="13"/>
                <w:szCs w:val="13"/>
                <w:color w:val="auto"/>
              </w:rPr>
              <w:t>992,500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958,036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992,500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UniTek Global Services,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04/16/2018</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Telecommunications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L+750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1,995,000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1,935,550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1,950,113</w:t>
            </w: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Univita Health Inc.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06/19/2017</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Consumer Services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6.25%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L+475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2,962,500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2,938,318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2,844,000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Valitas Health Services, Inc.</w:t>
            </w:r>
          </w:p>
        </w:tc>
        <w:tc>
          <w:tcPr>
            <w:tcW w:w="66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06/02/2017</w:t>
            </w: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Healthcare and Pharmaceuticals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5.75%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L+450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1,481,250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1,474,945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1,466,438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Vantage Specialties, Inc.</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02/09/2018</w:t>
            </w:r>
          </w:p>
        </w:tc>
        <w:tc>
          <w:tcPr>
            <w:tcW w:w="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Chemicals, Plastics and Rubber</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7.00%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2,985,000</w:t>
            </w:r>
          </w:p>
        </w:tc>
        <w:tc>
          <w:tcPr>
            <w:tcW w:w="16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2,930,559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2,999,925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Viamedia Services Corp.</w:t>
            </w:r>
          </w:p>
        </w:tc>
        <w:tc>
          <w:tcPr>
            <w:tcW w:w="660" w:type="dxa"/>
            <w:vAlign w:val="bottom"/>
            <w:shd w:val="clear" w:color="auto" w:fill="CCEEFF"/>
          </w:tcPr>
          <w:p>
            <w:pPr>
              <w:ind w:left="60"/>
              <w:spacing w:after="0" w:line="138" w:lineRule="exact"/>
              <w:rPr>
                <w:sz w:val="20"/>
                <w:szCs w:val="20"/>
                <w:color w:val="auto"/>
              </w:rPr>
            </w:pPr>
            <w:r>
              <w:rPr>
                <w:rFonts w:ascii="Arial" w:cs="Arial" w:eastAsia="Arial" w:hAnsi="Arial"/>
                <w:sz w:val="13"/>
                <w:szCs w:val="13"/>
                <w:color w:val="auto"/>
                <w:w w:val="89"/>
              </w:rPr>
              <w:t>04/19/2016</w:t>
            </w:r>
          </w:p>
        </w:tc>
        <w:tc>
          <w:tcPr>
            <w:tcW w:w="180" w:type="dxa"/>
            <w:vAlign w:val="bottom"/>
            <w:shd w:val="clear" w:color="auto" w:fill="CCEEFF"/>
          </w:tcPr>
          <w:p>
            <w:pPr>
              <w:spacing w:after="0"/>
              <w:rPr>
                <w:sz w:val="11"/>
                <w:szCs w:val="11"/>
                <w:color w:val="auto"/>
              </w:rPr>
            </w:pPr>
          </w:p>
        </w:tc>
        <w:tc>
          <w:tcPr>
            <w:tcW w:w="188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3"/>
                <w:szCs w:val="13"/>
                <w:color w:val="auto"/>
                <w:w w:val="98"/>
              </w:rPr>
              <w:t>Media: Advertising, Printing</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7.00%</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4,187,556</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4,147,483</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4,187,556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and</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Publishing</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320" w:type="dxa"/>
            <w:vAlign w:val="bottom"/>
            <w:gridSpan w:val="2"/>
          </w:tcPr>
          <w:p>
            <w:pPr>
              <w:spacing w:after="0"/>
              <w:rPr>
                <w:sz w:val="20"/>
                <w:szCs w:val="20"/>
                <w:color w:val="auto"/>
              </w:rPr>
            </w:pPr>
            <w:r>
              <w:rPr>
                <w:rFonts w:ascii="Arial" w:cs="Arial" w:eastAsia="Arial" w:hAnsi="Arial"/>
                <w:sz w:val="13"/>
                <w:szCs w:val="13"/>
                <w:color w:val="auto"/>
              </w:rPr>
              <w:t>Virtual Radiologic Corporation</w:t>
            </w:r>
          </w:p>
        </w:tc>
        <w:tc>
          <w:tcPr>
            <w:tcW w:w="660" w:type="dxa"/>
            <w:vAlign w:val="bottom"/>
          </w:tcPr>
          <w:p>
            <w:pPr>
              <w:ind w:left="60"/>
              <w:spacing w:after="0"/>
              <w:rPr>
                <w:sz w:val="20"/>
                <w:szCs w:val="20"/>
                <w:color w:val="auto"/>
              </w:rPr>
            </w:pPr>
            <w:r>
              <w:rPr>
                <w:rFonts w:ascii="Arial" w:cs="Arial" w:eastAsia="Arial" w:hAnsi="Arial"/>
                <w:sz w:val="13"/>
                <w:szCs w:val="13"/>
                <w:color w:val="auto"/>
                <w:w w:val="89"/>
              </w:rPr>
              <w:t>12/22/2016</w:t>
            </w:r>
          </w:p>
        </w:tc>
        <w:tc>
          <w:tcPr>
            <w:tcW w:w="180" w:type="dxa"/>
            <w:vAlign w:val="bottom"/>
          </w:tcPr>
          <w:p>
            <w:pPr>
              <w:spacing w:after="0"/>
              <w:rPr>
                <w:sz w:val="14"/>
                <w:szCs w:val="14"/>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Business Services</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7.75%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P+450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2,970,000</w:t>
            </w:r>
          </w:p>
        </w:tc>
        <w:tc>
          <w:tcPr>
            <w:tcW w:w="16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2,940,842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2,643,300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Basis Point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Maturity</w:t>
            </w: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900" w:type="dxa"/>
            <w:vAlign w:val="bottom"/>
            <w:gridSpan w:val="2"/>
          </w:tcPr>
          <w:p>
            <w:pPr>
              <w:jc w:val="right"/>
              <w:ind w:right="293"/>
              <w:spacing w:after="0"/>
              <w:rPr>
                <w:sz w:val="20"/>
                <w:szCs w:val="20"/>
                <w:color w:val="auto"/>
              </w:rPr>
            </w:pPr>
            <w:r>
              <w:rPr>
                <w:rFonts w:ascii="Arial" w:cs="Arial" w:eastAsia="Arial" w:hAnsi="Arial"/>
                <w:sz w:val="13"/>
                <w:szCs w:val="13"/>
                <w:b w:val="1"/>
                <w:bCs w:val="1"/>
                <w:color w:val="auto"/>
              </w:rPr>
              <w:t>Current</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Above</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42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900" w:type="dxa"/>
            <w:vAlign w:val="bottom"/>
            <w:gridSpan w:val="2"/>
          </w:tcPr>
          <w:p>
            <w:pPr>
              <w:jc w:val="right"/>
              <w:ind w:right="313"/>
              <w:spacing w:after="0"/>
              <w:rPr>
                <w:sz w:val="20"/>
                <w:szCs w:val="20"/>
                <w:color w:val="auto"/>
              </w:rPr>
            </w:pPr>
            <w:r>
              <w:rPr>
                <w:rFonts w:ascii="Arial" w:cs="Arial" w:eastAsia="Arial" w:hAnsi="Arial"/>
                <w:sz w:val="13"/>
                <w:szCs w:val="13"/>
                <w:b w:val="1"/>
                <w:bCs w:val="1"/>
                <w:color w:val="auto"/>
              </w:rPr>
              <w:t>Coupon</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W3 CO.</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92"/>
              </w:rPr>
              <w:t>10/31/2017</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Energy: Oil and Gas</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7.50</w:t>
            </w:r>
          </w:p>
        </w:tc>
        <w:tc>
          <w:tcPr>
            <w:tcW w:w="320" w:type="dxa"/>
            <w:vAlign w:val="bottom"/>
            <w:tcBorders>
              <w:top w:val="single" w:sz="8" w:color="CCEEFF"/>
            </w:tcBorders>
            <w:shd w:val="clear" w:color="auto" w:fill="CCEEFF"/>
          </w:tcPr>
          <w:p>
            <w:pPr>
              <w:jc w:val="right"/>
              <w:ind w:right="133"/>
              <w:spacing w:after="0" w:line="142" w:lineRule="exact"/>
              <w:rPr>
                <w:sz w:val="20"/>
                <w:szCs w:val="20"/>
                <w:color w:val="auto"/>
              </w:rPr>
            </w:pPr>
            <w:r>
              <w:rPr>
                <w:rFonts w:ascii="Arial" w:cs="Arial" w:eastAsia="Arial" w:hAnsi="Arial"/>
                <w:sz w:val="13"/>
                <w:szCs w:val="13"/>
                <w:color w:val="auto"/>
                <w:w w:val="86"/>
              </w:rPr>
              <w:t>%</w:t>
            </w:r>
          </w:p>
        </w:tc>
        <w:tc>
          <w:tcPr>
            <w:tcW w:w="68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3"/>
                <w:szCs w:val="13"/>
                <w:color w:val="auto"/>
                <w:w w:val="93"/>
              </w:rPr>
              <w:t>L+625</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1,985,000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1,916,035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1,982,519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gridSpan w:val="2"/>
          </w:tcPr>
          <w:p>
            <w:pPr>
              <w:spacing w:after="0"/>
              <w:rPr>
                <w:sz w:val="20"/>
                <w:szCs w:val="20"/>
                <w:color w:val="auto"/>
              </w:rPr>
            </w:pPr>
            <w:r>
              <w:rPr>
                <w:rFonts w:ascii="Arial" w:cs="Arial" w:eastAsia="Arial" w:hAnsi="Arial"/>
                <w:sz w:val="13"/>
                <w:szCs w:val="13"/>
                <w:color w:val="auto"/>
              </w:rPr>
              <w:t>Water Pik, Inc.</w:t>
            </w:r>
          </w:p>
        </w:tc>
        <w:tc>
          <w:tcPr>
            <w:tcW w:w="620" w:type="dxa"/>
            <w:vAlign w:val="bottom"/>
          </w:tcPr>
          <w:p>
            <w:pPr>
              <w:spacing w:after="0"/>
              <w:rPr>
                <w:sz w:val="20"/>
                <w:szCs w:val="20"/>
                <w:color w:val="auto"/>
              </w:rPr>
            </w:pPr>
            <w:r>
              <w:rPr>
                <w:rFonts w:ascii="Arial" w:cs="Arial" w:eastAsia="Arial" w:hAnsi="Arial"/>
                <w:sz w:val="13"/>
                <w:szCs w:val="13"/>
                <w:color w:val="auto"/>
                <w:w w:val="92"/>
              </w:rPr>
              <w:t>08/10/2017</w:t>
            </w:r>
          </w:p>
        </w:tc>
        <w:tc>
          <w:tcPr>
            <w:tcW w:w="100" w:type="dxa"/>
            <w:vAlign w:val="bottom"/>
          </w:tcPr>
          <w:p>
            <w:pPr>
              <w:spacing w:after="0"/>
              <w:rPr>
                <w:sz w:val="12"/>
                <w:szCs w:val="12"/>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Consumer Goods: Durable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6.75%</w:t>
            </w:r>
          </w:p>
        </w:tc>
        <w:tc>
          <w:tcPr>
            <w:tcW w:w="860" w:type="dxa"/>
            <w:vAlign w:val="bottom"/>
            <w:gridSpan w:val="2"/>
          </w:tcPr>
          <w:p>
            <w:pPr>
              <w:ind w:left="320"/>
              <w:spacing w:after="0"/>
              <w:rPr>
                <w:sz w:val="20"/>
                <w:szCs w:val="20"/>
                <w:color w:val="auto"/>
              </w:rPr>
            </w:pPr>
            <w:r>
              <w:rPr>
                <w:rFonts w:ascii="Arial" w:cs="Arial" w:eastAsia="Arial" w:hAnsi="Arial"/>
                <w:sz w:val="13"/>
                <w:szCs w:val="13"/>
                <w:color w:val="auto"/>
              </w:rPr>
              <w:t>L+525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3,465,000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3,434,281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3,456,338</w:t>
            </w:r>
          </w:p>
        </w:tc>
        <w:tc>
          <w:tcPr>
            <w:tcW w:w="0" w:type="dxa"/>
            <w:vAlign w:val="bottom"/>
          </w:tcPr>
          <w:p>
            <w:pPr>
              <w:spacing w:after="0"/>
              <w:rPr>
                <w:sz w:val="1"/>
                <w:szCs w:val="1"/>
                <w:color w:val="auto"/>
              </w:rPr>
            </w:pPr>
          </w:p>
        </w:tc>
      </w:tr>
      <w:tr>
        <w:trPr>
          <w:trHeight w:val="148"/>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WCA Waste Corporation</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03/23/2018</w:t>
            </w:r>
          </w:p>
        </w:tc>
        <w:tc>
          <w:tcPr>
            <w:tcW w:w="1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5"/>
              </w:rPr>
              <w:t>Environmental Industries</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5.50%</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L+425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995,000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985,787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998,316</w:t>
            </w:r>
          </w:p>
        </w:tc>
        <w:tc>
          <w:tcPr>
            <w:tcW w:w="0" w:type="dxa"/>
            <w:vAlign w:val="bottom"/>
          </w:tcPr>
          <w:p>
            <w:pPr>
              <w:spacing w:after="0"/>
              <w:rPr>
                <w:sz w:val="1"/>
                <w:szCs w:val="1"/>
                <w:color w:val="auto"/>
              </w:rPr>
            </w:pPr>
          </w:p>
        </w:tc>
      </w:tr>
      <w:tr>
        <w:trPr>
          <w:trHeight w:val="148"/>
        </w:trPr>
        <w:tc>
          <w:tcPr>
            <w:tcW w:w="4260" w:type="dxa"/>
            <w:vAlign w:val="bottom"/>
            <w:gridSpan w:val="2"/>
          </w:tcPr>
          <w:p>
            <w:pPr>
              <w:spacing w:after="0"/>
              <w:rPr>
                <w:sz w:val="20"/>
                <w:szCs w:val="20"/>
                <w:color w:val="auto"/>
              </w:rPr>
            </w:pPr>
            <w:r>
              <w:rPr>
                <w:rFonts w:ascii="Arial" w:cs="Arial" w:eastAsia="Arial" w:hAnsi="Arial"/>
                <w:sz w:val="13"/>
                <w:szCs w:val="13"/>
                <w:color w:val="auto"/>
              </w:rPr>
              <w:t>Wilton Brands, LLC</w:t>
            </w:r>
          </w:p>
        </w:tc>
        <w:tc>
          <w:tcPr>
            <w:tcW w:w="620" w:type="dxa"/>
            <w:vAlign w:val="bottom"/>
          </w:tcPr>
          <w:p>
            <w:pPr>
              <w:spacing w:after="0"/>
              <w:rPr>
                <w:sz w:val="20"/>
                <w:szCs w:val="20"/>
                <w:color w:val="auto"/>
              </w:rPr>
            </w:pPr>
            <w:r>
              <w:rPr>
                <w:rFonts w:ascii="Arial" w:cs="Arial" w:eastAsia="Arial" w:hAnsi="Arial"/>
                <w:sz w:val="13"/>
                <w:szCs w:val="13"/>
                <w:color w:val="auto"/>
                <w:w w:val="92"/>
              </w:rPr>
              <w:t>08/30/2018</w:t>
            </w:r>
          </w:p>
        </w:tc>
        <w:tc>
          <w:tcPr>
            <w:tcW w:w="100" w:type="dxa"/>
            <w:vAlign w:val="bottom"/>
          </w:tcPr>
          <w:p>
            <w:pPr>
              <w:spacing w:after="0"/>
              <w:rPr>
                <w:sz w:val="12"/>
                <w:szCs w:val="12"/>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Consumer Goods: Non-Durable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7.50%</w:t>
            </w:r>
          </w:p>
        </w:tc>
        <w:tc>
          <w:tcPr>
            <w:tcW w:w="860" w:type="dxa"/>
            <w:vAlign w:val="bottom"/>
            <w:gridSpan w:val="2"/>
          </w:tcPr>
          <w:p>
            <w:pPr>
              <w:ind w:left="320"/>
              <w:spacing w:after="0"/>
              <w:rPr>
                <w:sz w:val="20"/>
                <w:szCs w:val="20"/>
                <w:color w:val="auto"/>
              </w:rPr>
            </w:pPr>
            <w:r>
              <w:rPr>
                <w:rFonts w:ascii="Arial" w:cs="Arial" w:eastAsia="Arial" w:hAnsi="Arial"/>
                <w:sz w:val="13"/>
                <w:szCs w:val="13"/>
                <w:color w:val="auto"/>
              </w:rPr>
              <w:t>L+625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3,400,000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3,332,763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3,417,000</w:t>
            </w:r>
          </w:p>
        </w:tc>
        <w:tc>
          <w:tcPr>
            <w:tcW w:w="0" w:type="dxa"/>
            <w:vAlign w:val="bottom"/>
          </w:tcPr>
          <w:p>
            <w:pPr>
              <w:spacing w:after="0"/>
              <w:rPr>
                <w:sz w:val="1"/>
                <w:szCs w:val="1"/>
                <w:color w:val="auto"/>
              </w:rPr>
            </w:pPr>
          </w:p>
        </w:tc>
      </w:tr>
      <w:tr>
        <w:trPr>
          <w:trHeight w:val="148"/>
        </w:trPr>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07/15/2016</w:t>
            </w:r>
          </w:p>
        </w:tc>
        <w:tc>
          <w:tcPr>
            <w:tcW w:w="1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11.38%</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4,000,000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4,288,196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4,320,000</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150,258,038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150,209,747</w:t>
            </w:r>
          </w:p>
        </w:tc>
        <w:tc>
          <w:tcPr>
            <w:tcW w:w="0" w:type="dxa"/>
            <w:vAlign w:val="bottom"/>
          </w:tcPr>
          <w:p>
            <w:pPr>
              <w:spacing w:after="0"/>
              <w:rPr>
                <w:sz w:val="1"/>
                <w:szCs w:val="1"/>
                <w:color w:val="auto"/>
              </w:rPr>
            </w:pPr>
          </w:p>
        </w:tc>
      </w:tr>
      <w:tr>
        <w:trPr>
          <w:trHeight w:val="149"/>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Debt—12.6%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spacing w:after="0"/>
              <w:rPr>
                <w:sz w:val="20"/>
                <w:szCs w:val="20"/>
                <w:color w:val="auto"/>
              </w:rPr>
            </w:pPr>
            <w:r>
              <w:rPr>
                <w:rFonts w:ascii="Arial" w:cs="Arial" w:eastAsia="Arial" w:hAnsi="Arial"/>
                <w:sz w:val="13"/>
                <w:szCs w:val="13"/>
                <w:color w:val="auto"/>
                <w:w w:val="92"/>
              </w:rPr>
              <w:t>09/01/2017</w:t>
            </w:r>
          </w:p>
        </w:tc>
        <w:tc>
          <w:tcPr>
            <w:tcW w:w="100" w:type="dxa"/>
            <w:vAlign w:val="bottom"/>
          </w:tcPr>
          <w:p>
            <w:pPr>
              <w:spacing w:after="0"/>
              <w:rPr>
                <w:sz w:val="12"/>
                <w:szCs w:val="12"/>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Metals and Mining</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11.50%</w:t>
            </w: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3,000,000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3,082,500</w:t>
            </w:r>
          </w:p>
        </w:tc>
        <w:tc>
          <w:tcPr>
            <w:tcW w:w="0" w:type="dxa"/>
            <w:vAlign w:val="bottom"/>
          </w:tcPr>
          <w:p>
            <w:pPr>
              <w:spacing w:after="0"/>
              <w:rPr>
                <w:sz w:val="1"/>
                <w:szCs w:val="1"/>
                <w:color w:val="auto"/>
              </w:rPr>
            </w:pPr>
          </w:p>
        </w:tc>
      </w:tr>
      <w:tr>
        <w:trPr>
          <w:trHeight w:val="148"/>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01/29/2018</w:t>
            </w:r>
          </w:p>
        </w:tc>
        <w:tc>
          <w:tcPr>
            <w:tcW w:w="1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8"/>
              </w:rPr>
              <w:t>Automotive</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10.50%</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L+900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1,000,000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995,180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900,000</w:t>
            </w:r>
          </w:p>
        </w:tc>
        <w:tc>
          <w:tcPr>
            <w:tcW w:w="0" w:type="dxa"/>
            <w:vAlign w:val="bottom"/>
          </w:tcPr>
          <w:p>
            <w:pPr>
              <w:spacing w:after="0"/>
              <w:rPr>
                <w:sz w:val="1"/>
                <w:szCs w:val="1"/>
                <w:color w:val="auto"/>
              </w:rPr>
            </w:pPr>
          </w:p>
        </w:tc>
      </w:tr>
      <w:tr>
        <w:trPr>
          <w:trHeight w:val="148"/>
        </w:trPr>
        <w:tc>
          <w:tcPr>
            <w:tcW w:w="42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tcPr>
          <w:p>
            <w:pPr>
              <w:spacing w:after="0"/>
              <w:rPr>
                <w:sz w:val="20"/>
                <w:szCs w:val="20"/>
                <w:color w:val="auto"/>
              </w:rPr>
            </w:pPr>
            <w:r>
              <w:rPr>
                <w:rFonts w:ascii="Arial" w:cs="Arial" w:eastAsia="Arial" w:hAnsi="Arial"/>
                <w:sz w:val="13"/>
                <w:szCs w:val="13"/>
                <w:color w:val="auto"/>
                <w:w w:val="92"/>
              </w:rPr>
              <w:t>10/02/2019</w:t>
            </w:r>
          </w:p>
        </w:tc>
        <w:tc>
          <w:tcPr>
            <w:tcW w:w="100" w:type="dxa"/>
            <w:vAlign w:val="bottom"/>
          </w:tcPr>
          <w:p>
            <w:pPr>
              <w:spacing w:after="0"/>
              <w:rPr>
                <w:sz w:val="12"/>
                <w:szCs w:val="12"/>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10.00%</w:t>
            </w:r>
          </w:p>
        </w:tc>
        <w:tc>
          <w:tcPr>
            <w:tcW w:w="860" w:type="dxa"/>
            <w:vAlign w:val="bottom"/>
            <w:gridSpan w:val="2"/>
          </w:tcPr>
          <w:p>
            <w:pPr>
              <w:ind w:left="320"/>
              <w:spacing w:after="0"/>
              <w:rPr>
                <w:sz w:val="20"/>
                <w:szCs w:val="20"/>
                <w:color w:val="auto"/>
              </w:rPr>
            </w:pPr>
            <w:r>
              <w:rPr>
                <w:rFonts w:ascii="Arial" w:cs="Arial" w:eastAsia="Arial" w:hAnsi="Arial"/>
                <w:sz w:val="13"/>
                <w:szCs w:val="13"/>
                <w:color w:val="auto"/>
              </w:rPr>
              <w:t>L+875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1,700,000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1,666,000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1,691,500</w:t>
            </w:r>
          </w:p>
        </w:tc>
        <w:tc>
          <w:tcPr>
            <w:tcW w:w="0" w:type="dxa"/>
            <w:vAlign w:val="bottom"/>
          </w:tcPr>
          <w:p>
            <w:pPr>
              <w:spacing w:after="0"/>
              <w:rPr>
                <w:sz w:val="1"/>
                <w:szCs w:val="1"/>
                <w:color w:val="auto"/>
              </w:rPr>
            </w:pPr>
          </w:p>
        </w:tc>
      </w:tr>
      <w:tr>
        <w:trPr>
          <w:trHeight w:val="148"/>
        </w:trPr>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27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11/06/2018  Media: Diversified and Production</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10.25%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L+875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1,500,000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1,486,780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1,475,250</w:t>
            </w: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20" w:type="dxa"/>
            <w:vAlign w:val="bottom"/>
          </w:tcPr>
          <w:p>
            <w:pPr>
              <w:spacing w:after="0"/>
              <w:rPr>
                <w:sz w:val="20"/>
                <w:szCs w:val="20"/>
                <w:color w:val="auto"/>
              </w:rPr>
            </w:pPr>
            <w:r>
              <w:rPr>
                <w:rFonts w:ascii="Arial" w:cs="Arial" w:eastAsia="Arial" w:hAnsi="Arial"/>
                <w:sz w:val="13"/>
                <w:szCs w:val="13"/>
                <w:color w:val="auto"/>
                <w:w w:val="92"/>
              </w:rPr>
              <w:t>09/01/2018</w:t>
            </w:r>
          </w:p>
        </w:tc>
        <w:tc>
          <w:tcPr>
            <w:tcW w:w="100" w:type="dxa"/>
            <w:vAlign w:val="bottom"/>
          </w:tcPr>
          <w:p>
            <w:pPr>
              <w:spacing w:after="0"/>
              <w:rPr>
                <w:sz w:val="12"/>
                <w:szCs w:val="12"/>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12.13%</w:t>
            </w: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2,000,000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1,969,103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2,320,000</w:t>
            </w:r>
          </w:p>
        </w:tc>
        <w:tc>
          <w:tcPr>
            <w:tcW w:w="0" w:type="dxa"/>
            <w:vAlign w:val="bottom"/>
          </w:tcPr>
          <w:p>
            <w:pPr>
              <w:spacing w:after="0"/>
              <w:rPr>
                <w:sz w:val="1"/>
                <w:szCs w:val="1"/>
                <w:color w:val="auto"/>
              </w:rPr>
            </w:pPr>
          </w:p>
        </w:tc>
      </w:tr>
      <w:tr>
        <w:trPr>
          <w:trHeight w:val="148"/>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Sensus USA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05/09/2018</w:t>
            </w:r>
          </w:p>
        </w:tc>
        <w:tc>
          <w:tcPr>
            <w:tcW w:w="1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Utilities: Water</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8.50%</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L+725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1,000,000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991,580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996,250</w:t>
            </w:r>
          </w:p>
        </w:tc>
        <w:tc>
          <w:tcPr>
            <w:tcW w:w="0" w:type="dxa"/>
            <w:vAlign w:val="bottom"/>
          </w:tcPr>
          <w:p>
            <w:pPr>
              <w:spacing w:after="0"/>
              <w:rPr>
                <w:sz w:val="1"/>
                <w:szCs w:val="1"/>
                <w:color w:val="auto"/>
              </w:rPr>
            </w:pPr>
          </w:p>
        </w:tc>
      </w:tr>
      <w:tr>
        <w:trPr>
          <w:trHeight w:val="148"/>
        </w:trPr>
        <w:tc>
          <w:tcPr>
            <w:tcW w:w="42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spacing w:after="0"/>
              <w:rPr>
                <w:sz w:val="20"/>
                <w:szCs w:val="20"/>
                <w:color w:val="auto"/>
              </w:rPr>
            </w:pPr>
            <w:r>
              <w:rPr>
                <w:rFonts w:ascii="Arial" w:cs="Arial" w:eastAsia="Arial" w:hAnsi="Arial"/>
                <w:sz w:val="13"/>
                <w:szCs w:val="13"/>
                <w:color w:val="auto"/>
                <w:w w:val="92"/>
              </w:rPr>
              <w:t>05/15/2019</w:t>
            </w:r>
          </w:p>
        </w:tc>
        <w:tc>
          <w:tcPr>
            <w:tcW w:w="100" w:type="dxa"/>
            <w:vAlign w:val="bottom"/>
          </w:tcPr>
          <w:p>
            <w:pPr>
              <w:spacing w:after="0"/>
              <w:rPr>
                <w:sz w:val="12"/>
                <w:szCs w:val="12"/>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9.13%</w:t>
            </w: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1,500,000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1,500,000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1,560,000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11,608,643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12,025,500</w:t>
            </w:r>
          </w:p>
        </w:tc>
        <w:tc>
          <w:tcPr>
            <w:tcW w:w="0" w:type="dxa"/>
            <w:vAlign w:val="bottom"/>
          </w:tcPr>
          <w:p>
            <w:pPr>
              <w:spacing w:after="0"/>
              <w:rPr>
                <w:sz w:val="1"/>
                <w:szCs w:val="1"/>
                <w:color w:val="auto"/>
              </w:rPr>
            </w:pPr>
          </w:p>
        </w:tc>
      </w:tr>
      <w:tr>
        <w:trPr>
          <w:trHeight w:val="155"/>
        </w:trPr>
        <w:tc>
          <w:tcPr>
            <w:tcW w:w="426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Notes—8.7%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11/15/2015</w:t>
            </w:r>
          </w:p>
        </w:tc>
        <w:tc>
          <w:tcPr>
            <w:tcW w:w="1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4"/>
              </w:rPr>
              <w:t>Consumer Goods: Non-Durable</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11.63%</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4,100,000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3,782,015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2,788,000</w:t>
            </w:r>
          </w:p>
        </w:tc>
        <w:tc>
          <w:tcPr>
            <w:tcW w:w="0" w:type="dxa"/>
            <w:vAlign w:val="bottom"/>
          </w:tcPr>
          <w:p>
            <w:pPr>
              <w:spacing w:after="0"/>
              <w:rPr>
                <w:sz w:val="1"/>
                <w:szCs w:val="1"/>
                <w:color w:val="auto"/>
              </w:rPr>
            </w:pPr>
          </w:p>
        </w:tc>
      </w:tr>
      <w:tr>
        <w:trPr>
          <w:trHeight w:val="148"/>
        </w:trPr>
        <w:tc>
          <w:tcPr>
            <w:tcW w:w="4260" w:type="dxa"/>
            <w:vAlign w:val="bottom"/>
            <w:gridSpan w:val="2"/>
          </w:tcPr>
          <w:p>
            <w:pPr>
              <w:spacing w:after="0"/>
              <w:rPr>
                <w:sz w:val="20"/>
                <w:szCs w:val="20"/>
                <w:color w:val="auto"/>
              </w:rPr>
            </w:pPr>
            <w:r>
              <w:rPr>
                <w:rFonts w:ascii="Arial" w:cs="Arial" w:eastAsia="Arial" w:hAnsi="Arial"/>
                <w:sz w:val="13"/>
                <w:szCs w:val="13"/>
                <w:color w:val="auto"/>
              </w:rPr>
              <w:t>Document Technologies, Inc.</w:t>
            </w:r>
          </w:p>
        </w:tc>
        <w:tc>
          <w:tcPr>
            <w:tcW w:w="620" w:type="dxa"/>
            <w:vAlign w:val="bottom"/>
          </w:tcPr>
          <w:p>
            <w:pPr>
              <w:spacing w:after="0"/>
              <w:rPr>
                <w:sz w:val="20"/>
                <w:szCs w:val="20"/>
                <w:color w:val="auto"/>
              </w:rPr>
            </w:pPr>
            <w:r>
              <w:rPr>
                <w:rFonts w:ascii="Arial" w:cs="Arial" w:eastAsia="Arial" w:hAnsi="Arial"/>
                <w:sz w:val="13"/>
                <w:szCs w:val="13"/>
                <w:color w:val="auto"/>
                <w:w w:val="92"/>
              </w:rPr>
              <w:t>12/01/2017</w:t>
            </w:r>
          </w:p>
        </w:tc>
        <w:tc>
          <w:tcPr>
            <w:tcW w:w="100" w:type="dxa"/>
            <w:vAlign w:val="bottom"/>
          </w:tcPr>
          <w:p>
            <w:pPr>
              <w:spacing w:after="0"/>
              <w:rPr>
                <w:sz w:val="12"/>
                <w:szCs w:val="12"/>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13.00%</w:t>
            </w: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1,000,000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980,074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38"/>
        </w:trPr>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06/03/2019</w:t>
            </w:r>
          </w:p>
        </w:tc>
        <w:tc>
          <w:tcPr>
            <w:tcW w:w="10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90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14.25%</w:t>
            </w:r>
          </w:p>
        </w:tc>
        <w:tc>
          <w:tcPr>
            <w:tcW w:w="86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w w:val="96"/>
              </w:rPr>
              <w:t>4,508,719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4,432,092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4,508,719</w:t>
            </w: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(PIK 2.25%)</w:t>
            </w: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9,194,181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8,296,719</w:t>
            </w:r>
          </w:p>
        </w:tc>
        <w:tc>
          <w:tcPr>
            <w:tcW w:w="0" w:type="dxa"/>
            <w:vAlign w:val="bottom"/>
          </w:tcPr>
          <w:p>
            <w:pPr>
              <w:spacing w:after="0"/>
              <w:rPr>
                <w:sz w:val="1"/>
                <w:szCs w:val="1"/>
                <w:color w:val="auto"/>
              </w:rPr>
            </w:pPr>
          </w:p>
        </w:tc>
      </w:tr>
      <w:tr>
        <w:trPr>
          <w:trHeight w:val="148"/>
        </w:trPr>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60" w:type="dxa"/>
            <w:vAlign w:val="bottom"/>
            <w:gridSpan w:val="2"/>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72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200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900" w:type="dxa"/>
            <w:vAlign w:val="bottom"/>
            <w:gridSpan w:val="2"/>
          </w:tcPr>
          <w:p>
            <w:pPr>
              <w:jc w:val="right"/>
              <w:ind w:right="133"/>
              <w:spacing w:after="0" w:line="138" w:lineRule="exact"/>
              <w:rPr>
                <w:sz w:val="20"/>
                <w:szCs w:val="20"/>
                <w:color w:val="auto"/>
              </w:rPr>
            </w:pPr>
            <w:r>
              <w:rPr>
                <w:rFonts w:ascii="Arial" w:cs="Arial" w:eastAsia="Arial" w:hAnsi="Arial"/>
                <w:sz w:val="13"/>
                <w:szCs w:val="13"/>
                <w:color w:val="auto"/>
              </w:rPr>
              <w:t>12.50%</w:t>
            </w:r>
          </w:p>
        </w:tc>
        <w:tc>
          <w:tcPr>
            <w:tcW w:w="86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176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110,697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200,571</w:t>
            </w:r>
          </w:p>
        </w:tc>
        <w:tc>
          <w:tcPr>
            <w:tcW w:w="0" w:type="dxa"/>
            <w:vAlign w:val="bottom"/>
          </w:tcPr>
          <w:p>
            <w:pPr>
              <w:spacing w:after="0"/>
              <w:rPr>
                <w:sz w:val="1"/>
                <w:szCs w:val="1"/>
                <w:color w:val="auto"/>
              </w:rPr>
            </w:pPr>
          </w:p>
        </w:tc>
      </w:tr>
      <w:tr>
        <w:trPr>
          <w:trHeight w:val="166"/>
        </w:trPr>
        <w:tc>
          <w:tcPr>
            <w:tcW w:w="4260" w:type="dxa"/>
            <w:vAlign w:val="bottom"/>
            <w:gridSpan w:val="2"/>
          </w:tcPr>
          <w:p>
            <w:pPr>
              <w:ind w:left="220"/>
              <w:spacing w:after="0"/>
              <w:rPr>
                <w:sz w:val="20"/>
                <w:szCs w:val="20"/>
                <w:color w:val="auto"/>
              </w:rPr>
            </w:pPr>
            <w:r>
              <w:rPr>
                <w:rFonts w:ascii="Arial" w:cs="Arial" w:eastAsia="Arial" w:hAnsi="Arial"/>
                <w:sz w:val="13"/>
                <w:szCs w:val="13"/>
                <w:color w:val="auto"/>
              </w:rPr>
              <w:t>(TrustHouse Services Group,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Interests—1.1%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60" w:type="dxa"/>
            <w:vAlign w:val="bottom"/>
            <w:gridSpan w:val="2"/>
          </w:tcPr>
          <w:p>
            <w:pPr>
              <w:spacing w:after="0" w:line="138" w:lineRule="exact"/>
              <w:rPr>
                <w:sz w:val="20"/>
                <w:szCs w:val="20"/>
                <w:color w:val="auto"/>
              </w:rPr>
            </w:pPr>
            <w:r>
              <w:rPr>
                <w:rFonts w:ascii="Arial" w:cs="Arial" w:eastAsia="Arial" w:hAnsi="Arial"/>
                <w:sz w:val="13"/>
                <w:szCs w:val="13"/>
                <w:color w:val="auto"/>
              </w:rPr>
              <w:t>Titan Private Holdings I, LLC</w:t>
            </w:r>
          </w:p>
        </w:tc>
        <w:tc>
          <w:tcPr>
            <w:tcW w:w="72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20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3"/>
              </w:rPr>
              <w:t>Telecommunications</w:t>
            </w:r>
          </w:p>
        </w:tc>
        <w:tc>
          <w:tcPr>
            <w:tcW w:w="900" w:type="dxa"/>
            <w:vAlign w:val="bottom"/>
            <w:gridSpan w:val="2"/>
          </w:tcPr>
          <w:p>
            <w:pPr>
              <w:jc w:val="right"/>
              <w:ind w:right="313"/>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401,797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401,450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1,091,018</w:t>
            </w:r>
          </w:p>
        </w:tc>
        <w:tc>
          <w:tcPr>
            <w:tcW w:w="0" w:type="dxa"/>
            <w:vAlign w:val="bottom"/>
          </w:tcPr>
          <w:p>
            <w:pPr>
              <w:spacing w:after="0"/>
              <w:rPr>
                <w:sz w:val="1"/>
                <w:szCs w:val="1"/>
                <w:color w:val="auto"/>
              </w:rPr>
            </w:pPr>
          </w:p>
        </w:tc>
      </w:tr>
      <w:tr>
        <w:trPr>
          <w:trHeight w:val="159"/>
        </w:trPr>
        <w:tc>
          <w:tcPr>
            <w:tcW w:w="4260" w:type="dxa"/>
            <w:vAlign w:val="bottom"/>
            <w:gridSpan w:val="2"/>
          </w:tcPr>
          <w:p>
            <w:pPr>
              <w:ind w:left="220"/>
              <w:spacing w:after="0"/>
              <w:rPr>
                <w:sz w:val="20"/>
                <w:szCs w:val="20"/>
                <w:color w:val="auto"/>
              </w:rPr>
            </w:pPr>
            <w:r>
              <w:rPr>
                <w:rFonts w:ascii="Arial" w:cs="Arial" w:eastAsia="Arial" w:hAnsi="Arial"/>
                <w:sz w:val="13"/>
                <w:szCs w:val="13"/>
                <w:color w:val="auto"/>
              </w:rPr>
              <w:t>(Tekelec Global, Inc.)</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w:t>
            </w:r>
          </w:p>
        </w:tc>
        <w:tc>
          <w:tcPr>
            <w:tcW w:w="7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20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900" w:type="dxa"/>
            <w:vAlign w:val="bottom"/>
            <w:gridSpan w:val="2"/>
            <w:shd w:val="clear" w:color="auto" w:fill="CCEEFF"/>
          </w:tcPr>
          <w:p>
            <w:pPr>
              <w:jc w:val="right"/>
              <w:ind w:right="313"/>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10,845</w:t>
            </w:r>
          </w:p>
        </w:tc>
        <w:tc>
          <w:tcPr>
            <w:tcW w:w="0" w:type="dxa"/>
            <w:vAlign w:val="bottom"/>
          </w:tcPr>
          <w:p>
            <w:pPr>
              <w:spacing w:after="0"/>
              <w:rPr>
                <w:sz w:val="1"/>
                <w:szCs w:val="1"/>
                <w:color w:val="auto"/>
              </w:rPr>
            </w:pPr>
          </w:p>
        </w:tc>
      </w:tr>
      <w:tr>
        <w:trPr>
          <w:trHeight w:val="159"/>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(TrustHouse Services Group, Inc.)</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406,450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1,101,863</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Total Investments in Non-Controlled, Non-Affiliated Portfolio</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Companies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171,578,009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171,834,400</w:t>
            </w:r>
          </w:p>
        </w:tc>
        <w:tc>
          <w:tcPr>
            <w:tcW w:w="0" w:type="dxa"/>
            <w:vAlign w:val="bottom"/>
          </w:tcPr>
          <w:p>
            <w:pPr>
              <w:spacing w:after="0"/>
              <w:rPr>
                <w:sz w:val="1"/>
                <w:szCs w:val="1"/>
                <w:color w:val="auto"/>
              </w:rPr>
            </w:pPr>
          </w:p>
        </w:tc>
      </w:tr>
      <w:tr>
        <w:trPr>
          <w:trHeight w:val="148"/>
        </w:trPr>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Cash Equivalents—4.0%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3,845,803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3,845,803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Equivalents—183.5%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175,423,812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175,680,203</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Assets—(83.5)%</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4"/>
              </w:rPr>
              <w:t>(79,936,326)</w:t>
            </w:r>
          </w:p>
        </w:tc>
        <w:tc>
          <w:tcPr>
            <w:tcW w:w="0" w:type="dxa"/>
            <w:vAlign w:val="bottom"/>
          </w:tcPr>
          <w:p>
            <w:pPr>
              <w:spacing w:after="0"/>
              <w:rPr>
                <w:sz w:val="1"/>
                <w:szCs w:val="1"/>
                <w:color w:val="auto"/>
              </w:rPr>
            </w:pPr>
          </w:p>
        </w:tc>
      </w:tr>
      <w:tr>
        <w:trPr>
          <w:trHeight w:val="148"/>
        </w:trPr>
        <w:tc>
          <w:tcPr>
            <w:tcW w:w="4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95,743,877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1" w:lineRule="exact"/>
        <w:rPr>
          <w:sz w:val="20"/>
          <w:szCs w:val="20"/>
          <w:color w:val="auto"/>
        </w:rPr>
      </w:pPr>
    </w:p>
    <w:p>
      <w:pPr>
        <w:ind w:left="340" w:right="20" w:hanging="332"/>
        <w:spacing w:after="0" w:line="24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4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58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2" w:lineRule="exact"/>
        <w:rPr>
          <w:sz w:val="20"/>
          <w:szCs w:val="20"/>
          <w:color w:val="auto"/>
        </w:rPr>
      </w:pPr>
    </w:p>
    <w:p>
      <w:pPr>
        <w:ind w:right="140" w:firstLine="898"/>
        <w:spacing w:after="0" w:line="288"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24" w:lineRule="exact"/>
        <w:rPr>
          <w:sz w:val="20"/>
          <w:szCs w:val="20"/>
          <w:color w:val="auto"/>
        </w:rPr>
      </w:pPr>
    </w:p>
    <w:p>
      <w:pPr>
        <w:ind w:right="80" w:firstLine="898"/>
        <w:spacing w:after="0" w:line="298" w:lineRule="auto"/>
        <w:rPr>
          <w:sz w:val="20"/>
          <w:szCs w:val="20"/>
          <w:color w:val="auto"/>
        </w:rPr>
      </w:pPr>
      <w:r>
        <w:rPr>
          <w:rFonts w:ascii="Arial" w:cs="Arial" w:eastAsia="Arial" w:hAnsi="Arial"/>
          <w:sz w:val="16"/>
          <w:szCs w:val="16"/>
          <w:color w:val="auto"/>
        </w:rPr>
        <w:t>In April 2011, we closed our initial public offering and our common stock trades on the NASDAQ Global Select Market under the symbol “PFLT.” In connection with our April 2011 initial public offering, we issued 6,850,000 shares of common stock, for gross proceeds of $102.8 million, or $97.7 million after deducting the sales load and underwriting expenses. The underwriters agreed to reimburse, and have paid us, $0.4 million of the estimated $1.0 million of offering expenses. In March 2011, we sold 667 shares of common stock for $10,000 ($15.00 per share) to the Investment Adviser. See Note 3.</w:t>
      </w:r>
    </w:p>
    <w:p>
      <w:pPr>
        <w:spacing w:after="0" w:line="112"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80" w:firstLine="898"/>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20" w:lineRule="exact"/>
        <w:rPr>
          <w:sz w:val="20"/>
          <w:szCs w:val="20"/>
          <w:color w:val="auto"/>
        </w:rPr>
      </w:pPr>
    </w:p>
    <w:p>
      <w:pPr>
        <w:ind w:right="260" w:firstLine="898"/>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200" w:firstLine="898"/>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hanging="447"/>
        <w:spacing w:after="0" w:line="33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700" w:hanging="243"/>
        <w:spacing w:after="0"/>
        <w:tabs>
          <w:tab w:leader="none" w:pos="700" w:val="left"/>
        </w:tabs>
        <w:numPr>
          <w:ilvl w:val="1"/>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15" w:lineRule="exact"/>
        <w:rPr>
          <w:sz w:val="20"/>
          <w:szCs w:val="20"/>
          <w:color w:val="auto"/>
        </w:rPr>
      </w:pPr>
    </w:p>
    <w:p>
      <w:pPr>
        <w:ind w:firstLine="898"/>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04" w:lineRule="exact"/>
        <w:rPr>
          <w:sz w:val="20"/>
          <w:szCs w:val="20"/>
          <w:color w:val="auto"/>
        </w:rPr>
      </w:pPr>
    </w:p>
    <w:p>
      <w:pPr>
        <w:jc w:val="both"/>
        <w:ind w:right="240" w:firstLine="898"/>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pay an excise tax of less than $0.1 million for the three months ended December 31, 2012.</w:t>
      </w:r>
    </w:p>
    <w:p>
      <w:pPr>
        <w:spacing w:after="0" w:line="120"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 for our federal tax year 2011 remains subject to examination by the Internal Revenue Service and the state department of revenue.</w:t>
      </w:r>
    </w:p>
    <w:p>
      <w:pPr>
        <w:spacing w:after="0" w:line="147"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898"/>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As permitted under Regulation S-X and as explained by ASC 946-810-45, Financial Services – Investment Companies – 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 Asset Transfers and Servicing</w:t>
      </w:r>
    </w:p>
    <w:p>
      <w:pPr>
        <w:spacing w:after="0" w:line="90" w:lineRule="exact"/>
        <w:rPr>
          <w:sz w:val="20"/>
          <w:szCs w:val="20"/>
          <w:color w:val="auto"/>
        </w:rPr>
      </w:pPr>
    </w:p>
    <w:p>
      <w:pPr>
        <w:ind w:right="260" w:firstLine="898"/>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are not intended to be available to the creditors of PennantPark Floating Rate Capital Ltd. or any affiliate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The Investment Management Agreement with the Investment Adviser was re-approved by our board of directors, including a majority of our independent directors, in February 2013.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898"/>
        <w:spacing w:after="0" w:line="310" w:lineRule="auto"/>
        <w:rPr>
          <w:sz w:val="20"/>
          <w:szCs w:val="20"/>
          <w:color w:val="auto"/>
        </w:rPr>
      </w:pPr>
      <w:r>
        <w:rPr>
          <w:rFonts w:ascii="Arial" w:cs="Arial" w:eastAsia="Arial" w:hAnsi="Arial"/>
          <w:sz w:val="15"/>
          <w:szCs w:val="15"/>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three months ended December 31, 2012 and 2011, the Investment Adviser earned base management fees of $0.5 million and $0.3 million, respectively, from us.</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898"/>
        <w:spacing w:after="0" w:line="285"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months ended December 31, 2012 and 2011, the Investment Adviser earned a performance based incentive fee on net investment income as calculated under the Investment Management Agreement of $0.4 million and zero, respectively.</w:t>
      </w:r>
    </w:p>
    <w:p>
      <w:pPr>
        <w:spacing w:after="0" w:line="122" w:lineRule="exact"/>
        <w:rPr>
          <w:sz w:val="20"/>
          <w:szCs w:val="20"/>
          <w:color w:val="auto"/>
        </w:rPr>
      </w:pPr>
    </w:p>
    <w:p>
      <w:pPr>
        <w:ind w:right="200" w:firstLine="898"/>
        <w:spacing w:after="0" w:line="254"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For the three months ended December 31, 2012 and 2011, the Investment Adviser did not earn a performance based incentive fee on capital gains as calculated under the Investment Management Agreement.</w:t>
      </w:r>
    </w:p>
    <w:p>
      <w:pPr>
        <w:spacing w:after="0" w:line="144" w:lineRule="exact"/>
        <w:rPr>
          <w:sz w:val="20"/>
          <w:szCs w:val="20"/>
          <w:color w:val="auto"/>
        </w:rPr>
      </w:pPr>
    </w:p>
    <w:p>
      <w:pPr>
        <w:ind w:right="140" w:firstLine="898"/>
        <w:spacing w:after="0" w:line="287"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months ended December 31, 2012 and 2011, the Investment Adviser earned a performance based incentive fee on unrealized and realized capital gains as calculated under GAAP of less than $0.1 million and zero, respectively.</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80" w:right="272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2012</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310" w:lineRule="auto"/>
        <w:rPr>
          <w:sz w:val="20"/>
          <w:szCs w:val="20"/>
          <w:color w:val="auto"/>
        </w:rPr>
      </w:pPr>
      <w:r>
        <w:rPr>
          <w:rFonts w:ascii="Arial" w:cs="Arial" w:eastAsia="Arial" w:hAnsi="Arial"/>
          <w:sz w:val="15"/>
          <w:szCs w:val="15"/>
          <w:color w:val="auto"/>
        </w:rPr>
        <w:t>The Administration Agreement with the Administrator was re-approved by our board of directors, including a majority of the independent directors, in February 2013.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months ended December 31, 2012 and 2011, the Investment Adviser was reimbursed approximately $0.1 million and $0.1 million, respectively, from us, including expenses it incurred on behalf of the Administrator, for services described above.</w:t>
      </w:r>
    </w:p>
    <w:p>
      <w:pPr>
        <w:spacing w:after="0" w:line="108"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through December 31, 2012, we met the conditions for repayment of the sales load. The Investment Adviser will be repaid approximately $2.1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2012 and 2011 totaled $38.9 million and $39.4 million, respectively. Sales and repayments of long-term investments for the three months ended December 31, 2012 and 2011 totaled $30.3 million and $22.3 million, respectively.</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280" w:type="dxa"/>
            <w:vAlign w:val="bottom"/>
          </w:tcPr>
          <w:p>
            <w:pPr>
              <w:spacing w:after="0"/>
              <w:rPr>
                <w:sz w:val="14"/>
                <w:szCs w:val="14"/>
                <w:color w:val="auto"/>
              </w:rPr>
            </w:pPr>
          </w:p>
        </w:tc>
        <w:tc>
          <w:tcPr>
            <w:tcW w:w="2340" w:type="dxa"/>
            <w:vAlign w:val="bottom"/>
            <w:gridSpan w:val="3"/>
          </w:tcPr>
          <w:p>
            <w:pPr>
              <w:jc w:val="right"/>
              <w:ind w:right="556"/>
              <w:spacing w:after="0"/>
              <w:rPr>
                <w:sz w:val="20"/>
                <w:szCs w:val="20"/>
                <w:color w:val="auto"/>
              </w:rPr>
            </w:pPr>
            <w:r>
              <w:rPr>
                <w:rFonts w:ascii="Arial" w:cs="Arial" w:eastAsia="Arial" w:hAnsi="Arial"/>
                <w:sz w:val="13"/>
                <w:szCs w:val="13"/>
                <w:b w:val="1"/>
                <w:bCs w:val="1"/>
                <w:color w:val="auto"/>
              </w:rPr>
              <w:t>December 31, 2012</w:t>
            </w:r>
          </w:p>
        </w:tc>
        <w:tc>
          <w:tcPr>
            <w:tcW w:w="380" w:type="dxa"/>
            <w:vAlign w:val="bottom"/>
          </w:tcPr>
          <w:p>
            <w:pPr>
              <w:spacing w:after="0"/>
              <w:rPr>
                <w:sz w:val="14"/>
                <w:szCs w:val="14"/>
                <w:color w:val="auto"/>
              </w:rPr>
            </w:pPr>
          </w:p>
        </w:tc>
        <w:tc>
          <w:tcPr>
            <w:tcW w:w="2440" w:type="dxa"/>
            <w:vAlign w:val="bottom"/>
            <w:gridSpan w:val="4"/>
          </w:tcPr>
          <w:p>
            <w:pPr>
              <w:ind w:left="600"/>
              <w:spacing w:after="0"/>
              <w:rPr>
                <w:sz w:val="20"/>
                <w:szCs w:val="20"/>
                <w:color w:val="auto"/>
              </w:rPr>
            </w:pPr>
            <w:r>
              <w:rPr>
                <w:rFonts w:ascii="Arial" w:cs="Arial" w:eastAsia="Arial" w:hAnsi="Arial"/>
                <w:sz w:val="13"/>
                <w:szCs w:val="13"/>
                <w:b w:val="1"/>
                <w:bCs w:val="1"/>
                <w:color w:val="auto"/>
              </w:rPr>
              <w:t>September 30, 2012</w:t>
            </w:r>
          </w:p>
        </w:tc>
        <w:tc>
          <w:tcPr>
            <w:tcW w:w="0" w:type="dxa"/>
            <w:vAlign w:val="bottom"/>
          </w:tcPr>
          <w:p>
            <w:pPr>
              <w:spacing w:after="0"/>
              <w:rPr>
                <w:sz w:val="1"/>
                <w:szCs w:val="1"/>
                <w:color w:val="auto"/>
              </w:rPr>
            </w:pPr>
          </w:p>
        </w:tc>
      </w:tr>
      <w:tr>
        <w:trPr>
          <w:trHeight w:val="148"/>
        </w:trPr>
        <w:tc>
          <w:tcPr>
            <w:tcW w:w="390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3"/>
                <w:szCs w:val="13"/>
                <w:b w:val="1"/>
                <w:bCs w:val="1"/>
                <w:color w:val="auto"/>
              </w:rPr>
              <w:t>Cost</w:t>
            </w:r>
          </w:p>
        </w:tc>
        <w:tc>
          <w:tcPr>
            <w:tcW w:w="4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2"/>
                <w:szCs w:val="12"/>
                <w:color w:val="auto"/>
              </w:rPr>
            </w:pPr>
          </w:p>
        </w:tc>
        <w:tc>
          <w:tcPr>
            <w:tcW w:w="98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3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$157,559,604</w:t>
            </w:r>
          </w:p>
        </w:tc>
        <w:tc>
          <w:tcPr>
            <w:tcW w:w="4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$157,153,917</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$150,258,038</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10,125,642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10,542,750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11,608,643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12,529,244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11,545,485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9,194,181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8,296,719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683,814</w:t>
            </w:r>
          </w:p>
        </w:tc>
        <w:tc>
          <w:tcPr>
            <w:tcW w:w="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1,553,758</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517,147</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180,898,304</w:t>
            </w:r>
          </w:p>
        </w:tc>
        <w:tc>
          <w:tcPr>
            <w:tcW w:w="4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180,795,910</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171,578,009</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171,834,400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12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3,987,645</w:t>
            </w:r>
          </w:p>
        </w:tc>
        <w:tc>
          <w:tcPr>
            <w:tcW w:w="4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3,987,645</w:t>
            </w:r>
          </w:p>
        </w:tc>
        <w:tc>
          <w:tcPr>
            <w:tcW w:w="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184,885,949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184,783,555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175,423,812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175,680,203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40" w:type="dxa"/>
            <w:vAlign w:val="bottom"/>
            <w:gridSpan w:val="2"/>
          </w:tcPr>
          <w:p>
            <w:pPr>
              <w:jc w:val="right"/>
              <w:ind w:right="799"/>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60" w:right="26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2012</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40" w:firstLine="898"/>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were as follows:</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Arial" w:cs="Arial" w:eastAsia="Arial" w:hAnsi="Arial"/>
                <w:sz w:val="13"/>
                <w:szCs w:val="13"/>
                <w:b w:val="1"/>
                <w:bCs w:val="1"/>
                <w:color w:val="auto"/>
                <w:w w:val="97"/>
              </w:rPr>
              <w:t>Industry Classification</w:t>
            </w:r>
          </w:p>
        </w:tc>
        <w:tc>
          <w:tcPr>
            <w:tcW w:w="4000" w:type="dxa"/>
            <w:vAlign w:val="bottom"/>
            <w:vMerge w:val="restart"/>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337"/>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48"/>
        </w:trPr>
        <w:tc>
          <w:tcPr>
            <w:tcW w:w="1380" w:type="dxa"/>
            <w:vAlign w:val="bottom"/>
            <w:tcBorders>
              <w:bottom w:val="single" w:sz="8" w:color="auto"/>
            </w:tcBorders>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11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December 31, 2012</w:t>
            </w:r>
          </w:p>
        </w:tc>
        <w:tc>
          <w:tcPr>
            <w:tcW w:w="920" w:type="dxa"/>
            <w:vAlign w:val="bottom"/>
          </w:tcPr>
          <w:p>
            <w:pPr>
              <w:spacing w:after="0"/>
              <w:rPr>
                <w:sz w:val="12"/>
                <w:szCs w:val="12"/>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0"/>
              </w:rPr>
              <w:t>September 30, 2012</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Hotel, Gaming and Leisure</w:t>
            </w:r>
          </w:p>
        </w:tc>
        <w:tc>
          <w:tcPr>
            <w:tcW w:w="1100" w:type="dxa"/>
            <w:vAlign w:val="bottom"/>
            <w:tcBorders>
              <w:top w:val="single" w:sz="8" w:color="auto"/>
            </w:tcBorders>
            <w:shd w:val="clear" w:color="auto" w:fill="CCEEFF"/>
          </w:tcPr>
          <w:p>
            <w:pPr>
              <w:jc w:val="right"/>
              <w:ind w:right="193"/>
              <w:spacing w:after="0" w:line="203" w:lineRule="exact"/>
              <w:rPr>
                <w:sz w:val="20"/>
                <w:szCs w:val="20"/>
                <w:color w:val="auto"/>
              </w:rPr>
            </w:pPr>
            <w:r>
              <w:rPr>
                <w:rFonts w:ascii="Arial" w:cs="Arial" w:eastAsia="Arial" w:hAnsi="Arial"/>
                <w:sz w:val="18"/>
                <w:szCs w:val="18"/>
                <w:color w:val="auto"/>
              </w:rPr>
              <w:t>10%</w:t>
            </w:r>
          </w:p>
        </w:tc>
        <w:tc>
          <w:tcPr>
            <w:tcW w:w="9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77"/>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rPr>
              <w:t>9</w:t>
            </w:r>
          </w:p>
        </w:tc>
        <w:tc>
          <w:tcPr>
            <w:tcW w:w="2040" w:type="dxa"/>
            <w:vAlign w:val="bottom"/>
            <w:gridSpan w:val="2"/>
          </w:tcPr>
          <w:p>
            <w:pPr>
              <w:jc w:val="right"/>
              <w:ind w:right="33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8</w:t>
            </w:r>
          </w:p>
        </w:tc>
        <w:tc>
          <w:tcPr>
            <w:tcW w:w="204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rPr>
              <w:t>8</w:t>
            </w:r>
          </w:p>
        </w:tc>
        <w:tc>
          <w:tcPr>
            <w:tcW w:w="2040" w:type="dxa"/>
            <w:vAlign w:val="bottom"/>
            <w:gridSpan w:val="2"/>
          </w:tcPr>
          <w:p>
            <w:pPr>
              <w:jc w:val="right"/>
              <w:ind w:right="33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8</w:t>
            </w:r>
          </w:p>
        </w:tc>
        <w:tc>
          <w:tcPr>
            <w:tcW w:w="204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rPr>
              <w:t>7</w:t>
            </w:r>
          </w:p>
        </w:tc>
        <w:tc>
          <w:tcPr>
            <w:tcW w:w="2040" w:type="dxa"/>
            <w:vAlign w:val="bottom"/>
            <w:gridSpan w:val="2"/>
          </w:tcPr>
          <w:p>
            <w:pPr>
              <w:jc w:val="right"/>
              <w:ind w:right="33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6</w:t>
            </w:r>
          </w:p>
        </w:tc>
        <w:tc>
          <w:tcPr>
            <w:tcW w:w="204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rPr>
              <w:t>6</w:t>
            </w:r>
          </w:p>
        </w:tc>
        <w:tc>
          <w:tcPr>
            <w:tcW w:w="2040" w:type="dxa"/>
            <w:vAlign w:val="bottom"/>
            <w:gridSpan w:val="2"/>
          </w:tcPr>
          <w:p>
            <w:pPr>
              <w:jc w:val="right"/>
              <w:ind w:right="33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6</w:t>
            </w:r>
          </w:p>
        </w:tc>
        <w:tc>
          <w:tcPr>
            <w:tcW w:w="204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rPr>
              <w:t>4</w:t>
            </w:r>
          </w:p>
        </w:tc>
        <w:tc>
          <w:tcPr>
            <w:tcW w:w="2040" w:type="dxa"/>
            <w:vAlign w:val="bottom"/>
            <w:gridSpan w:val="2"/>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4</w:t>
            </w:r>
          </w:p>
        </w:tc>
        <w:tc>
          <w:tcPr>
            <w:tcW w:w="204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rPr>
              <w:t>4</w:t>
            </w:r>
          </w:p>
        </w:tc>
        <w:tc>
          <w:tcPr>
            <w:tcW w:w="2040" w:type="dxa"/>
            <w:vAlign w:val="bottom"/>
            <w:gridSpan w:val="2"/>
          </w:tcPr>
          <w:p>
            <w:pPr>
              <w:jc w:val="right"/>
              <w:ind w:right="33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4</w:t>
            </w:r>
          </w:p>
        </w:tc>
        <w:tc>
          <w:tcPr>
            <w:tcW w:w="204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rPr>
              <w:t>3</w:t>
            </w:r>
          </w:p>
        </w:tc>
        <w:tc>
          <w:tcPr>
            <w:tcW w:w="2040" w:type="dxa"/>
            <w:vAlign w:val="bottom"/>
            <w:gridSpan w:val="2"/>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2</w:t>
            </w:r>
          </w:p>
        </w:tc>
        <w:tc>
          <w:tcPr>
            <w:tcW w:w="204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Construction and Building</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rPr>
              <w:t>2</w:t>
            </w:r>
          </w:p>
        </w:tc>
        <w:tc>
          <w:tcPr>
            <w:tcW w:w="2040" w:type="dxa"/>
            <w:vAlign w:val="bottom"/>
            <w:gridSpan w:val="2"/>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2</w:t>
            </w:r>
          </w:p>
        </w:tc>
        <w:tc>
          <w:tcPr>
            <w:tcW w:w="204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Metals and Mining</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rPr>
              <w:t>2</w:t>
            </w:r>
          </w:p>
        </w:tc>
        <w:tc>
          <w:tcPr>
            <w:tcW w:w="2040" w:type="dxa"/>
            <w:vAlign w:val="bottom"/>
            <w:gridSpan w:val="2"/>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2</w:t>
            </w:r>
          </w:p>
        </w:tc>
        <w:tc>
          <w:tcPr>
            <w:tcW w:w="204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1100" w:type="dxa"/>
            <w:vAlign w:val="bottom"/>
          </w:tcPr>
          <w:p>
            <w:pPr>
              <w:jc w:val="right"/>
              <w:ind w:right="333"/>
              <w:spacing w:after="0"/>
              <w:rPr>
                <w:sz w:val="20"/>
                <w:szCs w:val="20"/>
                <w:color w:val="auto"/>
              </w:rPr>
            </w:pPr>
            <w:r>
              <w:rPr>
                <w:rFonts w:ascii="Arial" w:cs="Arial" w:eastAsia="Arial" w:hAnsi="Arial"/>
                <w:sz w:val="18"/>
                <w:szCs w:val="18"/>
                <w:color w:val="auto"/>
              </w:rPr>
              <w:t>1</w:t>
            </w:r>
          </w:p>
        </w:tc>
        <w:tc>
          <w:tcPr>
            <w:tcW w:w="2040" w:type="dxa"/>
            <w:vAlign w:val="bottom"/>
            <w:gridSpan w:val="2"/>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w:t>
            </w:r>
          </w:p>
        </w:tc>
        <w:tc>
          <w:tcPr>
            <w:tcW w:w="204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19"/>
                <w:szCs w:val="19"/>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12" w:lineRule="exact"/>
        <w:rPr>
          <w:sz w:val="20"/>
          <w:szCs w:val="20"/>
          <w:color w:val="auto"/>
        </w:rPr>
      </w:pPr>
    </w:p>
    <w:p>
      <w:pPr>
        <w:ind w:left="1660" w:right="140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20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12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right="20" w:firstLine="898"/>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40" w:firstLine="898"/>
        <w:spacing w:after="0" w:line="294"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2012, our ability to observe valuation inputs resulted in reclassification of assets from Level 3 to 2 and we had no other transfers between levels. This compares to the three months ended December 31, 2011, which resulted in no reclassification of assets from Levels 1, 2 or 3.</w:t>
      </w:r>
    </w:p>
    <w:p>
      <w:pPr>
        <w:spacing w:after="0" w:line="115"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260" w:firstLine="898"/>
        <w:spacing w:after="0" w:line="256" w:lineRule="auto"/>
        <w:rPr>
          <w:sz w:val="20"/>
          <w:szCs w:val="20"/>
          <w:color w:val="auto"/>
        </w:rPr>
      </w:pPr>
      <w:r>
        <w:rPr>
          <w:rFonts w:ascii="Arial" w:cs="Arial" w:eastAsia="Arial" w:hAnsi="Arial"/>
          <w:sz w:val="18"/>
          <w:szCs w:val="18"/>
          <w:color w:val="auto"/>
        </w:rPr>
        <w:t>Under Accounting Standards Update No. 2011-04, “Fair Value Measurement: Amendments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The remainder of our portfolio, including our long-term Credit Facility, is classified and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w w:val="94"/>
              </w:rPr>
              <w:t>Asset Category</w:t>
            </w:r>
          </w:p>
        </w:tc>
        <w:tc>
          <w:tcPr>
            <w:tcW w:w="2180" w:type="dxa"/>
            <w:vAlign w:val="bottom"/>
            <w:vMerge w:val="restart"/>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b w:val="1"/>
                <w:bCs w:val="1"/>
                <w:color w:val="auto"/>
                <w:w w:val="95"/>
              </w:rPr>
              <w:t>Fair Value as of</w:t>
            </w: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w w:val="95"/>
              </w:rPr>
              <w:t>December 31, 2012</w:t>
            </w:r>
          </w:p>
        </w:tc>
        <w:tc>
          <w:tcPr>
            <w:tcW w:w="320" w:type="dxa"/>
            <w:vAlign w:val="bottom"/>
          </w:tcPr>
          <w:p>
            <w:pPr>
              <w:spacing w:after="0"/>
              <w:rPr>
                <w:sz w:val="14"/>
                <w:szCs w:val="14"/>
                <w:color w:val="auto"/>
              </w:rPr>
            </w:pPr>
          </w:p>
        </w:tc>
        <w:tc>
          <w:tcPr>
            <w:tcW w:w="210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4"/>
              </w:rPr>
              <w:t>Valuation Technique</w:t>
            </w:r>
          </w:p>
        </w:tc>
        <w:tc>
          <w:tcPr>
            <w:tcW w:w="21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5"/>
              </w:rPr>
              <w:t>Unobservable Input</w:t>
            </w:r>
          </w:p>
        </w:tc>
        <w:tc>
          <w:tcPr>
            <w:tcW w:w="17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81"/>
        </w:trPr>
        <w:tc>
          <w:tcPr>
            <w:tcW w:w="31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w:t>
            </w: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161,319,619</w:t>
            </w:r>
          </w:p>
        </w:tc>
        <w:tc>
          <w:tcPr>
            <w:tcW w:w="32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Market Comparable</w:t>
            </w:r>
          </w:p>
        </w:tc>
        <w:tc>
          <w:tcPr>
            <w:tcW w:w="2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Broker/Dealer bid quotes</w:t>
            </w:r>
          </w:p>
        </w:tc>
        <w:tc>
          <w:tcPr>
            <w:tcW w:w="2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632"/>
              <w:spacing w:after="0" w:line="182" w:lineRule="exact"/>
              <w:rPr>
                <w:sz w:val="20"/>
                <w:szCs w:val="20"/>
                <w:color w:val="auto"/>
              </w:rPr>
            </w:pPr>
            <w:r>
              <w:rPr>
                <w:rFonts w:ascii="Arial" w:cs="Arial" w:eastAsia="Arial" w:hAnsi="Arial"/>
                <w:sz w:val="18"/>
                <w:szCs w:val="18"/>
                <w:color w:val="auto"/>
              </w:rPr>
              <w:t>1 - 7</w:t>
            </w:r>
          </w:p>
        </w:tc>
        <w:tc>
          <w:tcPr>
            <w:tcW w:w="0" w:type="dxa"/>
            <w:vAlign w:val="bottom"/>
          </w:tcPr>
          <w:p>
            <w:pPr>
              <w:spacing w:after="0"/>
              <w:rPr>
                <w:sz w:val="1"/>
                <w:szCs w:val="1"/>
                <w:color w:val="auto"/>
              </w:rPr>
            </w:pPr>
          </w:p>
        </w:tc>
      </w:tr>
      <w:tr>
        <w:trPr>
          <w:trHeight w:val="224"/>
        </w:trPr>
        <w:tc>
          <w:tcPr>
            <w:tcW w:w="3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debt/corporate notes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8"/>
                <w:szCs w:val="18"/>
                <w:color w:val="auto"/>
              </w:rPr>
              <w:t>First lien, second lien, subordinated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13,691,782</w:t>
            </w:r>
          </w:p>
        </w:tc>
        <w:tc>
          <w:tcPr>
            <w:tcW w:w="3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Market Yield</w:t>
            </w:r>
          </w:p>
        </w:tc>
        <w:tc>
          <w:tcPr>
            <w:tcW w:w="580" w:type="dxa"/>
            <w:vAlign w:val="bottom"/>
          </w:tcPr>
          <w:p>
            <w:pPr>
              <w:jc w:val="right"/>
              <w:spacing w:after="0"/>
              <w:rPr>
                <w:sz w:val="20"/>
                <w:szCs w:val="20"/>
                <w:color w:val="auto"/>
              </w:rPr>
            </w:pPr>
            <w:r>
              <w:rPr>
                <w:rFonts w:ascii="Arial" w:cs="Arial" w:eastAsia="Arial" w:hAnsi="Arial"/>
                <w:sz w:val="18"/>
                <w:szCs w:val="18"/>
                <w:color w:val="auto"/>
              </w:rPr>
              <w:t>7.3% -</w:t>
            </w:r>
          </w:p>
        </w:tc>
        <w:tc>
          <w:tcPr>
            <w:tcW w:w="1180" w:type="dxa"/>
            <w:vAlign w:val="bottom"/>
          </w:tcPr>
          <w:p>
            <w:pPr>
              <w:ind w:left="20"/>
              <w:spacing w:after="0"/>
              <w:rPr>
                <w:sz w:val="20"/>
                <w:szCs w:val="20"/>
                <w:color w:val="auto"/>
              </w:rPr>
            </w:pPr>
            <w:r>
              <w:rPr>
                <w:rFonts w:ascii="Arial" w:cs="Arial" w:eastAsia="Arial" w:hAnsi="Arial"/>
                <w:sz w:val="18"/>
                <w:szCs w:val="18"/>
                <w:color w:val="auto"/>
                <w:w w:val="95"/>
              </w:rPr>
              <w:t>15.3% (12.1%)</w:t>
            </w:r>
          </w:p>
        </w:tc>
        <w:tc>
          <w:tcPr>
            <w:tcW w:w="0" w:type="dxa"/>
            <w:vAlign w:val="bottom"/>
          </w:tcPr>
          <w:p>
            <w:pPr>
              <w:spacing w:after="0"/>
              <w:rPr>
                <w:sz w:val="1"/>
                <w:szCs w:val="1"/>
                <w:color w:val="auto"/>
              </w:rPr>
            </w:pPr>
          </w:p>
        </w:tc>
      </w:tr>
      <w:tr>
        <w:trPr>
          <w:trHeight w:val="223"/>
        </w:trPr>
        <w:tc>
          <w:tcPr>
            <w:tcW w:w="310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1,553,758</w:t>
            </w:r>
          </w:p>
        </w:tc>
        <w:tc>
          <w:tcPr>
            <w:tcW w:w="3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Enterprise Market Value</w:t>
            </w:r>
          </w:p>
        </w:tc>
        <w:tc>
          <w:tcPr>
            <w:tcW w:w="2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EBITDA multiple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6.0x</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8.5x (6.4x)</w:t>
            </w:r>
          </w:p>
        </w:tc>
        <w:tc>
          <w:tcPr>
            <w:tcW w:w="0" w:type="dxa"/>
            <w:vAlign w:val="bottom"/>
          </w:tcPr>
          <w:p>
            <w:pPr>
              <w:spacing w:after="0"/>
              <w:rPr>
                <w:sz w:val="1"/>
                <w:szCs w:val="1"/>
                <w:color w:val="auto"/>
              </w:rPr>
            </w:pPr>
          </w:p>
        </w:tc>
      </w:tr>
      <w:tr>
        <w:trPr>
          <w:trHeight w:val="222"/>
        </w:trPr>
        <w:tc>
          <w:tcPr>
            <w:tcW w:w="310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176,565,159</w:t>
            </w: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85,775,000</w:t>
            </w:r>
          </w:p>
        </w:tc>
        <w:tc>
          <w:tcPr>
            <w:tcW w:w="3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2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Discount rate</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cash equivalents, investments and our long-term Credit Facility were categorized as follows in the fair value hierarchy for ASC 820 purposes.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200"/>
              <w:spacing w:after="0"/>
              <w:rPr>
                <w:sz w:val="20"/>
                <w:szCs w:val="20"/>
                <w:color w:val="auto"/>
              </w:rPr>
            </w:pPr>
            <w:r>
              <w:rPr>
                <w:rFonts w:ascii="Arial" w:cs="Arial" w:eastAsia="Arial" w:hAnsi="Arial"/>
                <w:sz w:val="13"/>
                <w:szCs w:val="13"/>
                <w:b w:val="1"/>
                <w:bCs w:val="1"/>
                <w:color w:val="auto"/>
                <w:w w:val="97"/>
              </w:rPr>
              <w:t>Fair Value Measurements at December 31, 2012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Fair Value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157,153,917</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157,153,917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10,542,750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w w:val="84"/>
              </w:rPr>
              <w:t>1,586,250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11,545,485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2,644,501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1,553,758</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1,553,758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180,795,910</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4,230,751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176,565,159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3,987,645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87"/>
              </w:rPr>
              <w:t>3,987,645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184,783,555</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3,987,645</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4,230,751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176,565,159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1080" w:type="dxa"/>
            <w:vAlign w:val="bottom"/>
            <w:gridSpan w:val="3"/>
          </w:tcPr>
          <w:p>
            <w:pPr>
              <w:jc w:val="center"/>
              <w:ind w:left="9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85,775,000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85,775,000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180"/>
              <w:spacing w:after="0"/>
              <w:rPr>
                <w:sz w:val="20"/>
                <w:szCs w:val="20"/>
                <w:color w:val="auto"/>
              </w:rPr>
            </w:pPr>
            <w:r>
              <w:rPr>
                <w:rFonts w:ascii="Arial" w:cs="Arial" w:eastAsia="Arial" w:hAnsi="Arial"/>
                <w:sz w:val="13"/>
                <w:szCs w:val="13"/>
                <w:b w:val="1"/>
                <w:bCs w:val="1"/>
                <w:color w:val="auto"/>
                <w:w w:val="96"/>
              </w:rPr>
              <w:t>Fair Value Measurements at September 30, 2012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Fair Value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2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8,296,719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2,788,000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1,302,434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171,834,400</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2,788,000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3,845,803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87"/>
              </w:rPr>
              <w:t>3,845,803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175,680,203</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3,845,803</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2,788,000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1080" w:type="dxa"/>
            <w:vAlign w:val="bottom"/>
            <w:gridSpan w:val="3"/>
          </w:tcPr>
          <w:p>
            <w:pPr>
              <w:jc w:val="center"/>
              <w:ind w:left="9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80" w:type="dxa"/>
            <w:vAlign w:val="bottom"/>
            <w:gridSpan w:val="4"/>
          </w:tcPr>
          <w:p>
            <w:pPr>
              <w:jc w:val="center"/>
              <w:ind w:left="32"/>
              <w:spacing w:after="0"/>
              <w:rPr>
                <w:sz w:val="20"/>
                <w:szCs w:val="20"/>
                <w:color w:val="auto"/>
              </w:rPr>
            </w:pPr>
            <w:r>
              <w:rPr>
                <w:rFonts w:ascii="Arial" w:cs="Arial" w:eastAsia="Arial" w:hAnsi="Arial"/>
                <w:sz w:val="18"/>
                <w:szCs w:val="18"/>
                <w:color w:val="auto"/>
                <w:w w:val="89"/>
              </w:rPr>
              <w:t>17</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20" w:firstLine="898"/>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4"/>
              </w:rPr>
              <w:t>Three Months Ended December 31, 2012</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62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59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1"/>
              </w:rPr>
              <w:t>subordinated debt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13"/>
              <w:spacing w:after="0" w:line="148" w:lineRule="exact"/>
              <w:rPr>
                <w:sz w:val="20"/>
                <w:szCs w:val="20"/>
                <w:color w:val="auto"/>
              </w:rPr>
            </w:pPr>
            <w:r>
              <w:rPr>
                <w:rFonts w:ascii="Arial" w:cs="Arial" w:eastAsia="Arial" w:hAnsi="Arial"/>
                <w:sz w:val="13"/>
                <w:szCs w:val="13"/>
                <w:b w:val="1"/>
                <w:bCs w:val="1"/>
                <w:color w:val="auto"/>
              </w:rPr>
              <w:t>First Lien</w:t>
            </w:r>
          </w:p>
        </w:tc>
        <w:tc>
          <w:tcPr>
            <w:tcW w:w="240" w:type="dxa"/>
            <w:vAlign w:val="bottom"/>
          </w:tcPr>
          <w:p>
            <w:pPr>
              <w:spacing w:after="0"/>
              <w:rPr>
                <w:sz w:val="14"/>
                <w:szCs w:val="14"/>
                <w:color w:val="auto"/>
              </w:rPr>
            </w:pPr>
          </w:p>
        </w:tc>
        <w:tc>
          <w:tcPr>
            <w:tcW w:w="1840" w:type="dxa"/>
            <w:vAlign w:val="bottom"/>
            <w:gridSpan w:val="3"/>
          </w:tcPr>
          <w:p>
            <w:pPr>
              <w:jc w:val="center"/>
              <w:ind w:right="520"/>
              <w:spacing w:after="0" w:line="148" w:lineRule="exact"/>
              <w:rPr>
                <w:sz w:val="20"/>
                <w:szCs w:val="20"/>
                <w:color w:val="auto"/>
              </w:rPr>
            </w:pPr>
            <w:r>
              <w:rPr>
                <w:rFonts w:ascii="Arial" w:cs="Arial" w:eastAsia="Arial" w:hAnsi="Arial"/>
                <w:sz w:val="13"/>
                <w:szCs w:val="13"/>
                <w:b w:val="1"/>
                <w:bCs w:val="1"/>
                <w:color w:val="auto"/>
                <w:w w:val="91"/>
              </w:rPr>
              <w:t>and equity investments</w:t>
            </w:r>
          </w:p>
        </w:tc>
        <w:tc>
          <w:tcPr>
            <w:tcW w:w="100" w:type="dxa"/>
            <w:vAlign w:val="bottom"/>
          </w:tcPr>
          <w:p>
            <w:pPr>
              <w:spacing w:after="0"/>
              <w:rPr>
                <w:sz w:val="14"/>
                <w:szCs w:val="14"/>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2012</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18,836,653</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169,046,400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429,535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13,308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442,843</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(depreciation) appreciation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(357,390)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158,764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(198,626)</w:t>
            </w:r>
          </w:p>
        </w:tc>
        <w:tc>
          <w:tcPr>
            <w:tcW w:w="0" w:type="dxa"/>
            <w:vAlign w:val="bottom"/>
          </w:tcPr>
          <w:p>
            <w:pPr>
              <w:spacing w:after="0"/>
              <w:rPr>
                <w:sz w:val="1"/>
                <w:szCs w:val="1"/>
                <w:color w:val="auto"/>
              </w:rPr>
            </w:pPr>
          </w:p>
        </w:tc>
      </w:tr>
      <w:tr>
        <w:trPr>
          <w:trHeight w:val="216"/>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35,707,944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3,488,767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39,196,711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 / exchanges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w w:val="90"/>
              </w:rPr>
              <w:t>(28,835,919)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(30,335,919)</w:t>
            </w:r>
          </w:p>
        </w:tc>
        <w:tc>
          <w:tcPr>
            <w:tcW w:w="0" w:type="dxa"/>
            <w:vAlign w:val="bottom"/>
          </w:tcPr>
          <w:p>
            <w:pPr>
              <w:spacing w:after="0"/>
              <w:rPr>
                <w:sz w:val="1"/>
                <w:szCs w:val="1"/>
                <w:color w:val="auto"/>
              </w:rPr>
            </w:pPr>
          </w:p>
        </w:tc>
      </w:tr>
      <w:tr>
        <w:trPr>
          <w:trHeight w:val="216"/>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(1,586,250)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(1,586,250)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157,153,917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19,411,242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176,565,159</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w w:val="96"/>
              </w:rPr>
              <w:t>Net change in unrealized appreciation (depreciation) reported within the net change in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Arial" w:cs="Arial" w:eastAsia="Arial" w:hAnsi="Arial"/>
                <w:sz w:val="18"/>
                <w:szCs w:val="18"/>
                <w:color w:val="auto"/>
                <w:w w:val="94"/>
              </w:rPr>
              <w:t>unrealized appreciation on investments in our Consolidated Statement of 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126,018</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(2,677,717)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(2,551,699)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93"/>
              </w:rPr>
              <w:t>Three Months Ended December 31, 2011</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62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59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1"/>
              </w:rPr>
              <w:t>subordinated debt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13"/>
              <w:spacing w:after="0" w:line="148" w:lineRule="exact"/>
              <w:rPr>
                <w:sz w:val="20"/>
                <w:szCs w:val="20"/>
                <w:color w:val="auto"/>
              </w:rPr>
            </w:pPr>
            <w:r>
              <w:rPr>
                <w:rFonts w:ascii="Arial" w:cs="Arial" w:eastAsia="Arial" w:hAnsi="Arial"/>
                <w:sz w:val="13"/>
                <w:szCs w:val="13"/>
                <w:b w:val="1"/>
                <w:bCs w:val="1"/>
                <w:color w:val="auto"/>
              </w:rPr>
              <w:t>First Lien</w:t>
            </w:r>
          </w:p>
        </w:tc>
        <w:tc>
          <w:tcPr>
            <w:tcW w:w="240" w:type="dxa"/>
            <w:vAlign w:val="bottom"/>
          </w:tcPr>
          <w:p>
            <w:pPr>
              <w:spacing w:after="0"/>
              <w:rPr>
                <w:sz w:val="14"/>
                <w:szCs w:val="14"/>
                <w:color w:val="auto"/>
              </w:rPr>
            </w:pPr>
          </w:p>
        </w:tc>
        <w:tc>
          <w:tcPr>
            <w:tcW w:w="1840" w:type="dxa"/>
            <w:vAlign w:val="bottom"/>
            <w:gridSpan w:val="3"/>
          </w:tcPr>
          <w:p>
            <w:pPr>
              <w:jc w:val="center"/>
              <w:ind w:right="520"/>
              <w:spacing w:after="0" w:line="148" w:lineRule="exact"/>
              <w:rPr>
                <w:sz w:val="20"/>
                <w:szCs w:val="20"/>
                <w:color w:val="auto"/>
              </w:rPr>
            </w:pPr>
            <w:r>
              <w:rPr>
                <w:rFonts w:ascii="Arial" w:cs="Arial" w:eastAsia="Arial" w:hAnsi="Arial"/>
                <w:sz w:val="13"/>
                <w:szCs w:val="13"/>
                <w:b w:val="1"/>
                <w:bCs w:val="1"/>
                <w:color w:val="auto"/>
                <w:w w:val="91"/>
              </w:rPr>
              <w:t>and equity investments</w:t>
            </w:r>
          </w:p>
        </w:tc>
        <w:tc>
          <w:tcPr>
            <w:tcW w:w="100" w:type="dxa"/>
            <w:vAlign w:val="bottom"/>
          </w:tcPr>
          <w:p>
            <w:pPr>
              <w:spacing w:after="0"/>
              <w:rPr>
                <w:sz w:val="14"/>
                <w:szCs w:val="14"/>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107,535,494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13"/>
              <w:spacing w:after="0"/>
              <w:rPr>
                <w:sz w:val="20"/>
                <w:szCs w:val="20"/>
                <w:color w:val="auto"/>
              </w:rPr>
            </w:pPr>
            <w:r>
              <w:rPr>
                <w:rFonts w:ascii="Arial" w:cs="Arial" w:eastAsia="Arial" w:hAnsi="Arial"/>
                <w:sz w:val="18"/>
                <w:szCs w:val="18"/>
                <w:color w:val="auto"/>
              </w:rPr>
              <w:t>308,511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308,511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283,619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1,025,559</w:t>
            </w:r>
          </w:p>
        </w:tc>
        <w:tc>
          <w:tcPr>
            <w:tcW w:w="0" w:type="dxa"/>
            <w:vAlign w:val="bottom"/>
          </w:tcPr>
          <w:p>
            <w:pPr>
              <w:spacing w:after="0"/>
              <w:rPr>
                <w:sz w:val="1"/>
                <w:szCs w:val="1"/>
                <w:color w:val="auto"/>
              </w:rPr>
            </w:pPr>
          </w:p>
        </w:tc>
      </w:tr>
      <w:tr>
        <w:trPr>
          <w:trHeight w:val="216"/>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36,280,783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1,023,071</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37,303,854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w w:val="90"/>
              </w:rPr>
              <w:t>(22,240,498)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(22,240,498)</w:t>
            </w:r>
          </w:p>
        </w:tc>
        <w:tc>
          <w:tcPr>
            <w:tcW w:w="0" w:type="dxa"/>
            <w:vAlign w:val="bottom"/>
          </w:tcPr>
          <w:p>
            <w:pPr>
              <w:spacing w:after="0"/>
              <w:rPr>
                <w:sz w:val="1"/>
                <w:szCs w:val="1"/>
                <w:color w:val="auto"/>
              </w:rPr>
            </w:pPr>
          </w:p>
        </w:tc>
      </w:tr>
      <w:tr>
        <w:trPr>
          <w:trHeight w:val="223"/>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w w:val="85"/>
              </w:rPr>
              <w:t>104,420,115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19,512,805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123,932,920</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Net change in unrealized appreciation reported within the net change in unrealized</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Arial" w:cs="Arial" w:eastAsia="Arial" w:hAnsi="Arial"/>
                <w:sz w:val="18"/>
                <w:szCs w:val="18"/>
                <w:color w:val="auto"/>
                <w:w w:val="91"/>
              </w:rPr>
              <w:t>appreciation on investments in our Consolidated Statement of Operations attributable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gridSpan w:val="2"/>
          </w:tcPr>
          <w:p>
            <w:pPr>
              <w:ind w:left="220"/>
              <w:spacing w:after="0"/>
              <w:rPr>
                <w:sz w:val="20"/>
                <w:szCs w:val="20"/>
                <w:color w:val="auto"/>
              </w:rPr>
            </w:pPr>
            <w:r>
              <w:rPr>
                <w:rFonts w:ascii="Arial" w:cs="Arial" w:eastAsia="Arial" w:hAnsi="Arial"/>
                <w:sz w:val="18"/>
                <w:szCs w:val="18"/>
                <w:color w:val="auto"/>
              </w:rPr>
              <w:t>our Level 3 assets still held at the reporting date.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851,376</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283,619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1,134,995</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55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898"/>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8"/>
              </w:rPr>
              <w:t>Carrying/Fair Value</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4"/>
              </w:rPr>
              <w:t>Three Months Ended</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rPr>
                <w:sz w:val="20"/>
                <w:szCs w:val="20"/>
                <w:color w:val="auto"/>
              </w:rPr>
            </w:pPr>
            <w:r>
              <w:rPr>
                <w:rFonts w:ascii="Arial" w:cs="Arial" w:eastAsia="Arial" w:hAnsi="Arial"/>
                <w:sz w:val="13"/>
                <w:szCs w:val="13"/>
                <w:b w:val="1"/>
                <w:bCs w:val="1"/>
                <w:color w:val="auto"/>
              </w:rPr>
              <w:t>Long-Term Credit Facility</w:t>
            </w:r>
          </w:p>
        </w:tc>
        <w:tc>
          <w:tcPr>
            <w:tcW w:w="37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48"/>
        </w:trPr>
        <w:tc>
          <w:tcPr>
            <w:tcW w:w="1640" w:type="dxa"/>
            <w:vAlign w:val="bottom"/>
            <w:tcBorders>
              <w:bottom w:val="single" w:sz="8" w:color="auto"/>
            </w:tcBorders>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tcBorders>
          </w:tcPr>
          <w:p>
            <w:pPr>
              <w:jc w:val="right"/>
              <w:ind w:right="268"/>
              <w:spacing w:after="0" w:line="129"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52"/>
              <w:spacing w:after="0" w:line="129" w:lineRule="exact"/>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3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0"/>
              </w:rPr>
              <w:t>Beginning Balance, September 30, (cost – $75,500,000 and $24,650,000,</w:t>
            </w:r>
          </w:p>
        </w:tc>
        <w:tc>
          <w:tcPr>
            <w:tcW w:w="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$ 75,122,500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$ 24,650,000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440"/>
              <w:spacing w:after="0"/>
              <w:rPr>
                <w:sz w:val="20"/>
                <w:szCs w:val="20"/>
                <w:color w:val="auto"/>
              </w:rPr>
            </w:pPr>
            <w:r>
              <w:rPr>
                <w:rFonts w:ascii="Arial" w:cs="Arial" w:eastAsia="Arial" w:hAnsi="Arial"/>
                <w:sz w:val="18"/>
                <w:szCs w:val="18"/>
                <w:color w:val="auto"/>
                <w:w w:val="95"/>
              </w:rPr>
              <w:t>Total unrealized appreciation (depreciation) included in earnings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377,500</w:t>
            </w:r>
          </w:p>
        </w:tc>
        <w:tc>
          <w:tcPr>
            <w:tcW w:w="18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(351,000)</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30,950,000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440"/>
              <w:spacing w:after="0"/>
              <w:rPr>
                <w:sz w:val="20"/>
                <w:szCs w:val="20"/>
                <w:color w:val="auto"/>
              </w:rPr>
            </w:pPr>
            <w:r>
              <w:rPr>
                <w:rFonts w:ascii="Arial" w:cs="Arial" w:eastAsia="Arial" w:hAnsi="Arial"/>
                <w:sz w:val="18"/>
                <w:szCs w:val="18"/>
                <w:color w:val="auto"/>
              </w:rPr>
              <w:t>Repayments</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(20,675,000)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(12,550,000)</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340" w:type="dxa"/>
            <w:vAlign w:val="bottom"/>
            <w:gridSpan w:val="2"/>
          </w:tcPr>
          <w:p>
            <w:pPr>
              <w:spacing w:after="0"/>
              <w:rPr>
                <w:sz w:val="20"/>
                <w:szCs w:val="20"/>
                <w:color w:val="auto"/>
              </w:rPr>
            </w:pPr>
            <w:r>
              <w:rPr>
                <w:rFonts w:ascii="Arial" w:cs="Arial" w:eastAsia="Arial" w:hAnsi="Arial"/>
                <w:sz w:val="18"/>
                <w:szCs w:val="18"/>
                <w:color w:val="auto"/>
                <w:w w:val="95"/>
              </w:rPr>
              <w:t>Ending Balance, December 31, (cost – $85,775,000 and $35,100,000,</w:t>
            </w:r>
          </w:p>
        </w:tc>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respectively)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7"/>
              </w:rPr>
              <w:t>$ 85,775,000</w:t>
            </w: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8"/>
              </w:rPr>
              <w:t>$ 34,749,000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898"/>
        <w:spacing w:after="0" w:line="287"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months ended December 31, 2012 and 2011, we had a net change in unrealized (appreciation) depreciation of $(0.4) million and $0.4 million, respectively. As of December 31, 2012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3"/>
                <w:szCs w:val="13"/>
                <w:b w:val="1"/>
                <w:bCs w:val="1"/>
                <w:color w:val="auto"/>
                <w:w w:val="98"/>
              </w:rPr>
              <w:t>Class and Year</w:t>
            </w:r>
          </w:p>
        </w:tc>
        <w:tc>
          <w:tcPr>
            <w:tcW w:w="8000" w:type="dxa"/>
            <w:vAlign w:val="bottom"/>
            <w:vMerge w:val="restart"/>
          </w:tcPr>
          <w:p>
            <w:pPr>
              <w:spacing w:after="0"/>
              <w:rPr>
                <w:sz w:val="14"/>
                <w:szCs w:val="14"/>
                <w:color w:val="auto"/>
              </w:rPr>
            </w:pPr>
          </w:p>
        </w:tc>
        <w:tc>
          <w:tcPr>
            <w:tcW w:w="2300" w:type="dxa"/>
            <w:vAlign w:val="bottom"/>
            <w:gridSpan w:val="6"/>
          </w:tcPr>
          <w:p>
            <w:pPr>
              <w:ind w:left="80"/>
              <w:spacing w:after="0"/>
              <w:rPr>
                <w:sz w:val="20"/>
                <w:szCs w:val="20"/>
                <w:color w:val="auto"/>
              </w:rPr>
            </w:pPr>
            <w:r>
              <w:rPr>
                <w:rFonts w:ascii="Arial" w:cs="Arial" w:eastAsia="Arial" w:hAnsi="Arial"/>
                <w:sz w:val="13"/>
                <w:szCs w:val="13"/>
                <w:b w:val="1"/>
                <w:bCs w:val="1"/>
                <w:color w:val="auto"/>
              </w:rPr>
              <w:t>Three Months Ended December 31,</w:t>
            </w:r>
          </w:p>
        </w:tc>
        <w:tc>
          <w:tcPr>
            <w:tcW w:w="0" w:type="dxa"/>
            <w:vAlign w:val="bottom"/>
          </w:tcPr>
          <w:p>
            <w:pPr>
              <w:spacing w:after="0"/>
              <w:rPr>
                <w:sz w:val="1"/>
                <w:szCs w:val="1"/>
                <w:color w:val="auto"/>
              </w:rPr>
            </w:pPr>
          </w:p>
        </w:tc>
      </w:tr>
      <w:tr>
        <w:trPr>
          <w:trHeight w:val="148"/>
        </w:trPr>
        <w:tc>
          <w:tcPr>
            <w:tcW w:w="940" w:type="dxa"/>
            <w:vAlign w:val="bottom"/>
            <w:tcBorders>
              <w:bottom w:val="single" w:sz="8" w:color="auto"/>
            </w:tcBorders>
            <w:vMerge w:val="continue"/>
          </w:tcPr>
          <w:p>
            <w:pPr>
              <w:spacing w:after="0"/>
              <w:rPr>
                <w:sz w:val="12"/>
                <w:szCs w:val="12"/>
                <w:color w:val="auto"/>
              </w:rPr>
            </w:pPr>
          </w:p>
        </w:tc>
        <w:tc>
          <w:tcPr>
            <w:tcW w:w="800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2012</w:t>
            </w: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1,765,431</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3,105,165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6,850,667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6,850,667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right="40" w:firstLine="898"/>
        <w:spacing w:after="0" w:line="287"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2012 and September 30, 2012, cash equivalents consisted of $4.0 million and $3.8 million, including amounts in money market funds, respectively.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2012</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Below are the financial highlights: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w w:val="98"/>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13.98</w:t>
            </w:r>
          </w:p>
        </w:tc>
        <w:tc>
          <w:tcPr>
            <w:tcW w:w="3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gain </w:t>
            </w:r>
            <w:r>
              <w:rPr>
                <w:rFonts w:ascii="Arial" w:cs="Arial" w:eastAsia="Arial" w:hAnsi="Arial"/>
                <w:sz w:val="11"/>
                <w:szCs w:val="11"/>
                <w:color w:val="auto"/>
              </w:rPr>
              <w:t>(1)</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1"/>
                <w:szCs w:val="11"/>
                <w:color w:val="auto"/>
              </w:rPr>
              <w:t>(1)</w:t>
            </w:r>
          </w:p>
        </w:tc>
        <w:tc>
          <w:tcPr>
            <w:tcW w:w="1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 xml:space="preserve">Dividends to stockholders </w:t>
            </w:r>
            <w:r>
              <w:rPr>
                <w:rFonts w:ascii="Arial" w:cs="Arial" w:eastAsia="Arial" w:hAnsi="Arial"/>
                <w:sz w:val="11"/>
                <w:szCs w:val="11"/>
                <w:color w:val="auto"/>
              </w:rPr>
              <w:t>(1), (2)</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12.70</w:t>
            </w:r>
          </w:p>
        </w:tc>
        <w:tc>
          <w:tcPr>
            <w:tcW w:w="3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1"/>
                <w:szCs w:val="11"/>
                <w:color w:val="auto"/>
              </w:rPr>
              <w:t>(3)</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6,850,667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6,850,667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 **</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1"/>
                <w:szCs w:val="11"/>
                <w:color w:val="auto"/>
              </w:rPr>
              <w:t>(4)</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Ratio of total expenses to average net assets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8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95,813,768</w:t>
            </w:r>
          </w:p>
        </w:tc>
        <w:tc>
          <w:tcPr>
            <w:tcW w:w="3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93,738,630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70,040,217</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27,986,957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Average debt per share</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80" w:type="dxa"/>
            <w:vAlign w:val="bottom"/>
            <w:gridSpan w:val="2"/>
            <w:vMerge w:val="continue"/>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c>
          <w:tcPr>
            <w:tcW w:w="3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right="7540" w:firstLine="8"/>
        <w:spacing w:after="0" w:line="274" w:lineRule="auto"/>
        <w:tabs>
          <w:tab w:leader="none" w:pos="445"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line="222"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Per share data are calculated based on the weighted average shares outstanding for the respective periods.</w:t>
      </w:r>
    </w:p>
    <w:p>
      <w:pPr>
        <w:spacing w:after="0" w:line="7" w:lineRule="exact"/>
        <w:rPr>
          <w:rFonts w:ascii="Arial" w:cs="Arial" w:eastAsia="Arial" w:hAnsi="Arial"/>
          <w:sz w:val="22"/>
          <w:szCs w:val="22"/>
          <w:color w:val="auto"/>
          <w:vertAlign w:val="superscript"/>
        </w:rPr>
      </w:pPr>
    </w:p>
    <w:p>
      <w:pPr>
        <w:ind w:left="460" w:right="500" w:hanging="452"/>
        <w:spacing w:after="0" w:line="221"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GAAP.</w:t>
      </w:r>
    </w:p>
    <w:p>
      <w:pPr>
        <w:ind w:left="460" w:right="240" w:hanging="452"/>
        <w:spacing w:after="0" w:line="225"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ind w:left="460" w:hanging="452"/>
        <w:spacing w:after="0" w:line="204"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Operating expenses exclude Credit Facility related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Funding I’s amended and restated Credit Facility with affiliates of SunTrust Bank, or the Lender, matures in May 2017 and its reinvestment period ends in May 2015.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December 31, 2012 and September 30, 2012, Funding I had $85.8 million and $75.5 million of outstanding borrowings under the Credit Facility, respectively, and carried an interest rate of 2.47%, in each case excluding the 0.375% undrawn commitment fee.</w:t>
      </w:r>
    </w:p>
    <w:p>
      <w:pPr>
        <w:spacing w:after="0" w:line="115"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DECEMBER 31, 2012</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44"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280" w:firstLine="898"/>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right="120" w:firstLine="898"/>
        <w:spacing w:after="0" w:line="291" w:lineRule="auto"/>
        <w:rPr>
          <w:sz w:val="20"/>
          <w:szCs w:val="20"/>
          <w:color w:val="auto"/>
        </w:rPr>
      </w:pPr>
      <w:r>
        <w:rPr>
          <w:rFonts w:ascii="Arial" w:cs="Arial" w:eastAsia="Arial" w:hAnsi="Arial"/>
          <w:sz w:val="16"/>
          <w:szCs w:val="16"/>
          <w:color w:val="auto"/>
        </w:rPr>
        <w:t>Under terms agreed among us, the Investment Adviser and underwriters of our initial public offering, the Investment Adviser paid 2% of the underwriters’ sales load, or approximately $2.1 million in the aggregate, on our behalf. We agreed to repay such amount to the Investment Adviser upon its achievement of a benchmark return over four consecutive quarters, and the Investment Adviser agreed to use such amount to purchase shares of our common stock over a six-month period following such repayment. We met the conditions for repayment to the Investment Adviser at the end of the quarter ended December 31, 2012 and repaid approximately $2.1 million to the Investment Adviser. The Investment Adviser announced that it intends to purchase shares of our common stock in the secondary market over the applicable six-month purchase period in compliance with applicable law and SEC guidance.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45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Floating Rate Capital Ltd. and its Subsidiary (the “Company”), including the consolidated schedule of investments, as of December 31, 2012 and the consolidated statement of operations, changes in net assets, and cash flows for the three months ended December 31, 2012 and 2011. These consolidated financial statements are the responsibility of the Company’s management.</w:t>
      </w:r>
    </w:p>
    <w:p>
      <w:pPr>
        <w:spacing w:after="0" w:line="143"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420" w:firstLine="898"/>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60" w:firstLine="898"/>
        <w:spacing w:after="0" w:line="298"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statement of assets and liabilities of PennantPark Floating Rate Capital Ltd. and its Subsidiary,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50546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5460" cy="10287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7, 2013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45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00" w:firstLine="898"/>
        <w:spacing w:after="0" w:line="298"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contains statements that constitute forward-looking statements, which relate to future events or our future performance or future financial condition. These forward-looking statements are not historical facts, but rather are based on current expectations, estimates and projections about our Company, industry, beliefs and assumptions. The forward-looking statements contained in this Report involve risks and uncertainties, including statements as to:</w:t>
      </w:r>
    </w:p>
    <w:p>
      <w:pPr>
        <w:spacing w:after="0" w:line="31" w:lineRule="exact"/>
        <w:rPr>
          <w:sz w:val="20"/>
          <w:szCs w:val="20"/>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the Investment Adviser to locate suitable investments for us and to monitor and administer our investments; and</w:t>
      </w:r>
    </w:p>
    <w:p>
      <w:pPr>
        <w:spacing w:after="0" w:line="113" w:lineRule="exact"/>
        <w:rPr>
          <w:rFonts w:ascii="Arial" w:cs="Arial" w:eastAsia="Arial" w:hAnsi="Arial"/>
          <w:sz w:val="16"/>
          <w:szCs w:val="16"/>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jc w:val="both"/>
        <w:ind w:right="140" w:firstLine="898"/>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6"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47"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2"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statements made in periodic reports we file under the Exchange Act.</w:t>
      </w:r>
    </w:p>
    <w:p>
      <w:pPr>
        <w:spacing w:after="0" w:line="140" w:lineRule="exact"/>
        <w:rPr>
          <w:sz w:val="20"/>
          <w:szCs w:val="20"/>
          <w:color w:val="auto"/>
        </w:rPr>
      </w:pPr>
    </w:p>
    <w:p>
      <w:pPr>
        <w:ind w:right="680" w:firstLine="898"/>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PennantPark Floating Rate Capital Ltd. is a BDC whose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the London Interbank Offered Rate, or LIBOR, plus a fixed spread over it.</w:t>
      </w:r>
    </w:p>
    <w:p>
      <w:pPr>
        <w:spacing w:after="0" w:line="112" w:lineRule="exact"/>
        <w:rPr>
          <w:sz w:val="20"/>
          <w:szCs w:val="20"/>
          <w:color w:val="auto"/>
        </w:rPr>
      </w:pPr>
    </w:p>
    <w:p>
      <w:pPr>
        <w:jc w:val="both"/>
        <w:ind w:right="220" w:firstLine="898"/>
        <w:spacing w:after="0" w:line="284" w:lineRule="auto"/>
        <w:rPr>
          <w:sz w:val="20"/>
          <w:szCs w:val="20"/>
          <w:color w:val="auto"/>
        </w:rPr>
      </w:pPr>
      <w:r>
        <w:rPr>
          <w:rFonts w:ascii="Arial" w:cs="Arial" w:eastAsia="Arial" w:hAnsi="Arial"/>
          <w:sz w:val="16"/>
          <w:szCs w:val="16"/>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18"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investments bearing a variable-rate of interest which may, from time to time, include variable rate derivative instruments.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Floating Rate Capital Ltd.</w:t>
      </w:r>
    </w:p>
    <w:p>
      <w:pPr>
        <w:spacing w:after="0" w:line="90" w:lineRule="exact"/>
        <w:rPr>
          <w:sz w:val="20"/>
          <w:szCs w:val="20"/>
          <w:color w:val="auto"/>
        </w:rPr>
      </w:pPr>
    </w:p>
    <w:p>
      <w:pPr>
        <w:jc w:val="both"/>
        <w:ind w:right="60" w:firstLine="898"/>
        <w:spacing w:after="0" w:line="317" w:lineRule="auto"/>
        <w:rPr>
          <w:sz w:val="20"/>
          <w:szCs w:val="20"/>
          <w:color w:val="auto"/>
        </w:rPr>
      </w:pPr>
      <w:r>
        <w:rPr>
          <w:rFonts w:ascii="Arial" w:cs="Arial" w:eastAsia="Arial" w:hAnsi="Arial"/>
          <w:sz w:val="15"/>
          <w:szCs w:val="15"/>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elected to be treated, and intend to qualify annually, as a RIC under the Code.</w:t>
      </w:r>
    </w:p>
    <w:p>
      <w:pPr>
        <w:spacing w:after="0" w:line="103" w:lineRule="exact"/>
        <w:rPr>
          <w:sz w:val="20"/>
          <w:szCs w:val="20"/>
          <w:color w:val="auto"/>
        </w:rPr>
      </w:pPr>
    </w:p>
    <w:p>
      <w:pPr>
        <w:ind w:right="100" w:firstLine="898"/>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or the Investment Management Agreement, we have agreed to pay our Investment Adviser an annual base management fee based on our average adjusted gross total assets as well as an incentive fee based on our investment performance. We have also entered into an administration agreement, or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We generate revenue in the form of interest income on the debt securities we hold. Capital gains, if any, are recorded on a trade date basis upon existing investments.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payment-in-kind, or PIK, interest. The principal amount of the debt securities and any accrued but unpaid interest generally becomes due at the maturity date. In addition, we may generate revenue in the form of original issue discount, or OID, or commitment, origination, structuring or diligence fees, fees for providing managerial assistance and possibly consulting fees.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commitment fees on the unfunded debt under our Credit Facility. We bear all other direct or indirect costs and expenses of our operations and transactions, including:</w:t>
      </w:r>
    </w:p>
    <w:p>
      <w:pPr>
        <w:spacing w:after="0" w:line="31" w:lineRule="exact"/>
        <w:rPr>
          <w:sz w:val="20"/>
          <w:szCs w:val="20"/>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1440" w:right="200" w:hanging="433"/>
        <w:spacing w:after="0" w:line="268"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jc w:val="both"/>
        <w:ind w:left="1440" w:right="60" w:hanging="433"/>
        <w:spacing w:after="0" w:line="298" w:lineRule="auto"/>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2"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20" w:firstLine="898"/>
        <w:spacing w:after="0" w:line="294" w:lineRule="auto"/>
        <w:rPr>
          <w:sz w:val="20"/>
          <w:szCs w:val="20"/>
          <w:color w:val="auto"/>
        </w:rPr>
      </w:pPr>
      <w:r>
        <w:rPr>
          <w:rFonts w:ascii="Arial" w:cs="Arial" w:eastAsia="Arial" w:hAnsi="Arial"/>
          <w:sz w:val="16"/>
          <w:szCs w:val="16"/>
          <w:color w:val="auto"/>
        </w:rPr>
        <w:t>As of December 31, 2012, our portfolio totaled $180.8 million and consisted of $157.2 million of senior secured loans, $10.5 million of second lien secured debt and $13.1 million of subordinated debt, preferred and common equity investments. Our debt portfolio consisted of 87% variable-rate investments (including 81% with a LIBOR or prime floor) and 13% fixed-rate investments. Overall, the portfolio had unrealized depreciation of $0.1 million. Our overall portfolio consisted of 64 companies with an average investment size of $2.8 million, a weighted average yield on debt investments of 8.9%, and was invested 87% in senior secured loans, 6% in second lien secured debt and 7% in subordinated debt, preferred and common equity investments.</w:t>
      </w:r>
    </w:p>
    <w:p>
      <w:pPr>
        <w:spacing w:after="0" w:line="115" w:lineRule="exact"/>
        <w:rPr>
          <w:sz w:val="20"/>
          <w:szCs w:val="20"/>
          <w:color w:val="auto"/>
        </w:rPr>
      </w:pPr>
    </w:p>
    <w:p>
      <w:pPr>
        <w:ind w:right="200" w:firstLine="898"/>
        <w:spacing w:after="0" w:line="283" w:lineRule="auto"/>
        <w:rPr>
          <w:sz w:val="20"/>
          <w:szCs w:val="20"/>
          <w:color w:val="auto"/>
        </w:rPr>
      </w:pPr>
      <w:r>
        <w:rPr>
          <w:rFonts w:ascii="Arial" w:cs="Arial" w:eastAsia="Arial" w:hAnsi="Arial"/>
          <w:sz w:val="16"/>
          <w:szCs w:val="16"/>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a weighted average yield on debt investments of</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8.6%, and was invested 87% in senior secured loans, 7% in second lien secured debt and 6% in subordinated debt, preferred and common equity investments.</w:t>
      </w:r>
    </w:p>
    <w:p>
      <w:pPr>
        <w:spacing w:after="0" w:line="199"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For the three months ended December 31, 2012, we invested $38.9 million in 12 new portfolio companies and two existing portfolio companies with a weighted average yield on debt investments of 9.6%. Sales and repayments of investments for the three months ended December 31, 2012 totaled $30.3 million.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For the three months ended December 31, 2011, we invested $39.3 million in 13 new portfolio companies and two existing portfolio companies with a weighted average yield on debt investments of 9.4%. Sales and repayments of investments for the three months ended December 31, 2011 totaled $22.3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898"/>
        <w:spacing w:after="0" w:line="314" w:lineRule="auto"/>
        <w:rPr>
          <w:sz w:val="20"/>
          <w:szCs w:val="20"/>
          <w:color w:val="auto"/>
        </w:rPr>
      </w:pPr>
      <w:r>
        <w:rPr>
          <w:rFonts w:ascii="Arial" w:cs="Arial" w:eastAsia="Arial" w:hAnsi="Arial"/>
          <w:sz w:val="15"/>
          <w:szCs w:val="15"/>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4"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from our valuations and the differences may be material.</w:t>
      </w:r>
    </w:p>
    <w:p>
      <w:pPr>
        <w:spacing w:after="0" w:line="119"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60" w:hanging="561"/>
        <w:spacing w:after="0" w:line="26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200" w:hanging="561"/>
        <w:spacing w:after="0" w:line="298" w:lineRule="auto"/>
        <w:tabs>
          <w:tab w:leader="none" w:pos="1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60" w:right="40" w:hanging="561"/>
        <w:spacing w:after="0" w:line="259"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right="20" w:hanging="561"/>
        <w:spacing w:after="0" w:line="26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40"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4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4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6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60" w:firstLine="898"/>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in conducted on a quarterly basis.</w:t>
      </w:r>
    </w:p>
    <w:p>
      <w:pPr>
        <w:spacing w:after="0" w:line="112"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40" w:firstLine="898"/>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months ended December 31, 2012 and 2011, the Credit Facility had a net change in unrealized (appreciation) depreciation of $(0.4) million and $0.4 million, respectively. As of December 31, 2012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280" w:firstLine="898"/>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40" w:firstLine="898"/>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of at least 90% of the sum of our net ordinary income and realized net short-term capital gains in excess of net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2"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 forth below are the results of operations for the three months ended December 31, 2012 and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80" w:firstLine="898"/>
        <w:spacing w:after="0" w:line="294" w:lineRule="auto"/>
        <w:rPr>
          <w:sz w:val="20"/>
          <w:szCs w:val="20"/>
          <w:color w:val="auto"/>
        </w:rPr>
      </w:pPr>
      <w:r>
        <w:rPr>
          <w:rFonts w:ascii="Arial" w:cs="Arial" w:eastAsia="Arial" w:hAnsi="Arial"/>
          <w:sz w:val="16"/>
          <w:szCs w:val="16"/>
          <w:color w:val="auto"/>
        </w:rPr>
        <w:t>Investment income for the three months ended December 31, 2012 was $4.0 million and was attributable to $3.3 million from senior secured loans, $0.3 million from second lien secured debt investments and $0.4 million from subordinated debt investments. This compares to investment income for the three months ended December 31, 2011, which was $2.5 million, and was attributable to $2.0 million from senior secured loan investments, $0.3 million from second lien secured debt investments and $0.2 million from subordinated debt investments. The increase in investment income is due to a larger portfolio which was funded through both our Credit Facility and rotation out of lower yielding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20" w:firstLine="898"/>
        <w:spacing w:after="0" w:line="254" w:lineRule="auto"/>
        <w:rPr>
          <w:sz w:val="20"/>
          <w:szCs w:val="20"/>
          <w:color w:val="auto"/>
        </w:rPr>
      </w:pPr>
      <w:r>
        <w:rPr>
          <w:rFonts w:ascii="Arial" w:cs="Arial" w:eastAsia="Arial" w:hAnsi="Arial"/>
          <w:sz w:val="18"/>
          <w:szCs w:val="18"/>
          <w:color w:val="auto"/>
        </w:rPr>
        <w:t>Expenses for the three months ended December 31, 2012 totaled $1.9 million. Base management fees for the same period totaled $0.5 million, performance-based incentive fees totaled $0.4 million, Credit Facility expenses totaled $0.5 million, general and administrative expenses totaled $0.5 million and excise taxes were less than $0.1 million. This compares to expenses for the three months ended December 31, 2011, which totaled $1.1 million. Base management fees for the same period totaled $0.3 million, performance-based incentive fees totaled zero, Credit Facility expenses totaled $0.3 million and general and administrative expenses totaled $0.5 million. The increase in management fees, incentive fees and Credit Facility expenses is due to the growth of our portfolio.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300" w:firstLine="898"/>
        <w:spacing w:after="0" w:line="259" w:lineRule="auto"/>
        <w:rPr>
          <w:sz w:val="20"/>
          <w:szCs w:val="20"/>
          <w:color w:val="auto"/>
        </w:rPr>
      </w:pPr>
      <w:r>
        <w:rPr>
          <w:rFonts w:ascii="Arial" w:cs="Arial" w:eastAsia="Arial" w:hAnsi="Arial"/>
          <w:sz w:val="18"/>
          <w:szCs w:val="18"/>
          <w:color w:val="auto"/>
        </w:rPr>
        <w:t>Net investment income totaled $2.1 million, or $0.30 per share, for the three months ended December 31, 2012, and $1.4 million, or $0.20 per share, for the three months ended December 31, 2011. The increase in net investment income is due to a larger portfolio and higher yielding assets offset by higher Credit Facility expenses and management and incentive fees.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Sales and repayments of investments for the three months ended December 31, 2012 totaled $30.3 million and realized gains totaled $0.4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Sales and repayments of long-term investments totaled $22.3 million and realized gains totaled $0.3 million for the three months ended December 31,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realized gains was driven by a higher volume of repayments than the comparable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For the three months ended December 31, 2012 and 2011, we reported unrealized (depreciation) appreciation on investments of $(0.4) million and $1.1 million, respectively. As of December 31, 2012 and September 30, 2012, net unrealized (depreciation) appreciation on investments totaled $(0.1) million and $0.3 million, respectively. The change in the three month period compared to last year is the result of the reversal of unrealized gains upon exiting our investments and changes in market values.</w:t>
      </w:r>
    </w:p>
    <w:p>
      <w:pPr>
        <w:spacing w:after="0" w:line="143" w:lineRule="exact"/>
        <w:rPr>
          <w:sz w:val="20"/>
          <w:szCs w:val="20"/>
          <w:color w:val="auto"/>
        </w:rPr>
      </w:pPr>
    </w:p>
    <w:p>
      <w:pPr>
        <w:ind w:right="140" w:firstLine="898"/>
        <w:spacing w:after="0" w:line="256" w:lineRule="auto"/>
        <w:rPr>
          <w:sz w:val="20"/>
          <w:szCs w:val="20"/>
          <w:color w:val="auto"/>
        </w:rPr>
      </w:pPr>
      <w:r>
        <w:rPr>
          <w:rFonts w:ascii="Arial" w:cs="Arial" w:eastAsia="Arial" w:hAnsi="Arial"/>
          <w:sz w:val="18"/>
          <w:szCs w:val="18"/>
          <w:color w:val="auto"/>
        </w:rPr>
        <w:t>For the three months ended December 31, 2012 and 2011, our long-term Credit Facility had a change in unrealized (appreciation) depreciation of $(0.4) million and $0.4 million, respectively. As of December 31, 2012 and September 30, 2012, net unrealized (appreciation) depreciation on our long-term Credit Facility totaled zero and $0.4 million, respectively. The change in the three month period compared to last year was due to changes in the leveraged finance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180" w:firstLine="898"/>
        <w:spacing w:after="0" w:line="256" w:lineRule="auto"/>
        <w:rPr>
          <w:sz w:val="20"/>
          <w:szCs w:val="20"/>
          <w:color w:val="auto"/>
        </w:rPr>
      </w:pPr>
      <w:r>
        <w:rPr>
          <w:rFonts w:ascii="Arial" w:cs="Arial" w:eastAsia="Arial" w:hAnsi="Arial"/>
          <w:sz w:val="18"/>
          <w:szCs w:val="18"/>
          <w:color w:val="auto"/>
        </w:rPr>
        <w:t>Net increase in net assets resulting from operations totaled $1.8 million, or $0.26 per share, for the three months ended December 31, 2012. This compares to a net increase in net assets resulting from operations which totaled $3.1 million, or $0.45 per share, for the three months ended December 31, 2011. The decrease in net assets resulting from operations compared to last year is due to changes in fair value of our investments due to changes in the leveraged finance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43"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Funding I’s amended and restated Credit Facility with affiliates of SunTrust Bank, or the Lender, matures in May 2017 and its reinvestment period ends in May 2015.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December 31, 2012 and September 30, 2012, Funding I had $85.8 million and $75.5 million of outstanding borrowings under the Credit Facility, respectively, and carried an interest rate of 2.47%, in each case excluding the 0.375% undrawn commitment fee, and had $10.0 million and $20.6 million available, respectively.</w:t>
      </w:r>
    </w:p>
    <w:p>
      <w:pPr>
        <w:spacing w:after="0" w:line="144" w:lineRule="exact"/>
        <w:rPr>
          <w:sz w:val="20"/>
          <w:szCs w:val="20"/>
          <w:color w:val="auto"/>
        </w:rPr>
      </w:pPr>
    </w:p>
    <w:p>
      <w:pPr>
        <w:ind w:right="160" w:firstLine="898"/>
        <w:spacing w:after="0" w:line="298" w:lineRule="auto"/>
        <w:rPr>
          <w:sz w:val="20"/>
          <w:szCs w:val="20"/>
          <w:color w:val="auto"/>
        </w:rPr>
      </w:pPr>
      <w:r>
        <w:rPr>
          <w:rFonts w:ascii="Arial" w:cs="Arial" w:eastAsia="Arial" w:hAnsi="Arial"/>
          <w:sz w:val="16"/>
          <w:szCs w:val="16"/>
          <w:color w:val="auto"/>
        </w:rPr>
        <w:t>During the Credit Facility’s first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2" w:lineRule="exact"/>
        <w:rPr>
          <w:sz w:val="20"/>
          <w:szCs w:val="20"/>
          <w:color w:val="auto"/>
        </w:rPr>
      </w:pPr>
    </w:p>
    <w:p>
      <w:pPr>
        <w:ind w:right="60" w:firstLine="898"/>
        <w:spacing w:after="0" w:line="290" w:lineRule="auto"/>
        <w:rPr>
          <w:sz w:val="20"/>
          <w:szCs w:val="20"/>
          <w:color w:val="auto"/>
        </w:rPr>
      </w:pPr>
      <w:r>
        <w:rPr>
          <w:rFonts w:ascii="Arial" w:cs="Arial" w:eastAsia="Arial" w:hAnsi="Arial"/>
          <w:sz w:val="16"/>
          <w:szCs w:val="16"/>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 For a complete list of such covenants see the amended and restated revolving credit and security agreement included as an exhibit to Form 10-Q filed on August 9, 2012. As of December 31, 2012, we were in compliance with the covenants relating to our Credit Facility.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fees owed with respect to such services are to be paid to the Company so long as the Investment Adviser remains the collateral manager.</w:t>
      </w:r>
    </w:p>
    <w:p>
      <w:pPr>
        <w:spacing w:after="0" w:line="120" w:lineRule="exact"/>
        <w:rPr>
          <w:sz w:val="20"/>
          <w:szCs w:val="20"/>
          <w:color w:val="auto"/>
        </w:rPr>
      </w:pPr>
    </w:p>
    <w:p>
      <w:pPr>
        <w:ind w:right="360" w:firstLine="898"/>
        <w:spacing w:after="0" w:line="298" w:lineRule="auto"/>
        <w:rPr>
          <w:sz w:val="20"/>
          <w:szCs w:val="20"/>
          <w:color w:val="auto"/>
        </w:rPr>
      </w:pPr>
      <w:r>
        <w:rPr>
          <w:rFonts w:ascii="Arial" w:cs="Arial" w:eastAsia="Arial" w:hAnsi="Arial"/>
          <w:sz w:val="16"/>
          <w:szCs w:val="16"/>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12" w:lineRule="exact"/>
        <w:rPr>
          <w:sz w:val="20"/>
          <w:szCs w:val="20"/>
          <w:color w:val="auto"/>
        </w:rPr>
      </w:pPr>
    </w:p>
    <w:p>
      <w:pPr>
        <w:ind w:right="200" w:firstLine="898"/>
        <w:spacing w:after="0" w:line="268" w:lineRule="auto"/>
        <w:rPr>
          <w:sz w:val="20"/>
          <w:szCs w:val="20"/>
          <w:color w:val="auto"/>
        </w:rPr>
      </w:pPr>
      <w:r>
        <w:rPr>
          <w:rFonts w:ascii="Arial" w:cs="Arial" w:eastAsia="Arial" w:hAnsi="Arial"/>
          <w:sz w:val="18"/>
          <w:szCs w:val="18"/>
          <w:color w:val="auto"/>
        </w:rPr>
        <w:t>At December 31, 2012, we had cash equivalents of $4.0 million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Our operating activities used cash of $8.5 million for the three months ended December 31, 2012, and our financing activities provided net cash proceeds of $8.6 million for the same period. Our operating activities used cash primarily for net investing that was financed by net draws under the Credit Facility.</w:t>
      </w:r>
    </w:p>
    <w:p>
      <w:pPr>
        <w:spacing w:after="0" w:line="140"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Our operating activities used cash of $11.3 million for the three months ended December 31, 2011, and our financing activities provided net cash proceeds of $9.0 million for the same period. Our operating activities used cash primarily for net investing that was financed by net draws under the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2012, including borrowings under our Credit Facility and other contractual obligations,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ind w:left="80"/>
              <w:spacing w:after="0"/>
              <w:rPr>
                <w:sz w:val="20"/>
                <w:szCs w:val="20"/>
                <w:color w:val="auto"/>
              </w:rPr>
            </w:pPr>
            <w:r>
              <w:rPr>
                <w:rFonts w:ascii="Arial" w:cs="Arial" w:eastAsia="Arial" w:hAnsi="Arial"/>
                <w:sz w:val="13"/>
                <w:szCs w:val="13"/>
                <w:b w:val="1"/>
                <w:bCs w:val="1"/>
                <w:color w:val="auto"/>
                <w:w w:val="98"/>
              </w:rPr>
              <w:t>Payments due by period (millions)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8"/>
              </w:rPr>
              <w:t>Less than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100"/>
              <w:spacing w:after="0" w:line="129" w:lineRule="exact"/>
              <w:rPr>
                <w:sz w:val="20"/>
                <w:szCs w:val="20"/>
                <w:color w:val="auto"/>
              </w:rPr>
            </w:pPr>
            <w:r>
              <w:rPr>
                <w:rFonts w:ascii="Arial" w:cs="Arial" w:eastAsia="Arial" w:hAnsi="Arial"/>
                <w:sz w:val="13"/>
                <w:szCs w:val="13"/>
                <w:b w:val="1"/>
                <w:bCs w:val="1"/>
                <w:color w:val="auto"/>
              </w:rPr>
              <w:t>1-3</w:t>
            </w:r>
          </w:p>
        </w:tc>
        <w:tc>
          <w:tcPr>
            <w:tcW w:w="700" w:type="dxa"/>
            <w:vAlign w:val="bottom"/>
            <w:gridSpan w:val="2"/>
          </w:tcPr>
          <w:p>
            <w:pPr>
              <w:jc w:val="center"/>
              <w:ind w:left="202"/>
              <w:spacing w:after="0" w:line="129" w:lineRule="exact"/>
              <w:rPr>
                <w:sz w:val="20"/>
                <w:szCs w:val="20"/>
                <w:color w:val="auto"/>
              </w:rPr>
            </w:pPr>
            <w:r>
              <w:rPr>
                <w:rFonts w:ascii="Arial" w:cs="Arial" w:eastAsia="Arial" w:hAnsi="Arial"/>
                <w:sz w:val="13"/>
                <w:szCs w:val="13"/>
                <w:b w:val="1"/>
                <w:bCs w:val="1"/>
                <w:color w:val="auto"/>
                <w:w w:val="95"/>
              </w:rPr>
              <w:t>3-5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1"/>
                <w:szCs w:val="11"/>
                <w:color w:val="auto"/>
              </w:rPr>
            </w:pPr>
          </w:p>
        </w:tc>
      </w:tr>
      <w:tr>
        <w:trPr>
          <w:trHeight w:val="161"/>
        </w:trPr>
        <w:tc>
          <w:tcPr>
            <w:tcW w:w="3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3"/>
                <w:szCs w:val="13"/>
                <w:b w:val="1"/>
                <w:bCs w:val="1"/>
                <w:color w:val="auto"/>
                <w:w w:val="90"/>
              </w:rPr>
              <w:t>1 year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20"/>
              <w:spacing w:after="0"/>
              <w:rPr>
                <w:sz w:val="20"/>
                <w:szCs w:val="20"/>
                <w:color w:val="auto"/>
              </w:rPr>
            </w:pPr>
            <w:r>
              <w:rPr>
                <w:rFonts w:ascii="Arial" w:cs="Arial" w:eastAsia="Arial" w:hAnsi="Arial"/>
                <w:sz w:val="13"/>
                <w:szCs w:val="13"/>
                <w:b w:val="1"/>
                <w:bCs w:val="1"/>
                <w:color w:val="auto"/>
                <w:w w:val="88"/>
              </w:rPr>
              <w:t>years</w:t>
            </w:r>
          </w:p>
        </w:tc>
        <w:tc>
          <w:tcPr>
            <w:tcW w:w="3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5 years</w:t>
            </w:r>
          </w:p>
        </w:tc>
      </w:tr>
      <w:tr>
        <w:trPr>
          <w:trHeight w:val="209"/>
        </w:trPr>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1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$85.8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$85.8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Accrued sales load charges</w:t>
            </w:r>
          </w:p>
        </w:tc>
        <w:tc>
          <w:tcPr>
            <w:tcW w:w="13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left="22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0"/>
        </w:trPr>
        <w:tc>
          <w:tcPr>
            <w:tcW w:w="3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898"/>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independent directors,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2" w:lineRule="exact"/>
        <w:rPr>
          <w:sz w:val="20"/>
          <w:szCs w:val="20"/>
          <w:color w:val="auto"/>
        </w:rPr>
      </w:pPr>
    </w:p>
    <w:p>
      <w:pPr>
        <w:ind w:right="100" w:firstLine="898"/>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independent directors,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44" w:lineRule="exact"/>
        <w:rPr>
          <w:sz w:val="20"/>
          <w:szCs w:val="20"/>
          <w:color w:val="auto"/>
        </w:rPr>
      </w:pPr>
    </w:p>
    <w:p>
      <w:pPr>
        <w:jc w:val="both"/>
        <w:ind w:right="80" w:firstLine="898"/>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firstLine="898"/>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through December 31, 2012, we met the conditions for repayment of the sales load. The Investment Adviser will be repaid approximately $2.1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4"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During the three months ended December 31, 2012 and 2011, we declared to stockholders distributions of approximately $0.25 and $0.21 per share, respectively, for total distributions of $1.7 million and $1.4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15" w:lineRule="exact"/>
        <w:rPr>
          <w:sz w:val="20"/>
          <w:szCs w:val="20"/>
          <w:color w:val="auto"/>
        </w:rPr>
      </w:pPr>
    </w:p>
    <w:p>
      <w:pPr>
        <w:ind w:right="300" w:firstLine="898"/>
        <w:spacing w:after="0" w:line="268" w:lineRule="auto"/>
        <w:rPr>
          <w:sz w:val="20"/>
          <w:szCs w:val="20"/>
          <w:color w:val="auto"/>
        </w:rPr>
      </w:pPr>
      <w:r>
        <w:rPr>
          <w:rFonts w:ascii="Arial" w:cs="Arial" w:eastAsia="Arial" w:hAnsi="Arial"/>
          <w:sz w:val="18"/>
          <w:szCs w:val="18"/>
          <w:color w:val="auto"/>
        </w:rPr>
        <w:t>We intend to continue to distribute monthly distributions to our stockholders. Our monthly distributions, if any, are determined by our board of directors quarterly.</w:t>
      </w:r>
    </w:p>
    <w:p>
      <w:pPr>
        <w:spacing w:after="0" w:line="132" w:lineRule="exact"/>
        <w:rPr>
          <w:sz w:val="20"/>
          <w:szCs w:val="20"/>
          <w:color w:val="auto"/>
        </w:rPr>
      </w:pPr>
    </w:p>
    <w:p>
      <w:pPr>
        <w:jc w:val="both"/>
        <w:ind w:right="100" w:firstLine="898"/>
        <w:spacing w:after="0" w:line="306" w:lineRule="auto"/>
        <w:rPr>
          <w:sz w:val="20"/>
          <w:szCs w:val="20"/>
          <w:color w:val="auto"/>
        </w:rPr>
      </w:pPr>
      <w:r>
        <w:rPr>
          <w:rFonts w:ascii="Arial" w:cs="Arial" w:eastAsia="Arial" w:hAnsi="Arial"/>
          <w:sz w:val="16"/>
          <w:szCs w:val="16"/>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06"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160" w:firstLine="898"/>
        <w:spacing w:after="0" w:line="291" w:lineRule="auto"/>
        <w:rPr>
          <w:sz w:val="20"/>
          <w:szCs w:val="20"/>
          <w:color w:val="auto"/>
        </w:rPr>
      </w:pPr>
      <w:r>
        <w:rPr>
          <w:rFonts w:ascii="Arial" w:cs="Arial" w:eastAsia="Arial" w:hAnsi="Arial"/>
          <w:sz w:val="16"/>
          <w:szCs w:val="16"/>
          <w:color w:val="auto"/>
        </w:rPr>
        <w:t>Under terms agreed among us, the Investment Adviser and underwriters of our initial public offering, the Investment Adviser paid 2% of the underwriters’ sales load, or approximately $2.1 million in the aggregate, on our behalf. We agreed to repay such amount to the Investment Adviser upon its achievement of a benchmark return over four consecutive quarters, and the Investment Adviser agreed to use such amount to purchase shares of our common stock over a six-month period following such repayment. We met the conditions for repayment to the Investment Adviser at the end of the quarter ended December 31, 2012 and repaid approximately $2.1 million to the Investment Adviser. The Investment Adviser announced that it intends to purchase shares of our common stock in the secondary market over the applicable six-month purchase period in compliance with applicable law and SEC guidance.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December 31, 2012, our debt portfolio consisted of 87% variable-rate investments (including 81% with a LIBOR or prime floor) and 13%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Assuming that the most recent statement of assets and liabilities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44" w:lineRule="exact"/>
        <w:rPr>
          <w:sz w:val="20"/>
          <w:szCs w:val="20"/>
          <w:color w:val="auto"/>
        </w:rPr>
      </w:pPr>
    </w:p>
    <w:p>
      <w:pPr>
        <w:ind w:firstLine="898"/>
        <w:spacing w:after="0" w:line="306"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6"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9" w:lineRule="exact"/>
        <w:rPr>
          <w:sz w:val="20"/>
          <w:szCs w:val="20"/>
          <w:color w:val="auto"/>
        </w:rPr>
      </w:pPr>
    </w:p>
    <w:p>
      <w:pPr>
        <w:ind w:right="300" w:firstLine="898"/>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2012 that has materially affected, or is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consider carefully the factors discussed in Part I “Item 1A. Risk Factors” in our Annual Report on Form 10-K for the fiscal year ended September 30, 2012,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198" w:lineRule="exact"/>
        <w:rPr>
          <w:sz w:val="20"/>
          <w:szCs w:val="20"/>
          <w:color w:val="auto"/>
        </w:rPr>
      </w:pPr>
    </w:p>
    <w:p>
      <w:pPr>
        <w:ind w:left="880" w:right="280" w:hanging="789"/>
        <w:spacing w:after="0" w:line="268" w:lineRule="auto"/>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Amendment and Restatement of the Registrant (Incorporated by reference to the Registrant’s Pre-Effective Amendment No. 3 to the Registration Statement on Form N-2 (File No. 333-170243), filed on March 29, 2011).</w:t>
      </w:r>
    </w:p>
    <w:p>
      <w:pPr>
        <w:spacing w:after="0" w:line="78"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of the Registrant (Incorporated by reference to the Registrant’s Quarterly Report on Form 10-Q (File No. 814-</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00891), filed on May 3, 2012).</w:t>
      </w:r>
    </w:p>
    <w:p>
      <w:pPr>
        <w:spacing w:after="0" w:line="111"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the Registrant’s Pre-Effective Amendment No. 5 to the Registration Statement on Form 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(File No. 333-170243), filed on April 5, 2011).</w:t>
      </w:r>
    </w:p>
    <w:p>
      <w:pPr>
        <w:spacing w:after="0" w:line="111" w:lineRule="exact"/>
        <w:rPr>
          <w:sz w:val="20"/>
          <w:szCs w:val="20"/>
          <w:color w:val="auto"/>
        </w:rPr>
      </w:pPr>
    </w:p>
    <w:p>
      <w:pPr>
        <w:ind w:left="880" w:hanging="87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80" w:right="580" w:hanging="876"/>
        <w:spacing w:after="0" w:line="268"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spacing w:after="0"/>
        <w:tabs>
          <w:tab w:leader="none" w:pos="4600" w:val="left"/>
          <w:tab w:leader="none" w:pos="7300" w:val="left"/>
          <w:tab w:leader="none" w:pos="7640" w:val="left"/>
        </w:tabs>
        <w:rPr>
          <w:sz w:val="20"/>
          <w:szCs w:val="20"/>
          <w:color w:val="auto"/>
        </w:rPr>
      </w:pPr>
      <w:r>
        <w:rPr>
          <w:rFonts w:ascii="Arial" w:cs="Arial" w:eastAsia="Arial" w:hAnsi="Arial"/>
          <w:sz w:val="18"/>
          <w:szCs w:val="18"/>
          <w:color w:val="auto"/>
        </w:rPr>
        <w:t>Date: February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3848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0"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Chairman of the Board of Directors and Chief Executive Officer</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(Principal Executive Officer)</w:t>
      </w:r>
    </w:p>
    <w:p>
      <w:pPr>
        <w:spacing w:after="0" w:line="232" w:lineRule="exact"/>
        <w:rPr>
          <w:sz w:val="20"/>
          <w:szCs w:val="20"/>
          <w:color w:val="auto"/>
        </w:rPr>
      </w:pPr>
    </w:p>
    <w:p>
      <w:pPr>
        <w:spacing w:after="0"/>
        <w:tabs>
          <w:tab w:leader="none" w:pos="4600" w:val="left"/>
          <w:tab w:leader="none" w:pos="7480" w:val="left"/>
          <w:tab w:leader="none" w:pos="7820" w:val="left"/>
        </w:tabs>
        <w:rPr>
          <w:sz w:val="20"/>
          <w:szCs w:val="20"/>
          <w:color w:val="auto"/>
        </w:rPr>
      </w:pPr>
      <w:r>
        <w:rPr>
          <w:rFonts w:ascii="Arial" w:cs="Arial" w:eastAsia="Arial" w:hAnsi="Arial"/>
          <w:sz w:val="18"/>
          <w:szCs w:val="18"/>
          <w:color w:val="auto"/>
        </w:rPr>
        <w:t>Date: February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3848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0"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Arthur H. Penn, Chief Executive Officer of PennantPark Floating Rate Capital Ltd., certify that:</w:t>
      </w:r>
    </w:p>
    <w:p>
      <w:pPr>
        <w:spacing w:after="0" w:line="171" w:lineRule="exact"/>
        <w:rPr>
          <w:sz w:val="20"/>
          <w:szCs w:val="20"/>
          <w:color w:val="auto"/>
        </w:rPr>
      </w:pPr>
    </w:p>
    <w:p>
      <w:pPr>
        <w:ind w:left="640" w:hanging="18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100" w:firstLine="457"/>
        <w:spacing w:after="0" w:line="259" w:lineRule="auto"/>
        <w:tabs>
          <w:tab w:leader="none" w:pos="6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8"/>
          <w:szCs w:val="18"/>
          <w:color w:val="auto"/>
        </w:rPr>
      </w:pPr>
    </w:p>
    <w:p>
      <w:pPr>
        <w:ind w:right="80" w:firstLine="906"/>
        <w:spacing w:after="0" w:line="259" w:lineRule="auto"/>
        <w:tabs>
          <w:tab w:leader="none" w:pos="107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40" w:firstLine="906"/>
        <w:spacing w:after="0" w:line="331" w:lineRule="auto"/>
        <w:tabs>
          <w:tab w:leader="none" w:pos="107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40" w:firstLine="906"/>
        <w:spacing w:after="0" w:line="331" w:lineRule="auto"/>
        <w:tabs>
          <w:tab w:leader="none" w:pos="1088"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6"/>
          <w:szCs w:val="16"/>
          <w:color w:val="auto"/>
        </w:rPr>
      </w:pPr>
    </w:p>
    <w:p>
      <w:pPr>
        <w:ind w:right="280" w:firstLine="457"/>
        <w:spacing w:after="0" w:line="331" w:lineRule="auto"/>
        <w:tabs>
          <w:tab w:leader="none" w:pos="6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Aviv Efrat, Chief Financial Officer of PennantPark Floating Rate Capital Ltd., certify that:</w:t>
      </w:r>
    </w:p>
    <w:p>
      <w:pPr>
        <w:spacing w:after="0" w:line="171" w:lineRule="exact"/>
        <w:rPr>
          <w:sz w:val="20"/>
          <w:szCs w:val="20"/>
          <w:color w:val="auto"/>
        </w:rPr>
      </w:pPr>
    </w:p>
    <w:p>
      <w:pPr>
        <w:ind w:left="640" w:hanging="18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400" w:firstLine="457"/>
        <w:spacing w:after="0" w:line="259" w:lineRule="auto"/>
        <w:tabs>
          <w:tab w:leader="none" w:pos="6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139" w:lineRule="exact"/>
        <w:rPr>
          <w:rFonts w:ascii="Arial" w:cs="Arial" w:eastAsia="Arial" w:hAnsi="Arial"/>
          <w:sz w:val="18"/>
          <w:szCs w:val="18"/>
          <w:color w:val="auto"/>
        </w:rPr>
      </w:pPr>
    </w:p>
    <w:p>
      <w:pPr>
        <w:ind w:right="80" w:firstLine="906"/>
        <w:spacing w:after="0" w:line="259" w:lineRule="auto"/>
        <w:tabs>
          <w:tab w:leader="none" w:pos="107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40" w:firstLine="906"/>
        <w:spacing w:after="0" w:line="331" w:lineRule="auto"/>
        <w:tabs>
          <w:tab w:leader="none" w:pos="1079"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40" w:firstLine="906"/>
        <w:spacing w:after="0" w:line="331" w:lineRule="auto"/>
        <w:tabs>
          <w:tab w:leader="none" w:pos="1088"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6"/>
          <w:szCs w:val="16"/>
          <w:color w:val="auto"/>
        </w:rPr>
      </w:pPr>
    </w:p>
    <w:p>
      <w:pPr>
        <w:ind w:right="280" w:firstLine="457"/>
        <w:spacing w:after="0" w:line="331" w:lineRule="auto"/>
        <w:tabs>
          <w:tab w:leader="none" w:pos="6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2012,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7, 2013</w:t>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December 31, 2012,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7, 2013</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lvl w:ilvl="1">
      <w:lvlJc w:val="left"/>
      <w:lvlText w:val="(%2)"/>
      <w:numFmt w:val="lowerLetter"/>
      <w:start w:val="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2020-05-05T12:06:02Z</dcterms:created>
  <dcterms:modified xsi:type="dcterms:W3CDTF">2020-05-05T12:06:02Z</dcterms:modified>
</cp:coreProperties>
</file>