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March 18, 2021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dated March 18, 2021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Prospectus dated January 29, 2020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333-235532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4.25% Notes due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18, 2021</w:t>
      </w:r>
    </w:p>
    <w:p>
      <w:pPr>
        <w:spacing w:after="0" w:line="207" w:lineRule="exact"/>
        <w:rPr>
          <w:sz w:val="24"/>
          <w:szCs w:val="24"/>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following sets forth the final terms of the 4.25% Notes due 2026 and should only be read together with the preliminary prospectus supplement dated March 18, 2021, together with the accompanying prospectus dated January 29,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25" w:right="439" w:bottom="1440" w:gutter="0" w:footer="0" w:header="0"/>
        </w:sectPr>
      </w:pP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7"/>
          <w:szCs w:val="17"/>
          <w:color w:val="auto"/>
        </w:rPr>
        <w:t>PennantPark Floating Rate Capital Ltd.</w:t>
      </w:r>
    </w:p>
    <w:p>
      <w:pPr>
        <w:spacing w:after="0" w:line="128"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4.25% Notes due 2026</w:t>
      </w:r>
    </w:p>
    <w:p>
      <w:pPr>
        <w:spacing w:after="0" w:line="129"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Rating (Egan-Jones)*: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BBB</w:t>
      </w:r>
    </w:p>
    <w:p>
      <w:pPr>
        <w:spacing w:after="0" w:line="128"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18, 2021</w:t>
      </w:r>
    </w:p>
    <w:p>
      <w:pPr>
        <w:spacing w:after="0" w:line="129"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23, 2021 (T+3)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 expects that delivery of the Notes will be made 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investors on or about March 23, 2021, which will be the third business day following the date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 pricing of the notes (such settlement cycle being herein referred to as “T+3”). Under Rule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15c6-1 under the Exchange Act, trades in the secondary market generally are required to settle</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two business days, unless the parties to any such trade expressly agree otherwise.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Accordingly, purchasers who wish to trade notes on the date of pricing will be required, by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virtue of the fact that the notes initially will settle T+3, to specify an alternate settlement cycle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time of any such trade to prevent a failed settlement. Purchasers of notes who wish 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trade notes on the date of pricing should consult their own advisor.</w:t>
      </w:r>
    </w:p>
    <w:p>
      <w:pPr>
        <w:spacing w:after="0" w:line="112"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$100,000,000</w:t>
      </w:r>
    </w:p>
    <w:p>
      <w:pPr>
        <w:spacing w:after="0" w:line="129"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 2026</w:t>
      </w:r>
    </w:p>
    <w:p>
      <w:pPr>
        <w:spacing w:after="0" w:line="129"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0.500% due February 28, 2026</w:t>
      </w:r>
    </w:p>
    <w:p>
      <w:pPr>
        <w:spacing w:after="0" w:line="129" w:lineRule="exact"/>
        <w:rPr>
          <w:sz w:val="24"/>
          <w:szCs w:val="24"/>
          <w:color w:val="auto"/>
        </w:rPr>
      </w:pPr>
    </w:p>
    <w:p>
      <w:pPr>
        <w:sectPr>
          <w:pgSz w:w="11900" w:h="16838" w:orient="portrait"/>
          <w:cols w:equalWidth="0" w:num="2">
            <w:col w:w="3480" w:space="720"/>
            <w:col w:w="682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98-08 / 0.862%</w:t>
      </w:r>
    </w:p>
    <w:p>
      <w:pPr>
        <w:sectPr>
          <w:pgSz w:w="11900" w:h="16838" w:orient="portrait"/>
          <w:cols w:equalWidth="0" w:num="2">
            <w:col w:w="3480" w:space="720"/>
            <w:col w:w="6820"/>
          </w:cols>
          <w:pgMar w:left="44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+351.3 basis points</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4.375%</w:t>
            </w:r>
          </w:p>
        </w:tc>
      </w:tr>
      <w:tr>
        <w:trPr>
          <w:trHeight w:val="30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 (Issue Price):</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The Notes will be issued at a price of 99.441% of their principal amount, plus accrued</w:t>
            </w:r>
          </w:p>
        </w:tc>
      </w:tr>
      <w:tr>
        <w:trPr>
          <w:trHeight w:val="234"/>
        </w:trPr>
        <w:tc>
          <w:tcPr>
            <w:tcW w:w="3240" w:type="dxa"/>
            <w:vAlign w:val="bottom"/>
          </w:tcPr>
          <w:p>
            <w:pPr>
              <w:spacing w:after="0"/>
              <w:rPr>
                <w:sz w:val="20"/>
                <w:szCs w:val="20"/>
                <w:color w:val="auto"/>
              </w:rPr>
            </w:pP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interest, if any, from March 23, 2021</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Coupon (Interest Rate):</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4.25%</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April 1 and October 1, commencing October 1, 2021</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Make-Whole Redemption:</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Equal to the greater of the following amounts:</w:t>
            </w:r>
          </w:p>
        </w:tc>
      </w:tr>
      <w:tr>
        <w:trPr>
          <w:trHeight w:val="338"/>
        </w:trPr>
        <w:tc>
          <w:tcPr>
            <w:tcW w:w="3240" w:type="dxa"/>
            <w:vAlign w:val="bottom"/>
          </w:tcPr>
          <w:p>
            <w:pPr>
              <w:spacing w:after="0"/>
              <w:rPr>
                <w:sz w:val="24"/>
                <w:szCs w:val="24"/>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 of the principal amount of the Notes to be redeemed, or</w:t>
            </w:r>
          </w:p>
        </w:tc>
      </w:tr>
      <w:tr>
        <w:trPr>
          <w:trHeight w:val="319"/>
        </w:trPr>
        <w:tc>
          <w:tcPr>
            <w:tcW w:w="3240" w:type="dxa"/>
            <w:vAlign w:val="bottom"/>
          </w:tcPr>
          <w:p>
            <w:pPr>
              <w:spacing w:after="0"/>
              <w:rPr>
                <w:sz w:val="24"/>
                <w:szCs w:val="24"/>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sum of the present values of the remaining scheduled payments of principal and</w:t>
            </w:r>
          </w:p>
        </w:tc>
      </w:tr>
      <w:tr>
        <w:trPr>
          <w:trHeight w:val="216"/>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interest (exclusive of accrued and unpaid interest to the date of redemption) on the Notes</w:t>
            </w:r>
          </w:p>
        </w:tc>
      </w:tr>
      <w:tr>
        <w:trPr>
          <w:trHeight w:val="216"/>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be redeemed, discounted to the redemption date on a semi-annual basis (assuming a</w:t>
            </w:r>
          </w:p>
        </w:tc>
      </w:tr>
      <w:tr>
        <w:trPr>
          <w:trHeight w:val="214"/>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360-day year consisting of twelve 30-day months) using the applicable Treasury Rate</w:t>
            </w:r>
          </w:p>
        </w:tc>
      </w:tr>
      <w:tr>
        <w:trPr>
          <w:trHeight w:val="218"/>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plus 50 basis points;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PennantPark Floating Rate Capital Ltd.</w:t>
            </w:r>
          </w:p>
        </w:tc>
      </w:tr>
      <w:tr>
        <w:trPr>
          <w:trHeight w:val="216"/>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redeems any Notes on or after January 1, 2026 (the date falling three months prior to the</w:t>
            </w:r>
          </w:p>
        </w:tc>
      </w:tr>
      <w:tr>
        <w:trPr>
          <w:trHeight w:val="216"/>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maturity date of the Notes), the redemption price for the Notes will be equal to 100% of</w:t>
            </w:r>
          </w:p>
        </w:tc>
      </w:tr>
      <w:tr>
        <w:trPr>
          <w:trHeight w:val="216"/>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principal amount of the Notes to be redeemed, plus, in each case, accrued and unpaid</w:t>
            </w:r>
          </w:p>
        </w:tc>
      </w:tr>
      <w:tr>
        <w:trPr>
          <w:trHeight w:val="234"/>
        </w:trPr>
        <w:tc>
          <w:tcPr>
            <w:tcW w:w="3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if any, to, but excluding, the date of redemption</w:t>
            </w:r>
          </w:p>
        </w:tc>
      </w:tr>
      <w:tr>
        <w:trPr>
          <w:trHeight w:val="33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CUSIP:</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70806A AA4</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ISIN:</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US70806AAA43</w:t>
            </w:r>
          </w:p>
        </w:tc>
      </w:tr>
      <w:tr>
        <w:trPr>
          <w:trHeight w:val="30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240" w:type="dxa"/>
            <w:vAlign w:val="bottom"/>
          </w:tcPr>
          <w:p>
            <w:pPr>
              <w:spacing w:after="0"/>
              <w:rPr>
                <w:sz w:val="18"/>
                <w:szCs w:val="18"/>
                <w:color w:val="auto"/>
              </w:rPr>
            </w:pP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Keefe, Bruyette &amp; Woods, Inc.</w:t>
            </w:r>
          </w:p>
        </w:tc>
      </w:tr>
      <w:tr>
        <w:trPr>
          <w:trHeight w:val="234"/>
        </w:trPr>
        <w:tc>
          <w:tcPr>
            <w:tcW w:w="3240" w:type="dxa"/>
            <w:vAlign w:val="bottom"/>
          </w:tcPr>
          <w:p>
            <w:pPr>
              <w:spacing w:after="0"/>
              <w:rPr>
                <w:sz w:val="20"/>
                <w:szCs w:val="20"/>
                <w:color w:val="auto"/>
              </w:rPr>
            </w:pP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31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JMP Securities LLC</w:t>
            </w:r>
          </w:p>
        </w:tc>
      </w:tr>
      <w:tr>
        <w:trPr>
          <w:trHeight w:val="234"/>
        </w:trPr>
        <w:tc>
          <w:tcPr>
            <w:tcW w:w="3240" w:type="dxa"/>
            <w:vAlign w:val="bottom"/>
          </w:tcPr>
          <w:p>
            <w:pPr>
              <w:spacing w:after="0"/>
              <w:rPr>
                <w:sz w:val="20"/>
                <w:szCs w:val="20"/>
                <w:color w:val="auto"/>
              </w:rPr>
            </w:pPr>
          </w:p>
        </w:tc>
        <w:tc>
          <w:tcPr>
            <w:tcW w:w="7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Ladenberg Thalman &amp; Co.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PennantPark Floating Rate Capital Ltd. (“PFLT”) before investing. The preliminary prospectus supplement dated March 18, 2021 and the accompanying prospectus dated January 29, 2020, each of which have been filed with the Securities and Exchange Commission (the “SEC”), contains this and other information about PFLT and should be read carefully before investing.</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PFLT and are not soliciting an offer to buy such securities in any state or jurisdiction where such offer and sale is not permitted.</w:t>
      </w:r>
    </w:p>
    <w:p>
      <w:pPr>
        <w:sectPr>
          <w:pgSz w:w="11900" w:h="16838" w:orient="portrait"/>
          <w:cols w:equalWidth="0" w:num="1">
            <w:col w:w="11000"/>
          </w:cols>
          <w:pgMar w:left="440" w:top="378" w:right="4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PFLT’s shelf registration statement is on file and has been declared effective by the SEC. The offering may be made only by means of a preliminary prospectus supplement and an accompanying prospectus. Before you invest, you should read the preliminary prospectus supplement dated March 18, 2021, the accompanying prospectus dated January 29, 2020 and other documents the issuer has filed with the SEC for more complete information about PFLT and this offering. You may obtain these documents for free by visiting EDGAR on the SEC Web site at www.sec.gov. Alternatively, PFLT, any underwriter or any dealer participating in the offering will arrange to send you the prospectus supplement and accompanying prospectus if you request it from any of the following: Goldman Sachs &amp; Co. LLC, Attn: Prospectus Department, 200 West Street, New York, NY 10282, telephone: 1-866-471-2526, facsimile: 1-212-902-9316 or email: prospectus-ny@ny.email.gs.com; Keefe, Bruyette &amp; Woods, </w:t>
      </w:r>
      <w:r>
        <w:rPr>
          <w:rFonts w:ascii="Times New Roman" w:cs="Times New Roman" w:eastAsia="Times New Roman" w:hAnsi="Times New Roman"/>
          <w:sz w:val="18"/>
          <w:szCs w:val="18"/>
          <w:b w:val="1"/>
          <w:bCs w:val="1"/>
          <w:i w:val="1"/>
          <w:iCs w:val="1"/>
          <w:color w:val="auto"/>
        </w:rPr>
        <w:t>A Stifel Company</w:t>
      </w:r>
      <w:r>
        <w:rPr>
          <w:rFonts w:ascii="Times New Roman" w:cs="Times New Roman" w:eastAsia="Times New Roman" w:hAnsi="Times New Roman"/>
          <w:sz w:val="18"/>
          <w:szCs w:val="18"/>
          <w:b w:val="1"/>
          <w:bCs w:val="1"/>
          <w:color w:val="auto"/>
        </w:rPr>
        <w:t>,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2021-03-19T05:21:19Z</dcterms:created>
  <dcterms:modified xsi:type="dcterms:W3CDTF">2021-03-19T05:21:19Z</dcterms:modified>
</cp:coreProperties>
</file>