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8, 2012</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159" w:lineRule="exact"/>
        <w:rPr>
          <w:sz w:val="24"/>
          <w:szCs w:val="24"/>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 PENNANTPARK FLOATING RATE CAPITAL LTD.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814-00891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On behalf of PennantPark Floating Rate Capital Ltd. (the “Corporation”), enclosed for filing, pursuant to Rule 17g-1 of the Investment Company Act of 1940, as amended (the “1940 Act”), are the following documents:</w:t>
      </w:r>
    </w:p>
    <w:p>
      <w:pPr>
        <w:spacing w:after="0" w:line="51"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Fidelity Bond and any riders thereto for the Corporation and other joint insureds (attached as Exhibit A); and</w:t>
      </w:r>
    </w:p>
    <w:p>
      <w:pPr>
        <w:spacing w:after="0" w:line="90" w:lineRule="exact"/>
        <w:rPr>
          <w:rFonts w:ascii="Arial" w:cs="Arial" w:eastAsia="Arial" w:hAnsi="Arial"/>
          <w:sz w:val="18"/>
          <w:szCs w:val="18"/>
          <w:color w:val="auto"/>
        </w:rPr>
      </w:pPr>
    </w:p>
    <w:p>
      <w:pPr>
        <w:ind w:left="900" w:right="200" w:hanging="446"/>
        <w:spacing w:after="0" w:line="256"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1, 2012 Meeting of the Board of Directors of the Corporation in which a majority of the Directors who are not “interested persons” of the Corporation as defined by Section 2(a)(19) of the 1940 Act approved the amount, type, form and coverage of the Fidelity Bond, the portion of the premium paid by the Corporation and the Joint Fidelity Bond Agreement (attached as Exhibit B); and</w:t>
      </w:r>
    </w:p>
    <w:p>
      <w:pPr>
        <w:spacing w:after="0" w:line="62"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32"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$600,000 as required under paragraph (d) of Rule 17g-1. A premium of $14,258.00 was paid for the period May 31, 2012 through May 31, 2013.</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1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Aviv Efrat</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39" w:right="2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undersigned, Thomas J. Friedmann, Secretary of PennantPark Floating Rate Capital Ltd., a Maryland corporation (the “Corporation”), does hereby certify that:</w:t>
      </w:r>
    </w:p>
    <w:p>
      <w:pPr>
        <w:spacing w:after="0" w:line="51" w:lineRule="exact"/>
        <w:rPr>
          <w:sz w:val="20"/>
          <w:szCs w:val="20"/>
          <w:color w:val="auto"/>
        </w:rPr>
      </w:pPr>
    </w:p>
    <w:p>
      <w:pPr>
        <w:jc w:val="both"/>
        <w:ind w:left="9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fidelity bond (the “Bond”) pursuant to Rule 17g-1 of the Investment Company Act of 1940, as amended, and the SEC is entitled to rely on this certificate for purposes of the filing.</w:t>
      </w:r>
    </w:p>
    <w:p>
      <w:pPr>
        <w:spacing w:after="0" w:line="59"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2012 to May 31,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8</w:t>
      </w:r>
      <w:r>
        <w:rPr>
          <w:rFonts w:ascii="Arial" w:cs="Arial" w:eastAsia="Arial" w:hAnsi="Arial"/>
          <w:sz w:val="11"/>
          <w:szCs w:val="11"/>
          <w:color w:val="auto"/>
        </w:rPr>
        <w:t>th</w:t>
      </w:r>
      <w:r>
        <w:rPr>
          <w:rFonts w:ascii="Arial" w:cs="Arial" w:eastAsia="Arial" w:hAnsi="Arial"/>
          <w:sz w:val="18"/>
          <w:szCs w:val="18"/>
          <w:color w:val="auto"/>
        </w:rPr>
        <w:t xml:space="preserve"> day of June,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1329055" cy="403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8580" w:type="dxa"/>
            <w:vAlign w:val="bottom"/>
          </w:tcPr>
          <w:p>
            <w:pPr>
              <w:jc w:val="center"/>
              <w:ind w:right="2752"/>
              <w:spacing w:after="0"/>
              <w:rPr>
                <w:sz w:val="20"/>
                <w:szCs w:val="20"/>
                <w:color w:val="auto"/>
              </w:rPr>
            </w:pPr>
            <w:r>
              <w:rPr>
                <w:rFonts w:ascii="Arial" w:cs="Arial" w:eastAsia="Arial" w:hAnsi="Arial"/>
                <w:sz w:val="18"/>
                <w:szCs w:val="18"/>
                <w:b w:val="1"/>
                <w:bCs w:val="1"/>
                <w:color w:val="auto"/>
                <w:w w:val="89"/>
              </w:rPr>
              <w:t>National Union Fire Insurance Company of Pittsburgh, Pa.</w:t>
            </w:r>
          </w:p>
        </w:tc>
      </w:tr>
      <w:tr>
        <w:trPr>
          <w:trHeight w:val="378"/>
        </w:trPr>
        <w:tc>
          <w:tcPr>
            <w:tcW w:w="2840" w:type="dxa"/>
            <w:vAlign w:val="bottom"/>
          </w:tcPr>
          <w:p>
            <w:pPr>
              <w:spacing w:after="0"/>
              <w:rPr>
                <w:sz w:val="24"/>
                <w:szCs w:val="24"/>
                <w:color w:val="auto"/>
              </w:rPr>
            </w:pPr>
          </w:p>
        </w:tc>
        <w:tc>
          <w:tcPr>
            <w:tcW w:w="8580" w:type="dxa"/>
            <w:vAlign w:val="bottom"/>
          </w:tcPr>
          <w:p>
            <w:pPr>
              <w:ind w:left="7520"/>
              <w:spacing w:after="0"/>
              <w:rPr>
                <w:sz w:val="20"/>
                <w:szCs w:val="20"/>
                <w:color w:val="auto"/>
              </w:rPr>
            </w:pPr>
            <w:r>
              <w:rPr>
                <w:rFonts w:ascii="Arial" w:cs="Arial" w:eastAsia="Arial" w:hAnsi="Arial"/>
                <w:sz w:val="18"/>
                <w:szCs w:val="18"/>
                <w:color w:val="auto"/>
                <w:w w:val="89"/>
              </w:rPr>
              <w:t>A capital stock</w:t>
            </w:r>
          </w:p>
        </w:tc>
      </w:tr>
      <w:tr>
        <w:trPr>
          <w:trHeight w:val="378"/>
        </w:trPr>
        <w:tc>
          <w:tcPr>
            <w:tcW w:w="2840" w:type="dxa"/>
            <w:vAlign w:val="bottom"/>
          </w:tcPr>
          <w:p>
            <w:pPr>
              <w:spacing w:after="0"/>
              <w:rPr>
                <w:sz w:val="20"/>
                <w:szCs w:val="20"/>
                <w:color w:val="auto"/>
              </w:rPr>
            </w:pPr>
            <w:r>
              <w:rPr>
                <w:rFonts w:ascii="Arial" w:cs="Arial" w:eastAsia="Arial" w:hAnsi="Arial"/>
                <w:sz w:val="18"/>
                <w:szCs w:val="18"/>
                <w:color w:val="auto"/>
              </w:rPr>
              <w:t>company</w:t>
            </w:r>
          </w:p>
        </w:tc>
        <w:tc>
          <w:tcPr>
            <w:tcW w:w="8580" w:type="dxa"/>
            <w:vAlign w:val="bottom"/>
          </w:tcPr>
          <w:p>
            <w:pPr>
              <w:spacing w:after="0"/>
              <w:rPr>
                <w:sz w:val="24"/>
                <w:szCs w:val="24"/>
                <w:color w:val="auto"/>
              </w:rPr>
            </w:pPr>
          </w:p>
        </w:tc>
      </w:tr>
      <w:tr>
        <w:trPr>
          <w:trHeight w:val="252"/>
        </w:trPr>
        <w:tc>
          <w:tcPr>
            <w:tcW w:w="2840" w:type="dxa"/>
            <w:vAlign w:val="bottom"/>
            <w:tcBorders>
              <w:bottom w:val="single" w:sz="8" w:color="auto"/>
            </w:tcBorders>
          </w:tcPr>
          <w:p>
            <w:pPr>
              <w:spacing w:after="0"/>
              <w:rPr>
                <w:sz w:val="21"/>
                <w:szCs w:val="21"/>
                <w:color w:val="auto"/>
              </w:rPr>
            </w:pPr>
          </w:p>
        </w:tc>
        <w:tc>
          <w:tcPr>
            <w:tcW w:w="8580" w:type="dxa"/>
            <w:vAlign w:val="bottom"/>
            <w:tcBorders>
              <w:bottom w:val="single" w:sz="8" w:color="auto"/>
            </w:tcBorders>
          </w:tcPr>
          <w:p>
            <w:pPr>
              <w:spacing w:after="0"/>
              <w:rPr>
                <w:sz w:val="21"/>
                <w:szCs w:val="21"/>
                <w:color w:val="auto"/>
              </w:rPr>
            </w:pPr>
          </w:p>
        </w:tc>
      </w:tr>
      <w:tr>
        <w:trPr>
          <w:trHeight w:val="444"/>
        </w:trPr>
        <w:tc>
          <w:tcPr>
            <w:tcW w:w="2840" w:type="dxa"/>
            <w:vAlign w:val="bottom"/>
          </w:tcPr>
          <w:p>
            <w:pPr>
              <w:spacing w:after="0"/>
              <w:rPr>
                <w:sz w:val="20"/>
                <w:szCs w:val="20"/>
                <w:color w:val="auto"/>
              </w:rPr>
            </w:pPr>
            <w:r>
              <w:rPr>
                <w:rFonts w:ascii="Arial" w:cs="Arial" w:eastAsia="Arial" w:hAnsi="Arial"/>
                <w:sz w:val="18"/>
                <w:szCs w:val="18"/>
                <w:color w:val="auto"/>
              </w:rPr>
              <w:t>POLICY NUMBER: 01-899-97-54</w:t>
            </w:r>
          </w:p>
        </w:tc>
        <w:tc>
          <w:tcPr>
            <w:tcW w:w="8580" w:type="dxa"/>
            <w:vAlign w:val="bottom"/>
          </w:tcPr>
          <w:p>
            <w:pPr>
              <w:ind w:left="360"/>
              <w:spacing w:after="0"/>
              <w:rPr>
                <w:sz w:val="20"/>
                <w:szCs w:val="20"/>
                <w:color w:val="auto"/>
              </w:rPr>
            </w:pPr>
            <w:r>
              <w:rPr>
                <w:rFonts w:ascii="Arial" w:cs="Arial" w:eastAsia="Arial" w:hAnsi="Arial"/>
                <w:sz w:val="18"/>
                <w:szCs w:val="18"/>
                <w:color w:val="auto"/>
              </w:rPr>
              <w:t>REPLACEMENT OF POLICY NUMBER: 01-714-98-23</w:t>
            </w:r>
          </w:p>
        </w:tc>
      </w:tr>
      <w:tr>
        <w:trPr>
          <w:trHeight w:val="378"/>
        </w:trPr>
        <w:tc>
          <w:tcPr>
            <w:tcW w:w="2840" w:type="dxa"/>
            <w:vAlign w:val="bottom"/>
          </w:tcPr>
          <w:p>
            <w:pPr>
              <w:spacing w:after="0"/>
              <w:rPr>
                <w:sz w:val="24"/>
                <w:szCs w:val="24"/>
                <w:color w:val="auto"/>
              </w:rPr>
            </w:pPr>
          </w:p>
        </w:tc>
        <w:tc>
          <w:tcPr>
            <w:tcW w:w="8580" w:type="dxa"/>
            <w:vAlign w:val="bottom"/>
          </w:tcPr>
          <w:p>
            <w:pPr>
              <w:ind w:left="1080"/>
              <w:spacing w:after="0"/>
              <w:rPr>
                <w:sz w:val="20"/>
                <w:szCs w:val="20"/>
                <w:color w:val="auto"/>
              </w:rPr>
            </w:pPr>
            <w:r>
              <w:rPr>
                <w:rFonts w:ascii="Arial" w:cs="Arial" w:eastAsia="Arial" w:hAnsi="Arial"/>
                <w:sz w:val="18"/>
                <w:szCs w:val="18"/>
                <w:b w:val="1"/>
                <w:bCs w:val="1"/>
                <w:color w:val="auto"/>
              </w:rPr>
              <w:t>INVESTMENT COMPANY BLANKET BOND</w:t>
            </w:r>
          </w:p>
        </w:tc>
      </w:tr>
      <w:tr>
        <w:trPr>
          <w:trHeight w:val="378"/>
        </w:trPr>
        <w:tc>
          <w:tcPr>
            <w:tcW w:w="2840" w:type="dxa"/>
            <w:vAlign w:val="bottom"/>
          </w:tcPr>
          <w:p>
            <w:pPr>
              <w:spacing w:after="0"/>
              <w:rPr>
                <w:sz w:val="24"/>
                <w:szCs w:val="24"/>
                <w:color w:val="auto"/>
              </w:rPr>
            </w:pPr>
          </w:p>
        </w:tc>
        <w:tc>
          <w:tcPr>
            <w:tcW w:w="8580" w:type="dxa"/>
            <w:vAlign w:val="bottom"/>
          </w:tcPr>
          <w:p>
            <w:pPr>
              <w:jc w:val="center"/>
              <w:ind w:right="2752"/>
              <w:spacing w:after="0"/>
              <w:rPr>
                <w:sz w:val="20"/>
                <w:szCs w:val="20"/>
                <w:color w:val="auto"/>
              </w:rPr>
            </w:pPr>
            <w:r>
              <w:rPr>
                <w:rFonts w:ascii="Arial" w:cs="Arial" w:eastAsia="Arial" w:hAnsi="Arial"/>
                <w:sz w:val="18"/>
                <w:szCs w:val="18"/>
                <w:b w:val="1"/>
                <w:bCs w:val="1"/>
                <w:color w:val="auto"/>
                <w:w w:val="97"/>
              </w:rPr>
              <w:t>DECLARATIONS:</w:t>
            </w:r>
          </w:p>
        </w:tc>
      </w:tr>
      <w:tr>
        <w:trPr>
          <w:trHeight w:val="218"/>
        </w:trPr>
        <w:tc>
          <w:tcPr>
            <w:tcW w:w="11420" w:type="dxa"/>
            <w:vAlign w:val="bottom"/>
            <w:tcBorders>
              <w:bottom w:val="single" w:sz="8" w:color="auto"/>
            </w:tcBorders>
            <w:gridSpan w:val="2"/>
          </w:tcPr>
          <w:p>
            <w:pPr>
              <w:spacing w:after="0"/>
              <w:rPr>
                <w:sz w:val="18"/>
                <w:szCs w:val="18"/>
                <w:color w:val="auto"/>
              </w:rPr>
            </w:pPr>
          </w:p>
        </w:tc>
      </w:tr>
      <w:tr>
        <w:trPr>
          <w:trHeight w:val="437"/>
        </w:trPr>
        <w:tc>
          <w:tcPr>
            <w:tcW w:w="11420" w:type="dxa"/>
            <w:vAlign w:val="bottom"/>
            <w:gridSpan w:val="2"/>
          </w:tcPr>
          <w:p>
            <w:pPr>
              <w:spacing w:after="0"/>
              <w:rPr>
                <w:sz w:val="20"/>
                <w:szCs w:val="20"/>
                <w:color w:val="auto"/>
              </w:rPr>
            </w:pPr>
            <w:r>
              <w:rPr>
                <w:rFonts w:ascii="Arial" w:cs="Arial" w:eastAsia="Arial" w:hAnsi="Arial"/>
                <w:sz w:val="18"/>
                <w:szCs w:val="18"/>
                <w:color w:val="auto"/>
              </w:rPr>
              <w:t xml:space="preserve">ITEM 1.   Name of Insured (herein called Insured):  </w:t>
            </w:r>
            <w:r>
              <w:rPr>
                <w:rFonts w:ascii="Arial" w:cs="Arial" w:eastAsia="Arial" w:hAnsi="Arial"/>
                <w:sz w:val="18"/>
                <w:szCs w:val="18"/>
                <w:b w:val="1"/>
                <w:bCs w:val="1"/>
                <w:color w:val="auto"/>
              </w:rPr>
              <w:t>PENNANTPARK FLOATING RATE CAPITAL LTD.</w:t>
            </w:r>
          </w:p>
        </w:tc>
      </w:tr>
      <w:tr>
        <w:trPr>
          <w:trHeight w:val="420"/>
        </w:trPr>
        <w:tc>
          <w:tcPr>
            <w:tcW w:w="2840" w:type="dxa"/>
            <w:vAlign w:val="bottom"/>
          </w:tcPr>
          <w:p>
            <w:pPr>
              <w:ind w:left="880"/>
              <w:spacing w:after="0"/>
              <w:rPr>
                <w:sz w:val="20"/>
                <w:szCs w:val="20"/>
                <w:color w:val="auto"/>
              </w:rPr>
            </w:pPr>
            <w:r>
              <w:rPr>
                <w:rFonts w:ascii="Arial" w:cs="Arial" w:eastAsia="Arial" w:hAnsi="Arial"/>
                <w:sz w:val="18"/>
                <w:szCs w:val="18"/>
                <w:color w:val="auto"/>
              </w:rPr>
              <w:t>Principal Address:</w:t>
            </w:r>
          </w:p>
        </w:tc>
        <w:tc>
          <w:tcPr>
            <w:tcW w:w="8580" w:type="dxa"/>
            <w:vAlign w:val="bottom"/>
          </w:tcPr>
          <w:p>
            <w:pPr>
              <w:ind w:left="10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tc>
      </w:tr>
      <w:tr>
        <w:trPr>
          <w:trHeight w:val="228"/>
        </w:trPr>
        <w:tc>
          <w:tcPr>
            <w:tcW w:w="2840" w:type="dxa"/>
            <w:vAlign w:val="bottom"/>
          </w:tcPr>
          <w:p>
            <w:pPr>
              <w:spacing w:after="0"/>
              <w:rPr>
                <w:sz w:val="19"/>
                <w:szCs w:val="19"/>
                <w:color w:val="auto"/>
              </w:rPr>
            </w:pPr>
          </w:p>
        </w:tc>
        <w:tc>
          <w:tcPr>
            <w:tcW w:w="8580" w:type="dxa"/>
            <w:vAlign w:val="bottom"/>
          </w:tcPr>
          <w:p>
            <w:pPr>
              <w:ind w:left="1060"/>
              <w:spacing w:after="0"/>
              <w:rPr>
                <w:sz w:val="20"/>
                <w:szCs w:val="20"/>
                <w:color w:val="auto"/>
              </w:rPr>
            </w:pPr>
            <w:r>
              <w:rPr>
                <w:rFonts w:ascii="Arial" w:cs="Arial" w:eastAsia="Arial" w:hAnsi="Arial"/>
                <w:sz w:val="18"/>
                <w:szCs w:val="18"/>
                <w:b w:val="1"/>
                <w:bCs w:val="1"/>
                <w:color w:val="auto"/>
              </w:rPr>
              <w:t>NEW YORK, NY 10022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040" w:right="60" w:hanging="1025"/>
        <w:spacing w:after="0" w:line="268" w:lineRule="auto"/>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Bond Period: from May 31, 2012 12:01 a.m. to May 31, 2013 the effective date of the termination or cancellation of this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w w:val="96"/>
              </w:rPr>
              <w:t>Limit of Liability - Subject to Sections 9, 10 and 12 hereof,</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42"/>
        </w:trPr>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color w:val="auto"/>
                <w:w w:val="88"/>
              </w:rPr>
              <w:t>Single Loss</w:t>
            </w:r>
          </w:p>
        </w:tc>
        <w:tc>
          <w:tcPr>
            <w:tcW w:w="1040" w:type="dxa"/>
            <w:vAlign w:val="bottom"/>
            <w:gridSpan w:val="2"/>
          </w:tcPr>
          <w:p>
            <w:pPr>
              <w:ind w:left="300"/>
              <w:spacing w:after="0"/>
              <w:rPr>
                <w:sz w:val="20"/>
                <w:szCs w:val="20"/>
                <w:color w:val="auto"/>
              </w:rPr>
            </w:pPr>
            <w:r>
              <w:rPr>
                <w:rFonts w:ascii="Arial" w:cs="Arial" w:eastAsia="Arial" w:hAnsi="Arial"/>
                <w:sz w:val="14"/>
                <w:szCs w:val="14"/>
                <w:color w:val="auto"/>
                <w:w w:val="99"/>
              </w:rPr>
              <w:t>Single Loss</w:t>
            </w:r>
          </w:p>
        </w:tc>
      </w:tr>
      <w:tr>
        <w:trPr>
          <w:trHeight w:val="173"/>
        </w:trPr>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520" w:type="dxa"/>
            <w:vAlign w:val="bottom"/>
            <w:gridSpan w:val="2"/>
          </w:tcPr>
          <w:p>
            <w:pPr>
              <w:ind w:left="2300"/>
              <w:spacing w:after="0"/>
              <w:rPr>
                <w:sz w:val="20"/>
                <w:szCs w:val="20"/>
                <w:color w:val="auto"/>
              </w:rPr>
            </w:pPr>
            <w:r>
              <w:rPr>
                <w:rFonts w:ascii="Arial" w:cs="Arial" w:eastAsia="Arial" w:hAnsi="Arial"/>
                <w:sz w:val="14"/>
                <w:szCs w:val="14"/>
                <w:color w:val="auto"/>
              </w:rPr>
              <w:t>Limit of Liability</w:t>
            </w: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Deductible</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(Fidelity)</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NIL</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Insuring Agreement B (Audit Expense)</w:t>
            </w:r>
          </w:p>
        </w:tc>
        <w:tc>
          <w:tcPr>
            <w:tcW w:w="2420" w:type="dxa"/>
            <w:vAlign w:val="bottom"/>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50,000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(On Premises)</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Insuring Agreement D (In Transit)</w:t>
            </w:r>
          </w:p>
        </w:tc>
        <w:tc>
          <w:tcPr>
            <w:tcW w:w="2420" w:type="dxa"/>
            <w:vAlign w:val="bottom"/>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(Forgery or Alteration)</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Insuring Agreement F (Securities)</w:t>
            </w:r>
          </w:p>
        </w:tc>
        <w:tc>
          <w:tcPr>
            <w:tcW w:w="2420" w:type="dxa"/>
            <w:vAlign w:val="bottom"/>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(Counterfeit Currency)</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Insuring Agreement H (Stop Payment)</w:t>
            </w:r>
          </w:p>
        </w:tc>
        <w:tc>
          <w:tcPr>
            <w:tcW w:w="2420" w:type="dxa"/>
            <w:vAlign w:val="bottom"/>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100,000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7"/>
              </w:rPr>
              <w:t>Insuring Agreement I (Uncollectible Items of Deposit)</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Additional Coverages:</w:t>
            </w:r>
          </w:p>
        </w:tc>
        <w:tc>
          <w:tcPr>
            <w:tcW w:w="2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J (Computer Systems)</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Insuring Agreement K (Unauthorized: Signatures)</w:t>
            </w:r>
          </w:p>
        </w:tc>
        <w:tc>
          <w:tcPr>
            <w:tcW w:w="2420" w:type="dxa"/>
            <w:vAlign w:val="bottom"/>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rPr>
              <w:t>100,000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5,000</w:t>
            </w:r>
          </w:p>
        </w:tc>
      </w:tr>
      <w:tr>
        <w:trPr>
          <w:trHeight w:val="216"/>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L (Voice Initiated Transfer)</w:t>
            </w:r>
          </w:p>
        </w:tc>
        <w:tc>
          <w:tcPr>
            <w:tcW w:w="2420" w:type="dxa"/>
            <w:vAlign w:val="bottom"/>
            <w:shd w:val="clear" w:color="auto" w:fill="CCEEFF"/>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08"/>
        </w:trPr>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Insuring Agreement M Telefacsimile Transfers</w:t>
            </w:r>
          </w:p>
        </w:tc>
        <w:tc>
          <w:tcPr>
            <w:tcW w:w="2420" w:type="dxa"/>
            <w:vAlign w:val="bottom"/>
          </w:tcPr>
          <w:p>
            <w:pPr>
              <w:ind w:left="23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4"/>
              <w:spacing w:after="0"/>
              <w:rPr>
                <w:sz w:val="20"/>
                <w:szCs w:val="20"/>
                <w:color w:val="auto"/>
              </w:rPr>
            </w:pPr>
            <w:r>
              <w:rPr>
                <w:rFonts w:ascii="Arial" w:cs="Arial" w:eastAsia="Arial" w:hAnsi="Arial"/>
                <w:sz w:val="18"/>
                <w:szCs w:val="18"/>
                <w:color w:val="auto"/>
                <w:w w:val="99"/>
              </w:rPr>
              <w:t>5,000,000</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50,000</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w w:val="89"/>
              </w:rPr>
              <w:t>41205 (04/95)</w:t>
            </w:r>
          </w:p>
        </w:tc>
        <w:tc>
          <w:tcPr>
            <w:tcW w:w="3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rPr>
              <w:t>3</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81"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040" w:right="40" w:hanging="1025"/>
        <w:spacing w:after="0" w:line="259" w:lineRule="auto"/>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color w:val="auto"/>
        </w:rPr>
        <w:t xml:space="preserve">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w:t>
      </w:r>
      <w:r>
        <w:rPr>
          <w:rFonts w:ascii="Arial" w:cs="Arial" w:eastAsia="Arial" w:hAnsi="Arial"/>
          <w:sz w:val="18"/>
          <w:szCs w:val="18"/>
          <w:b w:val="1"/>
          <w:bCs w:val="1"/>
          <w:color w:val="auto"/>
        </w:rPr>
        <w:t>No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40" w:right="80" w:hanging="1025"/>
        <w:spacing w:after="0" w:line="268" w:lineRule="auto"/>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thereto: Endorsement #1, #2, #3, #4, #5, #6, #7, #8, #9, #10, #11,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40" w:right="40" w:hanging="1025"/>
        <w:spacing w:after="0" w:line="268" w:lineRule="auto"/>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canceling prior bond(s) or policy(ies) No.(s) 01-714-98-23 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PREMIUM: $13,958</w:t>
      </w:r>
    </w:p>
    <w:p>
      <w:pPr>
        <w:spacing w:after="0" w:line="165"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Insurer has caused this policy to be signed on the Declarations Page by its President, a Secretary and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Insurer.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111125</wp:posOffset>
            </wp:positionV>
            <wp:extent cx="3996055" cy="506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960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00"/>
        <w:spacing w:after="0"/>
        <w:tabs>
          <w:tab w:leader="none" w:pos="720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8"/>
          <w:szCs w:val="18"/>
          <w:b w:val="1"/>
          <w:bCs w:val="1"/>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152400</wp:posOffset>
            </wp:positionV>
            <wp:extent cx="463105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10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302895</wp:posOffset>
            </wp:positionV>
            <wp:extent cx="4631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80"/>
        <w:spacing w:after="0"/>
        <w:tabs>
          <w:tab w:leader="none" w:pos="6840" w:val="left"/>
        </w:tabs>
        <w:rPr>
          <w:sz w:val="20"/>
          <w:szCs w:val="20"/>
          <w:color w:val="auto"/>
        </w:rPr>
      </w:pPr>
      <w:r>
        <w:rPr>
          <w:rFonts w:ascii="Arial" w:cs="Arial" w:eastAsia="Arial" w:hAnsi="Arial"/>
          <w:sz w:val="18"/>
          <w:szCs w:val="18"/>
          <w:color w:val="auto"/>
        </w:rPr>
        <w:t>COUNTERSIGNATURE DATE</w:t>
      </w:r>
      <w:r>
        <w:rPr>
          <w:sz w:val="20"/>
          <w:szCs w:val="20"/>
          <w:color w:val="auto"/>
        </w:rPr>
        <w:tab/>
      </w:r>
      <w:r>
        <w:rPr>
          <w:rFonts w:ascii="Arial" w:cs="Arial" w:eastAsia="Arial" w:hAnsi="Arial"/>
          <w:sz w:val="16"/>
          <w:szCs w:val="16"/>
          <w:color w:val="auto"/>
        </w:rPr>
        <w:t>COUNTERSIGNED AT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8"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41205 (04/95)</w:t>
      </w:r>
      <w:r>
        <w:rPr>
          <w:sz w:val="20"/>
          <w:szCs w:val="20"/>
          <w:color w:val="auto"/>
        </w:rPr>
        <w:tab/>
      </w:r>
      <w:r>
        <w:rPr>
          <w:rFonts w:ascii="Arial" w:cs="Arial" w:eastAsia="Arial" w:hAnsi="Arial"/>
          <w:sz w:val="14"/>
          <w:szCs w:val="14"/>
          <w:color w:val="auto"/>
        </w:rPr>
        <w:t>4</w:t>
      </w:r>
    </w:p>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16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6116320"/>
                    </a:xfrm>
                    <a:prstGeom prst="rect">
                      <a:avLst/>
                    </a:prstGeom>
                    <a:noFill/>
                  </pic:spPr>
                </pic:pic>
              </a:graphicData>
            </a:graphic>
          </wp:anchor>
        </w:drawing>
        <w:t>Exhibit A</w:t>
      </w:r>
    </w:p>
    <w:p>
      <w:pPr>
        <w:spacing w:after="0" w:line="152"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INVESTMENT COMPANY BLANKET BOND</w:t>
      </w:r>
    </w:p>
    <w:p>
      <w:pPr>
        <w:spacing w:after="0" w:line="177" w:lineRule="exact"/>
        <w:rPr>
          <w:sz w:val="20"/>
          <w:szCs w:val="20"/>
          <w:color w:val="auto"/>
        </w:rPr>
      </w:pPr>
    </w:p>
    <w:p>
      <w:pPr>
        <w:ind w:left="3" w:right="220"/>
        <w:spacing w:after="0" w:line="256"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INSURING AGREEMENTS</w:t>
      </w:r>
    </w:p>
    <w:p>
      <w:pPr>
        <w:sectPr>
          <w:pgSz w:w="11900" w:h="16838" w:orient="portrait"/>
          <w:cols w:equalWidth="0" w:num="1">
            <w:col w:w="11063"/>
          </w:cols>
          <w:pgMar w:left="437" w:top="469" w:right="399" w:bottom="1440" w:gutter="0" w:footer="0" w:header="0"/>
        </w:sectPr>
      </w:pP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color w:val="auto"/>
        </w:rPr>
        <w:t>(A)  FIDELITY</w:t>
      </w:r>
    </w:p>
    <w:p>
      <w:pPr>
        <w:spacing w:after="0" w:line="90" w:lineRule="exact"/>
        <w:rPr>
          <w:sz w:val="20"/>
          <w:szCs w:val="20"/>
          <w:color w:val="auto"/>
        </w:rPr>
      </w:pPr>
    </w:p>
    <w:p>
      <w:pPr>
        <w:ind w:left="3" w:right="40" w:firstLine="365"/>
        <w:spacing w:after="0" w:line="253" w:lineRule="auto"/>
        <w:rPr>
          <w:sz w:val="20"/>
          <w:szCs w:val="20"/>
          <w:color w:val="auto"/>
        </w:rPr>
      </w:pPr>
      <w:r>
        <w:rPr>
          <w:rFonts w:ascii="Arial" w:cs="Arial" w:eastAsia="Arial" w:hAnsi="Arial"/>
          <w:sz w:val="18"/>
          <w:szCs w:val="18"/>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3" w:right="340" w:firstLine="365"/>
        <w:spacing w:after="0" w:line="259"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59" w:lineRule="exact"/>
        <w:rPr>
          <w:sz w:val="20"/>
          <w:szCs w:val="20"/>
          <w:color w:val="auto"/>
        </w:rPr>
      </w:pPr>
    </w:p>
    <w:p>
      <w:pPr>
        <w:ind w:left="723" w:hanging="358"/>
        <w:spacing w:after="0"/>
        <w:tabs>
          <w:tab w:leader="none" w:pos="723"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90" w:lineRule="exact"/>
        <w:rPr>
          <w:rFonts w:ascii="Arial" w:cs="Arial" w:eastAsia="Arial" w:hAnsi="Arial"/>
          <w:sz w:val="18"/>
          <w:szCs w:val="18"/>
          <w:color w:val="auto"/>
        </w:rPr>
      </w:pPr>
    </w:p>
    <w:p>
      <w:pPr>
        <w:ind w:left="723" w:hanging="358"/>
        <w:spacing w:after="0" w:line="294" w:lineRule="auto"/>
        <w:tabs>
          <w:tab w:leader="none" w:pos="723"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37" w:lineRule="exact"/>
        <w:rPr>
          <w:rFonts w:ascii="Arial" w:cs="Arial" w:eastAsia="Arial" w:hAnsi="Arial"/>
          <w:sz w:val="16"/>
          <w:szCs w:val="16"/>
          <w:color w:val="auto"/>
        </w:rPr>
      </w:pPr>
    </w:p>
    <w:p>
      <w:pPr>
        <w:ind w:left="363" w:hanging="363"/>
        <w:spacing w:after="0"/>
        <w:tabs>
          <w:tab w:leader="none" w:pos="363"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90" w:lineRule="exact"/>
        <w:rPr>
          <w:rFonts w:ascii="Arial" w:cs="Arial" w:eastAsia="Arial" w:hAnsi="Arial"/>
          <w:sz w:val="18"/>
          <w:szCs w:val="18"/>
          <w:color w:val="auto"/>
        </w:rPr>
      </w:pPr>
    </w:p>
    <w:p>
      <w:pPr>
        <w:ind w:left="363"/>
        <w:spacing w:after="0"/>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w:t>
      </w:r>
    </w:p>
    <w:p>
      <w:pPr>
        <w:spacing w:after="0" w:line="38" w:lineRule="exact"/>
        <w:rPr>
          <w:sz w:val="20"/>
          <w:szCs w:val="20"/>
          <w:color w:val="auto"/>
        </w:rPr>
      </w:pPr>
    </w:p>
    <w:p>
      <w:pPr>
        <w:ind w:left="3" w:right="100"/>
        <w:spacing w:after="0" w:line="288" w:lineRule="auto"/>
        <w:rPr>
          <w:sz w:val="20"/>
          <w:szCs w:val="20"/>
          <w:color w:val="auto"/>
        </w:rPr>
      </w:pPr>
      <w:r>
        <w:rPr>
          <w:rFonts w:ascii="Arial" w:cs="Arial" w:eastAsia="Arial" w:hAnsi="Arial"/>
          <w:sz w:val="16"/>
          <w:szCs w:val="16"/>
          <w:color w:val="auto"/>
        </w:rPr>
        <w:t>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  ON PREMISES</w:t>
      </w:r>
    </w:p>
    <w:p>
      <w:pPr>
        <w:spacing w:after="0" w:line="90"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Offices and Equipment</w:t>
      </w:r>
    </w:p>
    <w:p>
      <w:pPr>
        <w:spacing w:after="0" w:line="212" w:lineRule="exact"/>
        <w:rPr>
          <w:sz w:val="20"/>
          <w:szCs w:val="20"/>
          <w:color w:val="auto"/>
        </w:rPr>
      </w:pPr>
    </w:p>
    <w:p>
      <w:pPr>
        <w:jc w:val="both"/>
        <w:ind w:left="720" w:right="240" w:hanging="364"/>
        <w:spacing w:after="0" w:line="294"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287" w:lineRule="exact"/>
        <w:rPr>
          <w:sz w:val="20"/>
          <w:szCs w:val="20"/>
          <w:color w:val="auto"/>
        </w:rPr>
      </w:pPr>
    </w:p>
    <w:p>
      <w:pPr>
        <w:sectPr>
          <w:pgSz w:w="11900" w:h="16838" w:orient="portrait"/>
          <w:cols w:equalWidth="0" w:num="2">
            <w:col w:w="5283" w:space="360"/>
            <w:col w:w="5420"/>
          </w:cols>
          <w:pgMar w:left="437" w:top="469" w:right="399" w:bottom="1440" w:gutter="0" w:footer="0" w:header="0"/>
          <w:type w:val="continuous"/>
        </w:sectPr>
      </w:pPr>
    </w:p>
    <w:p>
      <w:pPr>
        <w:spacing w:after="0" w:line="11" w:lineRule="exact"/>
        <w:rPr>
          <w:sz w:val="20"/>
          <w:szCs w:val="20"/>
          <w:color w:val="auto"/>
        </w:rPr>
      </w:pPr>
    </w:p>
    <w:p>
      <w:pPr>
        <w:ind w:left="3"/>
        <w:spacing w:after="0"/>
        <w:tabs>
          <w:tab w:leader="none" w:pos="5582" w:val="left"/>
          <w:tab w:leader="none" w:pos="902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3"/>
          </w:cols>
          <w:pgMar w:left="437" w:top="469" w:right="399" w:bottom="1440" w:gutter="0" w:footer="0" w:header="0"/>
          <w:type w:val="continuous"/>
        </w:sectPr>
      </w:pPr>
    </w:p>
    <w:bookmarkStart w:id="5" w:name="page6"/>
    <w:bookmarkEnd w:id="5"/>
    <w:p>
      <w:pPr>
        <w:spacing w:after="0" w:line="200" w:lineRule="exact"/>
        <w:rPr>
          <w:sz w:val="20"/>
          <w:szCs w:val="20"/>
          <w:color w:val="auto"/>
        </w:rPr>
      </w:pPr>
    </w:p>
    <w:p>
      <w:pPr>
        <w:spacing w:after="0" w:line="205" w:lineRule="exact"/>
        <w:rPr>
          <w:sz w:val="20"/>
          <w:szCs w:val="20"/>
          <w:color w:val="auto"/>
        </w:rPr>
      </w:pPr>
    </w:p>
    <w:p>
      <w:pPr>
        <w:ind w:left="723" w:right="20" w:hanging="358"/>
        <w:spacing w:after="0" w:line="290" w:lineRule="auto"/>
        <w:tabs>
          <w:tab w:leader="none" w:pos="723" w:val="left"/>
        </w:tabs>
        <w:numPr>
          <w:ilvl w:val="1"/>
          <w:numId w:val="6"/>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39" w:lineRule="exact"/>
        <w:rPr>
          <w:rFonts w:ascii="Arial" w:cs="Arial" w:eastAsia="Arial" w:hAnsi="Arial"/>
          <w:sz w:val="16"/>
          <w:szCs w:val="16"/>
          <w:color w:val="auto"/>
        </w:rPr>
      </w:pPr>
    </w:p>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TRANSIT</w:t>
      </w:r>
    </w:p>
    <w:p>
      <w:pPr>
        <w:spacing w:after="0" w:line="90" w:lineRule="exact"/>
        <w:rPr>
          <w:rFonts w:ascii="Arial" w:cs="Arial" w:eastAsia="Arial" w:hAnsi="Arial"/>
          <w:sz w:val="18"/>
          <w:szCs w:val="18"/>
          <w:color w:val="auto"/>
        </w:rPr>
      </w:pPr>
    </w:p>
    <w:p>
      <w:pPr>
        <w:ind w:left="363"/>
        <w:spacing w:after="0"/>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w:t>
      </w:r>
    </w:p>
    <w:p>
      <w:pPr>
        <w:spacing w:after="0" w:line="38" w:lineRule="exact"/>
        <w:rPr>
          <w:sz w:val="20"/>
          <w:szCs w:val="20"/>
          <w:color w:val="auto"/>
        </w:rPr>
      </w:pPr>
    </w:p>
    <w:p>
      <w:pPr>
        <w:ind w:left="3"/>
        <w:spacing w:after="0" w:line="286" w:lineRule="auto"/>
        <w:rPr>
          <w:sz w:val="20"/>
          <w:szCs w:val="20"/>
          <w:color w:val="auto"/>
        </w:rPr>
      </w:pPr>
      <w:r>
        <w:rPr>
          <w:rFonts w:ascii="Arial" w:cs="Arial" w:eastAsia="Arial" w:hAnsi="Arial"/>
          <w:sz w:val="16"/>
          <w:szCs w:val="16"/>
          <w:color w:val="auto"/>
        </w:rPr>
        <w:t>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246" w:lineRule="exact"/>
        <w:rPr>
          <w:sz w:val="20"/>
          <w:szCs w:val="20"/>
          <w:color w:val="auto"/>
        </w:rPr>
      </w:pPr>
    </w:p>
    <w:p>
      <w:pPr>
        <w:ind w:left="3"/>
        <w:spacing w:after="0"/>
        <w:tabs>
          <w:tab w:leader="none" w:pos="342"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FORGERY OR ALTERATION</w:t>
      </w:r>
    </w:p>
    <w:p>
      <w:pPr>
        <w:spacing w:after="0" w:line="90" w:lineRule="exact"/>
        <w:rPr>
          <w:sz w:val="20"/>
          <w:szCs w:val="20"/>
          <w:color w:val="auto"/>
        </w:rPr>
      </w:pPr>
    </w:p>
    <w:p>
      <w:pPr>
        <w:ind w:left="3" w:right="40" w:firstLine="365"/>
        <w:spacing w:after="0" w:line="289" w:lineRule="auto"/>
        <w:rPr>
          <w:sz w:val="20"/>
          <w:szCs w:val="20"/>
          <w:color w:val="auto"/>
        </w:rPr>
      </w:pPr>
      <w:r>
        <w:rPr>
          <w:rFonts w:ascii="Arial" w:cs="Arial" w:eastAsia="Arial" w:hAnsi="Arial"/>
          <w:sz w:val="16"/>
          <w:szCs w:val="16"/>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-339725</wp:posOffset>
            </wp:positionV>
            <wp:extent cx="7289165" cy="5756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5756275"/>
                    </a:xfrm>
                    <a:prstGeom prst="rect">
                      <a:avLst/>
                    </a:prstGeom>
                    <a:noFill/>
                  </pic:spPr>
                </pic:pic>
              </a:graphicData>
            </a:graphic>
          </wp:anchor>
        </w:drawing>
      </w:r>
    </w:p>
    <w:p>
      <w:pPr>
        <w:spacing w:after="0" w:line="17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128" w:lineRule="exact"/>
        <w:rPr>
          <w:sz w:val="20"/>
          <w:szCs w:val="20"/>
          <w:color w:val="auto"/>
        </w:rPr>
      </w:pPr>
    </w:p>
    <w:p>
      <w:pPr>
        <w:ind w:right="160" w:firstLine="365"/>
        <w:spacing w:after="0" w:line="253" w:lineRule="auto"/>
        <w:rPr>
          <w:sz w:val="20"/>
          <w:szCs w:val="20"/>
          <w:color w:val="auto"/>
        </w:rPr>
      </w:pPr>
      <w:r>
        <w:rPr>
          <w:rFonts w:ascii="Arial" w:cs="Arial" w:eastAsia="Arial" w:hAnsi="Arial"/>
          <w:sz w:val="18"/>
          <w:szCs w:val="18"/>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47" w:lineRule="exact"/>
        <w:rPr>
          <w:sz w:val="20"/>
          <w:szCs w:val="20"/>
          <w:color w:val="auto"/>
        </w:rPr>
      </w:pPr>
    </w:p>
    <w:p>
      <w:pPr>
        <w:ind w:right="200" w:firstLine="365"/>
        <w:spacing w:after="0" w:line="268"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SECURITIES</w:t>
      </w:r>
    </w:p>
    <w:p>
      <w:pPr>
        <w:spacing w:after="0" w:line="90" w:lineRule="exact"/>
        <w:rPr>
          <w:sz w:val="20"/>
          <w:szCs w:val="20"/>
          <w:color w:val="auto"/>
        </w:rPr>
      </w:pPr>
    </w:p>
    <w:p>
      <w:pPr>
        <w:ind w:right="160" w:firstLine="365"/>
        <w:spacing w:after="0" w:line="291" w:lineRule="auto"/>
        <w:rPr>
          <w:sz w:val="20"/>
          <w:szCs w:val="20"/>
          <w:color w:val="auto"/>
        </w:rPr>
      </w:pPr>
      <w:r>
        <w:rPr>
          <w:rFonts w:ascii="Arial" w:cs="Arial" w:eastAsia="Arial" w:hAnsi="Arial"/>
          <w:sz w:val="16"/>
          <w:szCs w:val="16"/>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39" w:lineRule="exact"/>
        <w:rPr>
          <w:sz w:val="20"/>
          <w:szCs w:val="20"/>
          <w:color w:val="auto"/>
        </w:rPr>
      </w:pPr>
    </w:p>
    <w:p>
      <w:pPr>
        <w:ind w:left="720" w:right="280" w:hanging="364"/>
        <w:spacing w:after="0" w:line="332"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w:t>
      </w:r>
    </w:p>
    <w:p>
      <w:pPr>
        <w:spacing w:after="0" w:line="174" w:lineRule="exact"/>
        <w:rPr>
          <w:sz w:val="20"/>
          <w:szCs w:val="20"/>
          <w:color w:val="auto"/>
        </w:rPr>
      </w:pPr>
    </w:p>
    <w:p>
      <w:pPr>
        <w:sectPr>
          <w:pgSz w:w="11900" w:h="16838" w:orient="portrait"/>
          <w:cols w:equalWidth="0" w:num="2">
            <w:col w:w="5303" w:space="340"/>
            <w:col w:w="5420"/>
          </w:cols>
          <w:pgMar w:left="437" w:top="469" w:right="399" w:bottom="1440" w:gutter="0" w:footer="0" w:header="0"/>
        </w:sectPr>
      </w:pPr>
    </w:p>
    <w:p>
      <w:pPr>
        <w:ind w:left="3"/>
        <w:spacing w:after="0"/>
        <w:tabs>
          <w:tab w:leader="none" w:pos="5582" w:val="left"/>
          <w:tab w:leader="none" w:pos="902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3"/>
          </w:cols>
          <w:pgMar w:left="437" w:top="469" w:right="399" w:bottom="1440" w:gutter="0" w:footer="0" w:header="0"/>
          <w:type w:val="continuous"/>
        </w:sectPr>
      </w:pPr>
    </w:p>
    <w:bookmarkStart w:id="6" w:name="page7"/>
    <w:bookmarkEnd w:id="6"/>
    <w:p>
      <w:pPr>
        <w:spacing w:after="0" w:line="200" w:lineRule="exact"/>
        <w:rPr>
          <w:sz w:val="20"/>
          <w:szCs w:val="20"/>
          <w:color w:val="auto"/>
        </w:rPr>
      </w:pPr>
    </w:p>
    <w:p>
      <w:pPr>
        <w:spacing w:after="0" w:line="205" w:lineRule="exact"/>
        <w:rPr>
          <w:sz w:val="20"/>
          <w:szCs w:val="20"/>
          <w:color w:val="auto"/>
        </w:rPr>
      </w:pPr>
    </w:p>
    <w:p>
      <w:pPr>
        <w:ind w:left="720"/>
        <w:spacing w:after="0" w:line="314" w:lineRule="auto"/>
        <w:rPr>
          <w:sz w:val="20"/>
          <w:szCs w:val="20"/>
          <w:color w:val="auto"/>
        </w:rPr>
      </w:pPr>
      <w:r>
        <w:rPr>
          <w:rFonts w:ascii="Arial" w:cs="Arial" w:eastAsia="Arial" w:hAnsi="Arial"/>
          <w:sz w:val="15"/>
          <w:szCs w:val="15"/>
          <w:color w:val="auto"/>
        </w:rPr>
        <w:t>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24" w:lineRule="exact"/>
        <w:rPr>
          <w:sz w:val="20"/>
          <w:szCs w:val="20"/>
          <w:color w:val="auto"/>
        </w:rPr>
      </w:pPr>
    </w:p>
    <w:p>
      <w:pPr>
        <w:ind w:left="1100" w:hanging="374"/>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90" w:lineRule="exact"/>
        <w:rPr>
          <w:rFonts w:ascii="Arial" w:cs="Arial" w:eastAsia="Arial" w:hAnsi="Arial"/>
          <w:sz w:val="18"/>
          <w:szCs w:val="18"/>
          <w:color w:val="auto"/>
        </w:rPr>
      </w:pPr>
    </w:p>
    <w:p>
      <w:pPr>
        <w:ind w:left="1100" w:right="180" w:hanging="374"/>
        <w:spacing w:after="0" w:line="298" w:lineRule="auto"/>
        <w:tabs>
          <w:tab w:leader="none" w:pos="1100" w:val="left"/>
        </w:tabs>
        <w:numPr>
          <w:ilvl w:val="1"/>
          <w:numId w:val="9"/>
        </w:numPr>
        <w:rPr>
          <w:rFonts w:ascii="Arial" w:cs="Arial" w:eastAsia="Arial" w:hAnsi="Arial"/>
          <w:sz w:val="16"/>
          <w:szCs w:val="16"/>
          <w:color w:val="auto"/>
        </w:rPr>
      </w:pPr>
      <w:r>
        <w:rPr>
          <w:rFonts w:ascii="Arial" w:cs="Arial" w:eastAsia="Arial" w:hAnsi="Arial"/>
          <w:sz w:val="16"/>
          <w:szCs w:val="16"/>
          <w:color w:val="auto"/>
        </w:rPr>
        <w:t>forged as to the signature of any maker, drawer, issuer, endorser, assignor, lessee, transfer agent or registrar, acceptor, surety or guarantor or as to the signature of any person signing in any other capacity, or</w:t>
      </w:r>
    </w:p>
    <w:p>
      <w:pPr>
        <w:spacing w:after="0" w:line="31" w:lineRule="exact"/>
        <w:rPr>
          <w:rFonts w:ascii="Arial" w:cs="Arial" w:eastAsia="Arial" w:hAnsi="Arial"/>
          <w:sz w:val="16"/>
          <w:szCs w:val="16"/>
          <w:color w:val="auto"/>
        </w:rPr>
      </w:pPr>
    </w:p>
    <w:p>
      <w:pPr>
        <w:ind w:left="1100" w:hanging="374"/>
        <w:spacing w:after="0"/>
        <w:tabs>
          <w:tab w:leader="none" w:pos="1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0" w:lineRule="exact"/>
        <w:rPr>
          <w:rFonts w:ascii="Arial" w:cs="Arial" w:eastAsia="Arial" w:hAnsi="Arial"/>
          <w:sz w:val="18"/>
          <w:szCs w:val="18"/>
          <w:color w:val="auto"/>
        </w:rPr>
      </w:pPr>
    </w:p>
    <w:p>
      <w:pPr>
        <w:ind w:left="720" w:hanging="358"/>
        <w:spacing w:after="0" w:line="282" w:lineRule="auto"/>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w:t>
      </w:r>
    </w:p>
    <w:p>
      <w:pPr>
        <w:spacing w:after="0" w:line="5"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(E) hereof.</w:t>
      </w:r>
    </w:p>
    <w:p>
      <w:pPr>
        <w:spacing w:after="0" w:line="83" w:lineRule="exact"/>
        <w:rPr>
          <w:rFonts w:ascii="Arial" w:cs="Arial" w:eastAsia="Arial" w:hAnsi="Arial"/>
          <w:sz w:val="16"/>
          <w:szCs w:val="16"/>
          <w:color w:val="auto"/>
        </w:rPr>
      </w:pPr>
    </w:p>
    <w:p>
      <w:pPr>
        <w:ind w:left="720" w:right="180"/>
        <w:spacing w:after="0" w:line="291" w:lineRule="auto"/>
        <w:rPr>
          <w:rFonts w:ascii="Arial" w:cs="Arial" w:eastAsia="Arial" w:hAnsi="Arial"/>
          <w:sz w:val="16"/>
          <w:szCs w:val="16"/>
          <w:color w:val="auto"/>
        </w:rPr>
      </w:pPr>
      <w:r>
        <w:rPr>
          <w:rFonts w:ascii="Arial" w:cs="Arial" w:eastAsia="Arial" w:hAnsi="Arial"/>
          <w:sz w:val="16"/>
          <w:szCs w:val="16"/>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-339725</wp:posOffset>
            </wp:positionV>
            <wp:extent cx="7289165" cy="5893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5893435"/>
                    </a:xfrm>
                    <a:prstGeom prst="rect">
                      <a:avLst/>
                    </a:prstGeom>
                    <a:noFill/>
                  </pic:spPr>
                </pic:pic>
              </a:graphicData>
            </a:graphic>
          </wp:anchor>
        </w:drawing>
      </w:r>
    </w:p>
    <w:p>
      <w:pPr>
        <w:spacing w:after="0" w:line="178" w:lineRule="exact"/>
        <w:rPr>
          <w:sz w:val="20"/>
          <w:szCs w:val="20"/>
          <w:color w:val="auto"/>
        </w:rPr>
      </w:pPr>
    </w:p>
    <w:p>
      <w:pPr>
        <w:ind w:left="760" w:right="840"/>
        <w:spacing w:after="0" w:line="268" w:lineRule="auto"/>
        <w:rPr>
          <w:sz w:val="20"/>
          <w:szCs w:val="20"/>
          <w:color w:val="auto"/>
        </w:rPr>
      </w:pPr>
      <w:r>
        <w:rPr>
          <w:rFonts w:ascii="Arial" w:cs="Arial" w:eastAsia="Arial" w:hAnsi="Arial"/>
          <w:sz w:val="18"/>
          <w:szCs w:val="18"/>
          <w:color w:val="auto"/>
        </w:rPr>
        <w:t>of such agreements with any necessary endorsement or assignment.</w:t>
      </w:r>
    </w:p>
    <w:p>
      <w:pPr>
        <w:spacing w:after="0" w:line="51" w:lineRule="exact"/>
        <w:rPr>
          <w:sz w:val="20"/>
          <w:szCs w:val="20"/>
          <w:color w:val="auto"/>
        </w:rPr>
      </w:pPr>
    </w:p>
    <w:p>
      <w:pPr>
        <w:ind w:left="760" w:right="160"/>
        <w:spacing w:after="0" w:line="256" w:lineRule="auto"/>
        <w:rPr>
          <w:sz w:val="20"/>
          <w:szCs w:val="20"/>
          <w:color w:val="auto"/>
        </w:rPr>
      </w:pPr>
      <w:r>
        <w:rPr>
          <w:rFonts w:ascii="Arial" w:cs="Arial" w:eastAsia="Arial" w:hAnsi="Arial"/>
          <w:sz w:val="18"/>
          <w:szCs w:val="18"/>
          <w:color w:val="auto"/>
        </w:rPr>
        <w:t>The word “counterfeited” as used in this Insuring Agreement shall be deemed to mean any security, document or other written instrument which is intended to deceive and to be taken for an original.</w:t>
      </w:r>
    </w:p>
    <w:p>
      <w:pPr>
        <w:spacing w:after="0" w:line="62" w:lineRule="exact"/>
        <w:rPr>
          <w:sz w:val="20"/>
          <w:szCs w:val="20"/>
          <w:color w:val="auto"/>
        </w:rPr>
      </w:pPr>
    </w:p>
    <w:p>
      <w:pPr>
        <w:ind w:left="760" w:right="160"/>
        <w:spacing w:after="0" w:line="268" w:lineRule="auto"/>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(G)  COUNTERFEIT CURRENCY</w:t>
      </w:r>
    </w:p>
    <w:p>
      <w:pPr>
        <w:spacing w:after="0" w:line="90" w:lineRule="exact"/>
        <w:rPr>
          <w:sz w:val="20"/>
          <w:szCs w:val="20"/>
          <w:color w:val="auto"/>
        </w:rPr>
      </w:pPr>
    </w:p>
    <w:p>
      <w:pPr>
        <w:ind w:left="40" w:right="300" w:firstLine="365"/>
        <w:spacing w:after="0" w:line="294" w:lineRule="auto"/>
        <w:rPr>
          <w:sz w:val="20"/>
          <w:szCs w:val="20"/>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STOP PAYMENT</w:t>
      </w:r>
    </w:p>
    <w:p>
      <w:pPr>
        <w:spacing w:after="0" w:line="90" w:lineRule="exact"/>
        <w:rPr>
          <w:sz w:val="20"/>
          <w:szCs w:val="20"/>
          <w:color w:val="auto"/>
        </w:rPr>
      </w:pPr>
    </w:p>
    <w:p>
      <w:pPr>
        <w:ind w:left="40" w:right="400" w:firstLine="365"/>
        <w:spacing w:after="0" w:line="259" w:lineRule="auto"/>
        <w:rPr>
          <w:sz w:val="20"/>
          <w:szCs w:val="20"/>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59" w:lineRule="exact"/>
        <w:rPr>
          <w:sz w:val="20"/>
          <w:szCs w:val="20"/>
          <w:color w:val="auto"/>
        </w:rPr>
      </w:pPr>
    </w:p>
    <w:p>
      <w:pPr>
        <w:ind w:left="400" w:right="220"/>
        <w:spacing w:after="0" w:line="291" w:lineRule="auto"/>
        <w:rPr>
          <w:sz w:val="20"/>
          <w:szCs w:val="20"/>
          <w:color w:val="auto"/>
        </w:rPr>
      </w:pPr>
      <w:r>
        <w:rPr>
          <w:rFonts w:ascii="Arial" w:cs="Arial" w:eastAsia="Arial" w:hAnsi="Arial"/>
          <w:sz w:val="16"/>
          <w:szCs w:val="16"/>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39" w:lineRule="exact"/>
        <w:rPr>
          <w:sz w:val="20"/>
          <w:szCs w:val="20"/>
          <w:color w:val="auto"/>
        </w:rPr>
      </w:pPr>
    </w:p>
    <w:p>
      <w:pPr>
        <w:ind w:left="400" w:right="220"/>
        <w:spacing w:after="0" w:line="335" w:lineRule="auto"/>
        <w:rPr>
          <w:sz w:val="20"/>
          <w:szCs w:val="20"/>
          <w:color w:val="auto"/>
        </w:rPr>
      </w:pPr>
      <w:r>
        <w:rPr>
          <w:rFonts w:ascii="Arial" w:cs="Arial" w:eastAsia="Arial" w:hAnsi="Arial"/>
          <w:sz w:val="15"/>
          <w:szCs w:val="15"/>
          <w:color w:val="auto"/>
        </w:rPr>
        <w:t>For having refused to pay any check or draft made or drawn by any customer, shareholder or subscriber of the Insured or any Authorized Representative of such customer, shareholder or subscriber.</w:t>
      </w:r>
    </w:p>
    <w:p>
      <w:pPr>
        <w:spacing w:after="0" w:line="210" w:lineRule="exact"/>
        <w:rPr>
          <w:sz w:val="20"/>
          <w:szCs w:val="20"/>
          <w:color w:val="auto"/>
        </w:rPr>
      </w:pPr>
    </w:p>
    <w:p>
      <w:pPr>
        <w:ind w:left="400" w:hanging="368"/>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90" w:lineRule="exact"/>
        <w:rPr>
          <w:sz w:val="20"/>
          <w:szCs w:val="20"/>
          <w:color w:val="auto"/>
        </w:rPr>
      </w:pPr>
    </w:p>
    <w:p>
      <w:pPr>
        <w:ind w:left="40" w:right="780" w:firstLine="365"/>
        <w:spacing w:after="0" w:line="268" w:lineRule="auto"/>
        <w:rPr>
          <w:sz w:val="20"/>
          <w:szCs w:val="20"/>
          <w:color w:val="auto"/>
        </w:rPr>
      </w:pPr>
      <w:r>
        <w:rPr>
          <w:rFonts w:ascii="Arial" w:cs="Arial" w:eastAsia="Arial" w:hAnsi="Arial"/>
          <w:sz w:val="18"/>
          <w:szCs w:val="18"/>
          <w:color w:val="auto"/>
        </w:rPr>
        <w:t>Loss resulting from payments of dividends or fund shares, or withdrawals permitted from</w:t>
      </w:r>
    </w:p>
    <w:p>
      <w:pPr>
        <w:spacing w:after="0" w:line="22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80" w:space="320"/>
            <w:col w:w="5460"/>
          </w:cols>
          <w:pgMar w:left="440" w:top="469" w:right="399" w:bottom="1440" w:gutter="0" w:footer="0" w:header="0"/>
        </w:sectPr>
      </w:pPr>
    </w:p>
    <w:bookmarkStart w:id="7" w:name="page8"/>
    <w:bookmarkEnd w:id="7"/>
    <w:p>
      <w:pPr>
        <w:spacing w:after="0" w:line="200" w:lineRule="exact"/>
        <w:rPr>
          <w:sz w:val="20"/>
          <w:szCs w:val="20"/>
          <w:color w:val="auto"/>
        </w:rPr>
      </w:pPr>
    </w:p>
    <w:p>
      <w:pPr>
        <w:spacing w:after="0" w:line="205" w:lineRule="exact"/>
        <w:rPr>
          <w:sz w:val="20"/>
          <w:szCs w:val="20"/>
          <w:color w:val="auto"/>
        </w:rPr>
      </w:pPr>
    </w:p>
    <w:p>
      <w:pPr>
        <w:ind w:left="3" w:right="240"/>
        <w:spacing w:after="0" w:line="298" w:lineRule="auto"/>
        <w:rPr>
          <w:sz w:val="20"/>
          <w:szCs w:val="20"/>
          <w:color w:val="auto"/>
        </w:rPr>
      </w:pPr>
      <w:r>
        <w:rPr>
          <w:rFonts w:ascii="Arial" w:cs="Arial" w:eastAsia="Arial" w:hAnsi="Arial"/>
          <w:sz w:val="16"/>
          <w:szCs w:val="16"/>
          <w:color w:val="auto"/>
        </w:rPr>
        <w:t>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13" w:lineRule="exact"/>
        <w:rPr>
          <w:sz w:val="20"/>
          <w:szCs w:val="20"/>
          <w:color w:val="auto"/>
        </w:rPr>
      </w:pPr>
    </w:p>
    <w:p>
      <w:pPr>
        <w:ind w:left="3" w:firstLine="365"/>
        <w:spacing w:after="0" w:line="306" w:lineRule="auto"/>
        <w:rPr>
          <w:sz w:val="20"/>
          <w:szCs w:val="20"/>
          <w:color w:val="auto"/>
        </w:rPr>
      </w:pPr>
      <w:r>
        <w:rPr>
          <w:rFonts w:ascii="Arial" w:cs="Arial" w:eastAsia="Arial" w:hAnsi="Arial"/>
          <w:sz w:val="16"/>
          <w:szCs w:val="16"/>
          <w:color w:val="auto"/>
        </w:rPr>
        <w:t>loss resulting from any Item of Deposit processed through an Automated Clearing House which is reversed by the customer, shareholder or subscriber and deemed uncollectible by the Insured.</w:t>
      </w:r>
    </w:p>
    <w:p>
      <w:pPr>
        <w:spacing w:after="0" w:line="107" w:lineRule="exact"/>
        <w:rPr>
          <w:sz w:val="20"/>
          <w:szCs w:val="20"/>
          <w:color w:val="auto"/>
        </w:rPr>
      </w:pPr>
    </w:p>
    <w:p>
      <w:pPr>
        <w:ind w:left="363"/>
        <w:spacing w:after="0"/>
        <w:rPr>
          <w:sz w:val="20"/>
          <w:szCs w:val="20"/>
          <w:color w:val="auto"/>
        </w:rPr>
      </w:pPr>
      <w:r>
        <w:rPr>
          <w:rFonts w:ascii="Arial" w:cs="Arial" w:eastAsia="Arial" w:hAnsi="Arial"/>
          <w:sz w:val="18"/>
          <w:szCs w:val="18"/>
          <w:color w:val="auto"/>
        </w:rPr>
        <w:t>Loss includes dividends and interest</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953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9537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accrued not to exceed 15% of the Uncollectible Items which are deposited.</w:t>
      </w:r>
    </w:p>
    <w:p>
      <w:pPr>
        <w:spacing w:after="0" w:line="194" w:lineRule="exact"/>
        <w:rPr>
          <w:sz w:val="20"/>
          <w:szCs w:val="20"/>
          <w:color w:val="auto"/>
        </w:rPr>
      </w:pPr>
    </w:p>
    <w:p>
      <w:pPr>
        <w:ind w:right="200" w:firstLine="365"/>
        <w:spacing w:after="0" w:line="290" w:lineRule="auto"/>
        <w:rPr>
          <w:sz w:val="20"/>
          <w:szCs w:val="20"/>
          <w:color w:val="auto"/>
        </w:rPr>
      </w:pPr>
      <w:r>
        <w:rPr>
          <w:rFonts w:ascii="Arial" w:cs="Arial" w:eastAsia="Arial" w:hAnsi="Arial"/>
          <w:sz w:val="16"/>
          <w:szCs w:val="16"/>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309" w:lineRule="exact"/>
        <w:rPr>
          <w:sz w:val="20"/>
          <w:szCs w:val="20"/>
          <w:color w:val="auto"/>
        </w:rPr>
      </w:pPr>
    </w:p>
    <w:p>
      <w:pPr>
        <w:sectPr>
          <w:pgSz w:w="11900" w:h="16838" w:orient="portrait"/>
          <w:cols w:equalWidth="0" w:num="2">
            <w:col w:w="5263" w:space="380"/>
            <w:col w:w="5420"/>
          </w:cols>
          <w:pgMar w:left="437" w:top="469" w:right="399" w:bottom="1440" w:gutter="0" w:footer="0" w:header="0"/>
        </w:sectPr>
      </w:pPr>
    </w:p>
    <w:p>
      <w:pPr>
        <w:spacing w:after="0" w:line="276" w:lineRule="exact"/>
        <w:rPr>
          <w:sz w:val="20"/>
          <w:szCs w:val="20"/>
          <w:color w:val="auto"/>
        </w:rPr>
      </w:pPr>
    </w:p>
    <w:p>
      <w:pPr>
        <w:jc w:val="center"/>
        <w:ind w:right="-22"/>
        <w:spacing w:after="0"/>
        <w:rPr>
          <w:sz w:val="20"/>
          <w:szCs w:val="20"/>
          <w:color w:val="auto"/>
        </w:rPr>
      </w:pPr>
      <w:r>
        <w:rPr>
          <w:rFonts w:ascii="Arial" w:cs="Arial" w:eastAsia="Arial" w:hAnsi="Arial"/>
          <w:sz w:val="16"/>
          <w:szCs w:val="16"/>
          <w:b w:val="1"/>
          <w:bCs w:val="1"/>
          <w:color w:val="auto"/>
        </w:rPr>
        <w:t>GENERAL AGREEMENTS</w:t>
      </w:r>
    </w:p>
    <w:p>
      <w:pPr>
        <w:sectPr>
          <w:pgSz w:w="11900" w:h="16838" w:orient="portrait"/>
          <w:cols w:equalWidth="0" w:num="1">
            <w:col w:w="11063"/>
          </w:cols>
          <w:pgMar w:left="437" w:top="469" w:right="399" w:bottom="1440" w:gutter="0" w:footer="0" w:header="0"/>
          <w:type w:val="continuous"/>
        </w:sectPr>
      </w:pPr>
    </w:p>
    <w:p>
      <w:pPr>
        <w:spacing w:after="0" w:line="281" w:lineRule="exact"/>
        <w:rPr>
          <w:sz w:val="20"/>
          <w:szCs w:val="20"/>
          <w:color w:val="auto"/>
        </w:rPr>
      </w:pPr>
    </w:p>
    <w:p>
      <w:pPr>
        <w:ind w:left="363" w:right="1660" w:hanging="363"/>
        <w:spacing w:after="0" w:line="332" w:lineRule="auto"/>
        <w:tabs>
          <w:tab w:leader="none" w:pos="36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ADDITIONAL OFFICES OR EMPLOYEES-CONSOLIDATION OR MERGER-NOTICE</w:t>
      </w:r>
    </w:p>
    <w:p>
      <w:pPr>
        <w:spacing w:after="0" w:line="4" w:lineRule="exact"/>
        <w:rPr>
          <w:rFonts w:ascii="Arial" w:cs="Arial" w:eastAsia="Arial" w:hAnsi="Arial"/>
          <w:sz w:val="16"/>
          <w:szCs w:val="16"/>
          <w:color w:val="auto"/>
        </w:rPr>
      </w:pPr>
    </w:p>
    <w:p>
      <w:pPr>
        <w:ind w:left="723" w:right="100" w:hanging="358"/>
        <w:spacing w:after="0" w:line="289" w:lineRule="auto"/>
        <w:tabs>
          <w:tab w:leader="none" w:pos="723" w:val="left"/>
        </w:tabs>
        <w:numPr>
          <w:ilvl w:val="1"/>
          <w:numId w:val="12"/>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37" w:lineRule="exact"/>
        <w:rPr>
          <w:rFonts w:ascii="Arial" w:cs="Arial" w:eastAsia="Arial" w:hAnsi="Arial"/>
          <w:sz w:val="16"/>
          <w:szCs w:val="16"/>
          <w:color w:val="auto"/>
        </w:rPr>
      </w:pPr>
    </w:p>
    <w:p>
      <w:pPr>
        <w:ind w:left="723" w:hanging="358"/>
        <w:spacing w:after="0" w:line="312" w:lineRule="auto"/>
        <w:tabs>
          <w:tab w:leader="none" w:pos="723" w:val="left"/>
        </w:tabs>
        <w:numPr>
          <w:ilvl w:val="1"/>
          <w:numId w:val="12"/>
        </w:numPr>
        <w:rPr>
          <w:rFonts w:ascii="Arial" w:cs="Arial" w:eastAsia="Arial" w:hAnsi="Arial"/>
          <w:sz w:val="15"/>
          <w:szCs w:val="15"/>
          <w:color w:val="auto"/>
        </w:rPr>
      </w:pPr>
      <w:r>
        <w:rPr>
          <w:rFonts w:ascii="Arial" w:cs="Arial" w:eastAsia="Arial" w:hAnsi="Arial"/>
          <w:sz w:val="15"/>
          <w:szCs w:val="15"/>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226" w:lineRule="exact"/>
        <w:rPr>
          <w:rFonts w:ascii="Arial" w:cs="Arial" w:eastAsia="Arial" w:hAnsi="Arial"/>
          <w:sz w:val="15"/>
          <w:szCs w:val="15"/>
          <w:color w:val="auto"/>
        </w:rPr>
      </w:pPr>
    </w:p>
    <w:p>
      <w:pPr>
        <w:ind w:left="363" w:hanging="363"/>
        <w:spacing w:after="0"/>
        <w:tabs>
          <w:tab w:leader="none" w:pos="3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left="8" w:right="160" w:firstLine="365"/>
        <w:spacing w:after="0" w:line="256" w:lineRule="auto"/>
        <w:rPr>
          <w:sz w:val="20"/>
          <w:szCs w:val="20"/>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265" w:lineRule="exact"/>
        <w:rPr>
          <w:sz w:val="20"/>
          <w:szCs w:val="20"/>
          <w:color w:val="auto"/>
        </w:rPr>
      </w:pPr>
    </w:p>
    <w:p>
      <w:pPr>
        <w:ind w:left="368" w:hanging="368"/>
        <w:spacing w:after="0"/>
        <w:tabs>
          <w:tab w:leader="none" w:pos="3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90" w:lineRule="exact"/>
        <w:rPr>
          <w:rFonts w:ascii="Arial" w:cs="Arial" w:eastAsia="Arial" w:hAnsi="Arial"/>
          <w:sz w:val="18"/>
          <w:szCs w:val="18"/>
          <w:color w:val="auto"/>
        </w:rPr>
      </w:pPr>
    </w:p>
    <w:p>
      <w:pPr>
        <w:ind w:left="368" w:right="140"/>
        <w:spacing w:after="0" w:line="268"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132" w:lineRule="exact"/>
        <w:rPr>
          <w:sz w:val="20"/>
          <w:szCs w:val="20"/>
          <w:color w:val="auto"/>
        </w:rPr>
      </w:pPr>
    </w:p>
    <w:p>
      <w:pPr>
        <w:ind w:left="8" w:right="220" w:firstLine="365"/>
        <w:spacing w:after="0" w:line="288" w:lineRule="auto"/>
        <w:rPr>
          <w:sz w:val="20"/>
          <w:szCs w:val="20"/>
          <w:color w:val="auto"/>
        </w:rPr>
      </w:pPr>
      <w:r>
        <w:rPr>
          <w:rFonts w:ascii="Arial" w:cs="Arial" w:eastAsia="Arial" w:hAnsi="Arial"/>
          <w:sz w:val="16"/>
          <w:szCs w:val="16"/>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39" w:lineRule="exact"/>
        <w:rPr>
          <w:sz w:val="20"/>
          <w:szCs w:val="20"/>
          <w:color w:val="auto"/>
        </w:rPr>
      </w:pPr>
    </w:p>
    <w:p>
      <w:pPr>
        <w:ind w:left="728" w:right="660" w:hanging="364"/>
        <w:spacing w:after="0" w:line="332" w:lineRule="auto"/>
        <w:tabs>
          <w:tab w:leader="none" w:pos="7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Employee admits to being guilty of any dishonest or fraudulent act(s), including Larceny or Embezzlement; or</w:t>
      </w:r>
    </w:p>
    <w:p>
      <w:pPr>
        <w:spacing w:after="0" w:line="4" w:lineRule="exact"/>
        <w:rPr>
          <w:rFonts w:ascii="Arial" w:cs="Arial" w:eastAsia="Arial" w:hAnsi="Arial"/>
          <w:sz w:val="16"/>
          <w:szCs w:val="16"/>
          <w:color w:val="auto"/>
        </w:rPr>
      </w:pPr>
    </w:p>
    <w:p>
      <w:pPr>
        <w:ind w:left="728" w:right="540" w:hanging="364"/>
        <w:spacing w:after="0" w:line="332" w:lineRule="auto"/>
        <w:tabs>
          <w:tab w:leader="none" w:pos="7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Employee is adjudicated to be guilty of any dishonest or fraudulent act(s), including Larceny or Embezzlement;</w:t>
      </w:r>
    </w:p>
    <w:p>
      <w:pPr>
        <w:spacing w:after="0" w:line="174" w:lineRule="exact"/>
        <w:rPr>
          <w:sz w:val="20"/>
          <w:szCs w:val="20"/>
          <w:color w:val="auto"/>
        </w:rPr>
      </w:pPr>
    </w:p>
    <w:p>
      <w:pPr>
        <w:sectPr>
          <w:pgSz w:w="11900" w:h="16838" w:orient="portrait"/>
          <w:cols w:equalWidth="0" w:num="2">
            <w:col w:w="5283" w:space="352"/>
            <w:col w:w="5428"/>
          </w:cols>
          <w:pgMar w:left="437" w:top="469" w:right="399" w:bottom="1440" w:gutter="0" w:footer="0" w:header="0"/>
          <w:type w:val="continuous"/>
        </w:sectPr>
      </w:pPr>
    </w:p>
    <w:p>
      <w:pPr>
        <w:ind w:left="3"/>
        <w:spacing w:after="0"/>
        <w:tabs>
          <w:tab w:leader="none" w:pos="5582" w:val="left"/>
          <w:tab w:leader="none" w:pos="9022"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3"/>
          </w:cols>
          <w:pgMar w:left="437" w:top="469" w:right="399" w:bottom="1440" w:gutter="0" w:footer="0" w:header="0"/>
          <w:type w:val="continuous"/>
        </w:sectPr>
      </w:pPr>
    </w:p>
    <w:bookmarkStart w:id="8" w:name="page9"/>
    <w:bookmarkEnd w:id="8"/>
    <w:p>
      <w:pPr>
        <w:spacing w:after="0" w:line="200" w:lineRule="exact"/>
        <w:rPr>
          <w:sz w:val="20"/>
          <w:szCs w:val="20"/>
          <w:color w:val="auto"/>
        </w:rPr>
      </w:pPr>
    </w:p>
    <w:p>
      <w:pPr>
        <w:spacing w:after="0" w:line="205" w:lineRule="exact"/>
        <w:rPr>
          <w:sz w:val="20"/>
          <w:szCs w:val="20"/>
          <w:color w:val="auto"/>
        </w:rPr>
      </w:pPr>
    </w:p>
    <w:p>
      <w:pPr>
        <w:ind w:left="720" w:right="80" w:hanging="358"/>
        <w:spacing w:after="0" w:line="256"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 agreed statement of facts, that an Employee would be found guilty of dishonesty if such Employee were prosecuted.</w:t>
      </w:r>
    </w:p>
    <w:p>
      <w:pPr>
        <w:spacing w:after="0" w:line="143" w:lineRule="exact"/>
        <w:rPr>
          <w:sz w:val="20"/>
          <w:szCs w:val="20"/>
          <w:color w:val="auto"/>
        </w:rPr>
      </w:pPr>
    </w:p>
    <w:p>
      <w:pPr>
        <w:ind w:firstLine="365"/>
        <w:spacing w:after="0" w:line="310" w:lineRule="auto"/>
        <w:rPr>
          <w:sz w:val="20"/>
          <w:szCs w:val="20"/>
          <w:color w:val="auto"/>
        </w:rPr>
      </w:pPr>
      <w:r>
        <w:rPr>
          <w:rFonts w:ascii="Arial" w:cs="Arial" w:eastAsia="Arial" w:hAnsi="Arial"/>
          <w:sz w:val="15"/>
          <w:szCs w:val="15"/>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08"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If the amount of the Insured’s liability or alleged liability is greater than the amount recoverable under this bond, or if a Deductible Amount is applicable, or both, the liability of</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-325120</wp:posOffset>
            </wp:positionV>
            <wp:extent cx="7289165" cy="3140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140710"/>
                    </a:xfrm>
                    <a:prstGeom prst="rect">
                      <a:avLst/>
                    </a:prstGeom>
                    <a:noFill/>
                  </pic:spPr>
                </pic:pic>
              </a:graphicData>
            </a:graphic>
          </wp:anchor>
        </w:drawing>
      </w:r>
    </w:p>
    <w:p>
      <w:pPr>
        <w:spacing w:after="0" w:line="201" w:lineRule="exact"/>
        <w:rPr>
          <w:sz w:val="20"/>
          <w:szCs w:val="20"/>
          <w:color w:val="auto"/>
        </w:rPr>
      </w:pPr>
    </w:p>
    <w:p>
      <w:pPr>
        <w:ind w:left="40" w:right="120"/>
        <w:spacing w:after="0" w:line="291" w:lineRule="auto"/>
        <w:rPr>
          <w:sz w:val="20"/>
          <w:szCs w:val="20"/>
          <w:color w:val="auto"/>
        </w:rPr>
      </w:pPr>
      <w:r>
        <w:rPr>
          <w:rFonts w:ascii="Arial" w:cs="Arial" w:eastAsia="Arial" w:hAnsi="Arial"/>
          <w:sz w:val="16"/>
          <w:szCs w:val="16"/>
          <w:color w:val="auto"/>
        </w:rPr>
        <w:t>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242" w:lineRule="exact"/>
        <w:rPr>
          <w:sz w:val="20"/>
          <w:szCs w:val="20"/>
          <w:color w:val="auto"/>
        </w:rPr>
      </w:pPr>
    </w:p>
    <w:p>
      <w:pPr>
        <w:ind w:left="400" w:hanging="368"/>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90" w:lineRule="exact"/>
        <w:rPr>
          <w:sz w:val="20"/>
          <w:szCs w:val="20"/>
          <w:color w:val="auto"/>
        </w:rPr>
      </w:pPr>
    </w:p>
    <w:p>
      <w:pPr>
        <w:ind w:left="40" w:right="240" w:firstLine="365"/>
        <w:spacing w:after="0" w:line="290"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383"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80" w:space="320"/>
            <w:col w:w="5460"/>
          </w:cols>
          <w:pgMar w:left="440" w:top="469" w:right="399" w:bottom="1440" w:gutter="0" w:footer="0" w:header="0"/>
        </w:sectPr>
      </w:pPr>
    </w:p>
    <w:bookmarkStart w:id="9" w:name="page10"/>
    <w:bookmarkEnd w:id="9"/>
    <w:p>
      <w:pPr>
        <w:spacing w:after="0" w:line="3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79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5679440"/>
                    </a:xfrm>
                    <a:prstGeom prst="rect">
                      <a:avLst/>
                    </a:prstGeom>
                    <a:noFill/>
                  </pic:spPr>
                </pic:pic>
              </a:graphicData>
            </a:graphic>
          </wp:anchor>
        </w:drawing>
      </w:r>
    </w:p>
    <w:p>
      <w:pPr>
        <w:jc w:val="center"/>
        <w:ind w:right="341"/>
        <w:spacing w:after="0" w:line="258" w:lineRule="auto"/>
        <w:rPr>
          <w:sz w:val="20"/>
          <w:szCs w:val="20"/>
          <w:color w:val="auto"/>
        </w:rPr>
      </w:pPr>
      <w:r>
        <w:rPr>
          <w:rFonts w:ascii="Arial" w:cs="Arial" w:eastAsia="Arial" w:hAnsi="Arial"/>
          <w:sz w:val="18"/>
          <w:szCs w:val="18"/>
          <w:b w:val="1"/>
          <w:bCs w:val="1"/>
          <w:color w:val="auto"/>
        </w:rPr>
        <w:t>THE FOREGOING INSURING AGREEMENTS AND GENERAL AGREEMENTS ARE SUBJECT TO THE FOLLOWING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SECTION 1. DEFINITIONS</w:t>
      </w:r>
    </w:p>
    <w:p>
      <w:pPr>
        <w:spacing w:after="0" w:line="90" w:lineRule="exact"/>
        <w:rPr>
          <w:sz w:val="20"/>
          <w:szCs w:val="20"/>
          <w:color w:val="auto"/>
        </w:rPr>
      </w:pPr>
    </w:p>
    <w:p>
      <w:pPr>
        <w:ind w:right="561" w:firstLine="365"/>
        <w:spacing w:after="0" w:line="268" w:lineRule="auto"/>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51" w:lineRule="exact"/>
        <w:rPr>
          <w:sz w:val="20"/>
          <w:szCs w:val="20"/>
          <w:color w:val="auto"/>
        </w:rPr>
      </w:pPr>
    </w:p>
    <w:p>
      <w:pPr>
        <w:ind w:left="720" w:hanging="358"/>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90" w:lineRule="exact"/>
        <w:rPr>
          <w:rFonts w:ascii="Arial" w:cs="Arial" w:eastAsia="Arial" w:hAnsi="Arial"/>
          <w:sz w:val="18"/>
          <w:szCs w:val="18"/>
          <w:color w:val="auto"/>
        </w:rPr>
      </w:pPr>
    </w:p>
    <w:p>
      <w:pPr>
        <w:ind w:left="1100" w:hanging="374"/>
        <w:spacing w:after="0"/>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of the Insured’s officers, partners, or employees, and</w:t>
      </w:r>
    </w:p>
    <w:p>
      <w:pPr>
        <w:spacing w:after="0" w:line="113" w:lineRule="exact"/>
        <w:rPr>
          <w:rFonts w:ascii="Arial" w:cs="Arial" w:eastAsia="Arial" w:hAnsi="Arial"/>
          <w:sz w:val="16"/>
          <w:szCs w:val="16"/>
          <w:color w:val="auto"/>
        </w:rPr>
      </w:pPr>
    </w:p>
    <w:p>
      <w:pPr>
        <w:ind w:left="1100" w:right="461" w:hanging="374"/>
        <w:spacing w:after="0" w:line="298"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of the officers or employees of any predecessor of the Insured whose principal assets are acquired by the Insured by consolidation or merger with, or purchase of assets or capital stock of such predecessor. and</w:t>
      </w:r>
    </w:p>
    <w:p>
      <w:pPr>
        <w:spacing w:after="0" w:line="31" w:lineRule="exact"/>
        <w:rPr>
          <w:rFonts w:ascii="Arial" w:cs="Arial" w:eastAsia="Arial" w:hAnsi="Arial"/>
          <w:sz w:val="16"/>
          <w:szCs w:val="16"/>
          <w:color w:val="auto"/>
        </w:rPr>
      </w:pPr>
    </w:p>
    <w:p>
      <w:pPr>
        <w:ind w:left="1100" w:right="461" w:hanging="374"/>
        <w:spacing w:after="0" w:line="323" w:lineRule="auto"/>
        <w:tabs>
          <w:tab w:leader="none" w:pos="11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attorneys retained by the Insured to perform legal services for the Insured and the employees of such attorneys while such attorneys or the employees of such attorneys are performing such services for the Insured, and</w:t>
      </w:r>
    </w:p>
    <w:p>
      <w:pPr>
        <w:spacing w:after="0" w:line="16" w:lineRule="exact"/>
        <w:rPr>
          <w:rFonts w:ascii="Arial" w:cs="Arial" w:eastAsia="Arial" w:hAnsi="Arial"/>
          <w:sz w:val="15"/>
          <w:szCs w:val="15"/>
          <w:color w:val="auto"/>
        </w:rPr>
      </w:pPr>
    </w:p>
    <w:p>
      <w:pPr>
        <w:ind w:left="1100" w:right="421" w:hanging="374"/>
        <w:spacing w:after="0" w:line="268"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50" w:lineRule="exact"/>
        <w:rPr>
          <w:rFonts w:ascii="Arial" w:cs="Arial" w:eastAsia="Arial" w:hAnsi="Arial"/>
          <w:sz w:val="18"/>
          <w:szCs w:val="18"/>
          <w:color w:val="auto"/>
        </w:rPr>
      </w:pPr>
    </w:p>
    <w:p>
      <w:pPr>
        <w:ind w:left="1100" w:right="381" w:hanging="374"/>
        <w:spacing w:after="0" w:line="288"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38" w:lineRule="exact"/>
        <w:rPr>
          <w:rFonts w:ascii="Arial" w:cs="Arial" w:eastAsia="Arial" w:hAnsi="Arial"/>
          <w:sz w:val="16"/>
          <w:szCs w:val="16"/>
          <w:color w:val="auto"/>
        </w:rPr>
      </w:pPr>
    </w:p>
    <w:p>
      <w:pPr>
        <w:ind w:left="1100" w:right="421" w:hanging="374"/>
        <w:spacing w:after="0" w:line="306"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individual or individuals assigned to perform the usual duties of an employee within the premises of the Insured, by contract, or by any agency</w:t>
      </w:r>
    </w:p>
    <w:p>
      <w:pPr>
        <w:spacing w:after="0" w:line="20" w:lineRule="exact"/>
        <w:rPr>
          <w:sz w:val="20"/>
          <w:szCs w:val="20"/>
          <w:color w:val="auto"/>
        </w:rPr>
      </w:pPr>
      <w:r>
        <w:rPr>
          <w:sz w:val="20"/>
          <w:szCs w:val="20"/>
          <w:color w:val="auto"/>
        </w:rPr>
        <w:br w:type="column"/>
      </w:r>
    </w:p>
    <w:p>
      <w:pPr>
        <w:ind w:left="4019"/>
        <w:spacing w:after="0"/>
        <w:rPr>
          <w:sz w:val="20"/>
          <w:szCs w:val="20"/>
          <w:color w:val="auto"/>
        </w:rPr>
      </w:pPr>
      <w:r>
        <w:rPr>
          <w:rFonts w:ascii="Arial" w:cs="Arial" w:eastAsia="Arial" w:hAnsi="Arial"/>
          <w:sz w:val="16"/>
          <w:szCs w:val="16"/>
          <w:color w:val="auto"/>
        </w:rPr>
        <w:t>Exhibit A</w:t>
      </w:r>
    </w:p>
    <w:p>
      <w:pPr>
        <w:spacing w:after="0" w:line="221" w:lineRule="exact"/>
        <w:rPr>
          <w:sz w:val="20"/>
          <w:szCs w:val="20"/>
          <w:color w:val="auto"/>
        </w:rPr>
      </w:pPr>
    </w:p>
    <w:p>
      <w:pPr>
        <w:ind w:left="359" w:right="420"/>
        <w:spacing w:after="0" w:line="268" w:lineRule="auto"/>
        <w:rPr>
          <w:sz w:val="20"/>
          <w:szCs w:val="20"/>
          <w:color w:val="auto"/>
        </w:rPr>
      </w:pPr>
      <w:r>
        <w:rPr>
          <w:rFonts w:ascii="Arial" w:cs="Arial" w:eastAsia="Arial" w:hAnsi="Arial"/>
          <w:sz w:val="18"/>
          <w:szCs w:val="18"/>
          <w:color w:val="auto"/>
        </w:rPr>
        <w:t>furnishing temporary personnel on a contingent or part-time basis, and</w:t>
      </w:r>
    </w:p>
    <w:p>
      <w:pPr>
        <w:spacing w:after="0" w:line="51" w:lineRule="exact"/>
        <w:rPr>
          <w:sz w:val="20"/>
          <w:szCs w:val="20"/>
          <w:color w:val="auto"/>
        </w:rPr>
      </w:pPr>
    </w:p>
    <w:p>
      <w:pPr>
        <w:ind w:left="359" w:right="140" w:hanging="359"/>
        <w:spacing w:after="0" w:line="290" w:lineRule="auto"/>
        <w:tabs>
          <w:tab w:leader="none" w:pos="359"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37" w:lineRule="exact"/>
        <w:rPr>
          <w:rFonts w:ascii="Arial" w:cs="Arial" w:eastAsia="Arial" w:hAnsi="Arial"/>
          <w:sz w:val="16"/>
          <w:szCs w:val="16"/>
          <w:color w:val="auto"/>
        </w:rPr>
      </w:pPr>
    </w:p>
    <w:p>
      <w:pPr>
        <w:ind w:left="359" w:right="820" w:hanging="359"/>
        <w:spacing w:after="0" w:line="268" w:lineRule="auto"/>
        <w:tabs>
          <w:tab w:leader="none" w:pos="3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50" w:lineRule="exact"/>
        <w:rPr>
          <w:rFonts w:ascii="Arial" w:cs="Arial" w:eastAsia="Arial" w:hAnsi="Arial"/>
          <w:sz w:val="18"/>
          <w:szCs w:val="18"/>
          <w:color w:val="auto"/>
        </w:rPr>
      </w:pPr>
    </w:p>
    <w:p>
      <w:pPr>
        <w:ind w:left="359" w:hanging="359"/>
        <w:spacing w:after="0"/>
        <w:tabs>
          <w:tab w:leader="none" w:pos="3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90" w:lineRule="exact"/>
        <w:rPr>
          <w:rFonts w:ascii="Arial" w:cs="Arial" w:eastAsia="Arial" w:hAnsi="Arial"/>
          <w:sz w:val="18"/>
          <w:szCs w:val="18"/>
          <w:color w:val="auto"/>
        </w:rPr>
      </w:pPr>
    </w:p>
    <w:p>
      <w:pPr>
        <w:ind w:left="739" w:hanging="374"/>
        <w:spacing w:after="0"/>
        <w:tabs>
          <w:tab w:leader="none" w:pos="7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90" w:lineRule="exact"/>
        <w:rPr>
          <w:rFonts w:ascii="Arial" w:cs="Arial" w:eastAsia="Arial" w:hAnsi="Arial"/>
          <w:sz w:val="18"/>
          <w:szCs w:val="18"/>
          <w:color w:val="auto"/>
        </w:rPr>
      </w:pPr>
    </w:p>
    <w:p>
      <w:pPr>
        <w:ind w:left="739" w:hanging="374"/>
        <w:spacing w:after="0"/>
        <w:tabs>
          <w:tab w:leader="none" w:pos="7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90" w:lineRule="exact"/>
        <w:rPr>
          <w:rFonts w:ascii="Arial" w:cs="Arial" w:eastAsia="Arial" w:hAnsi="Arial"/>
          <w:sz w:val="18"/>
          <w:szCs w:val="18"/>
          <w:color w:val="auto"/>
        </w:rPr>
      </w:pPr>
    </w:p>
    <w:p>
      <w:pPr>
        <w:ind w:left="739" w:right="460" w:hanging="374"/>
        <w:spacing w:after="0" w:line="268" w:lineRule="auto"/>
        <w:tabs>
          <w:tab w:leader="none" w:pos="7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50" w:lineRule="exact"/>
        <w:rPr>
          <w:rFonts w:ascii="Arial" w:cs="Arial" w:eastAsia="Arial" w:hAnsi="Arial"/>
          <w:sz w:val="18"/>
          <w:szCs w:val="18"/>
          <w:color w:val="auto"/>
        </w:rPr>
      </w:pPr>
    </w:p>
    <w:p>
      <w:pPr>
        <w:ind w:left="739" w:right="320" w:hanging="374"/>
        <w:spacing w:after="0" w:line="332" w:lineRule="auto"/>
        <w:tabs>
          <w:tab w:leader="none" w:pos="739"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 administrator authorized by written agreement to keep financial and/or other required records,</w:t>
      </w:r>
    </w:p>
    <w:p>
      <w:pPr>
        <w:spacing w:after="0" w:line="4" w:lineRule="exact"/>
        <w:rPr>
          <w:sz w:val="20"/>
          <w:szCs w:val="20"/>
          <w:color w:val="auto"/>
        </w:rPr>
      </w:pPr>
    </w:p>
    <w:p>
      <w:pPr>
        <w:ind w:left="359" w:right="140"/>
        <w:spacing w:after="0" w:line="285"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200" w:lineRule="exact"/>
        <w:rPr>
          <w:sz w:val="20"/>
          <w:szCs w:val="20"/>
          <w:color w:val="auto"/>
        </w:rPr>
      </w:pPr>
    </w:p>
    <w:p>
      <w:pPr>
        <w:sectPr>
          <w:pgSz w:w="11900" w:h="16838" w:orient="portrait"/>
          <w:cols w:equalWidth="0" w:num="2">
            <w:col w:w="5641" w:space="720"/>
            <w:col w:w="4699"/>
          </w:cols>
          <w:pgMar w:left="440" w:top="469" w:right="399" w:bottom="1440" w:gutter="0" w:footer="0" w:header="0"/>
        </w:sectPr>
      </w:pPr>
    </w:p>
    <w:p>
      <w:pPr>
        <w:spacing w:after="0" w:line="17" w:lineRule="exact"/>
        <w:rPr>
          <w:sz w:val="20"/>
          <w:szCs w:val="20"/>
          <w:color w:val="auto"/>
        </w:rPr>
      </w:pPr>
    </w:p>
    <w:p>
      <w:pPr>
        <w:spacing w:after="0"/>
        <w:tabs>
          <w:tab w:leader="none" w:pos="558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0" w:name="page11"/>
    <w:bookmarkEnd w:id="10"/>
    <w:p>
      <w:pPr>
        <w:spacing w:after="0" w:line="200" w:lineRule="exact"/>
        <w:rPr>
          <w:sz w:val="20"/>
          <w:szCs w:val="20"/>
          <w:color w:val="auto"/>
        </w:rPr>
      </w:pPr>
    </w:p>
    <w:p>
      <w:pPr>
        <w:spacing w:after="0" w:line="205" w:lineRule="exact"/>
        <w:rPr>
          <w:sz w:val="20"/>
          <w:szCs w:val="20"/>
          <w:color w:val="auto"/>
        </w:rPr>
      </w:pPr>
    </w:p>
    <w:p>
      <w:pPr>
        <w:ind w:left="1100"/>
        <w:spacing w:after="0" w:line="318" w:lineRule="auto"/>
        <w:rPr>
          <w:sz w:val="20"/>
          <w:szCs w:val="20"/>
          <w:color w:val="auto"/>
        </w:rPr>
      </w:pPr>
      <w:r>
        <w:rPr>
          <w:rFonts w:ascii="Arial" w:cs="Arial" w:eastAsia="Arial" w:hAnsi="Arial"/>
          <w:sz w:val="15"/>
          <w:szCs w:val="15"/>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19" w:lineRule="exact"/>
        <w:rPr>
          <w:sz w:val="20"/>
          <w:szCs w:val="20"/>
          <w:color w:val="auto"/>
        </w:rPr>
      </w:pPr>
    </w:p>
    <w:p>
      <w:pPr>
        <w:ind w:left="720" w:right="40"/>
        <w:spacing w:after="0" w:line="357" w:lineRule="auto"/>
        <w:rPr>
          <w:sz w:val="20"/>
          <w:szCs w:val="20"/>
          <w:color w:val="auto"/>
        </w:rPr>
      </w:pPr>
      <w:r>
        <w:rPr>
          <w:rFonts w:ascii="Arial" w:cs="Arial" w:eastAsia="Arial" w:hAnsi="Arial"/>
          <w:sz w:val="15"/>
          <w:szCs w:val="15"/>
          <w:color w:val="auto"/>
        </w:rPr>
        <w:t>Brokers, or other agents under contract or representatives of the same general character shall not be considered Employees.</w:t>
      </w:r>
    </w:p>
    <w:p>
      <w:pPr>
        <w:ind w:left="720" w:right="20" w:hanging="358"/>
        <w:spacing w:after="0" w:line="284"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-325120</wp:posOffset>
            </wp:positionV>
            <wp:extent cx="7289165" cy="518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181600"/>
                    </a:xfrm>
                    <a:prstGeom prst="rect">
                      <a:avLst/>
                    </a:prstGeom>
                    <a:noFill/>
                  </pic:spPr>
                </pic:pic>
              </a:graphicData>
            </a:graphic>
          </wp:anchor>
        </w:drawing>
      </w:r>
    </w:p>
    <w:p>
      <w:pPr>
        <w:spacing w:after="0" w:line="201" w:lineRule="exact"/>
        <w:rPr>
          <w:sz w:val="20"/>
          <w:szCs w:val="20"/>
          <w:color w:val="auto"/>
        </w:rPr>
      </w:pPr>
    </w:p>
    <w:p>
      <w:pPr>
        <w:ind w:left="740" w:right="180"/>
        <w:spacing w:after="0" w:line="291" w:lineRule="auto"/>
        <w:rPr>
          <w:sz w:val="20"/>
          <w:szCs w:val="20"/>
          <w:color w:val="auto"/>
        </w:rPr>
      </w:pPr>
      <w:r>
        <w:rPr>
          <w:rFonts w:ascii="Arial" w:cs="Arial" w:eastAsia="Arial" w:hAnsi="Arial"/>
          <w:sz w:val="16"/>
          <w:szCs w:val="16"/>
          <w:color w:val="auto"/>
        </w:rPr>
        <w:t>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39" w:lineRule="exact"/>
        <w:rPr>
          <w:sz w:val="20"/>
          <w:szCs w:val="20"/>
          <w:color w:val="auto"/>
        </w:rPr>
      </w:pPr>
    </w:p>
    <w:p>
      <w:pPr>
        <w:ind w:left="760" w:right="240" w:hanging="364"/>
        <w:spacing w:after="0" w:line="306"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“Forgery” means the signing of the name of another with intent to deceive; it does not include the signing of one’s own name with or without authority, in any capacity, for any purpose.</w:t>
      </w:r>
    </w:p>
    <w:p>
      <w:pPr>
        <w:spacing w:after="0" w:line="25" w:lineRule="exact"/>
        <w:rPr>
          <w:rFonts w:ascii="Arial" w:cs="Arial" w:eastAsia="Arial" w:hAnsi="Arial"/>
          <w:sz w:val="16"/>
          <w:szCs w:val="16"/>
          <w:color w:val="auto"/>
        </w:rPr>
      </w:pPr>
    </w:p>
    <w:p>
      <w:pPr>
        <w:ind w:left="760" w:right="140" w:hanging="364"/>
        <w:spacing w:after="0" w:line="25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59" w:lineRule="exact"/>
        <w:rPr>
          <w:rFonts w:ascii="Arial" w:cs="Arial" w:eastAsia="Arial" w:hAnsi="Arial"/>
          <w:sz w:val="18"/>
          <w:szCs w:val="18"/>
          <w:color w:val="auto"/>
        </w:rPr>
      </w:pPr>
    </w:p>
    <w:p>
      <w:pPr>
        <w:ind w:left="760" w:right="380" w:hanging="364"/>
        <w:spacing w:after="0" w:line="306"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“Items of Deposit” means any one or more checks and drafts. Items of Deposit shall not be deemed uncollectible until the Insured’s collection procedures have failed.</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SECTION 2. EXCLUSIONS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THIS BOND DOES NOT COVER:</w:t>
      </w:r>
    </w:p>
    <w:p>
      <w:pPr>
        <w:spacing w:after="0" w:line="90" w:lineRule="exact"/>
        <w:rPr>
          <w:sz w:val="20"/>
          <w:szCs w:val="20"/>
          <w:color w:val="auto"/>
        </w:rPr>
      </w:pPr>
    </w:p>
    <w:p>
      <w:pPr>
        <w:ind w:left="760" w:right="340" w:hanging="364"/>
        <w:spacing w:after="0" w:line="259"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59" w:lineRule="exact"/>
        <w:rPr>
          <w:rFonts w:ascii="Arial" w:cs="Arial" w:eastAsia="Arial" w:hAnsi="Arial"/>
          <w:sz w:val="18"/>
          <w:szCs w:val="18"/>
          <w:color w:val="auto"/>
        </w:rPr>
      </w:pPr>
    </w:p>
    <w:p>
      <w:pPr>
        <w:ind w:left="760" w:right="140" w:hanging="364"/>
        <w:spacing w:after="0" w:line="289"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207"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40" w:space="360"/>
            <w:col w:w="5460"/>
          </w:cols>
          <w:pgMar w:left="440" w:top="469" w:right="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01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301615"/>
                    </a:xfrm>
                    <a:prstGeom prst="rect">
                      <a:avLst/>
                    </a:prstGeom>
                    <a:noFill/>
                  </pic:spPr>
                </pic:pic>
              </a:graphicData>
            </a:graphic>
          </wp:anchor>
        </w:drawing>
      </w:r>
    </w:p>
    <w:p>
      <w:pPr>
        <w:spacing w:after="0" w:line="205" w:lineRule="exact"/>
        <w:rPr>
          <w:sz w:val="20"/>
          <w:szCs w:val="20"/>
          <w:color w:val="auto"/>
        </w:rPr>
      </w:pPr>
    </w:p>
    <w:p>
      <w:pPr>
        <w:ind w:left="720" w:right="140" w:hanging="358"/>
        <w:spacing w:after="0" w:line="298"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31" w:lineRule="exact"/>
        <w:rPr>
          <w:rFonts w:ascii="Arial" w:cs="Arial" w:eastAsia="Arial" w:hAnsi="Arial"/>
          <w:sz w:val="16"/>
          <w:szCs w:val="16"/>
          <w:color w:val="auto"/>
        </w:rPr>
      </w:pPr>
    </w:p>
    <w:p>
      <w:pPr>
        <w:ind w:left="720" w:hanging="358"/>
        <w:spacing w:after="0" w:line="253"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64" w:lineRule="exact"/>
        <w:rPr>
          <w:rFonts w:ascii="Arial" w:cs="Arial" w:eastAsia="Arial" w:hAnsi="Arial"/>
          <w:sz w:val="18"/>
          <w:szCs w:val="18"/>
          <w:color w:val="auto"/>
        </w:rPr>
      </w:pPr>
    </w:p>
    <w:p>
      <w:pPr>
        <w:ind w:left="720" w:right="160" w:hanging="358"/>
        <w:spacing w:after="0" w:line="290"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37" w:lineRule="exact"/>
        <w:rPr>
          <w:rFonts w:ascii="Arial" w:cs="Arial" w:eastAsia="Arial" w:hAnsi="Arial"/>
          <w:sz w:val="16"/>
          <w:szCs w:val="16"/>
          <w:color w:val="auto"/>
        </w:rPr>
      </w:pPr>
    </w:p>
    <w:p>
      <w:pPr>
        <w:ind w:left="720" w:right="540" w:hanging="358"/>
        <w:spacing w:after="0" w:line="26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50" w:lineRule="exact"/>
        <w:rPr>
          <w:rFonts w:ascii="Arial" w:cs="Arial" w:eastAsia="Arial" w:hAnsi="Arial"/>
          <w:sz w:val="18"/>
          <w:szCs w:val="18"/>
          <w:color w:val="auto"/>
        </w:rPr>
      </w:pPr>
    </w:p>
    <w:p>
      <w:pPr>
        <w:ind w:left="1100" w:right="440" w:hanging="374"/>
        <w:spacing w:after="0" w:line="323" w:lineRule="auto"/>
        <w:tabs>
          <w:tab w:leader="none" w:pos="11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of law regulating (a) the issuance, purchase or sale of securities, (b) securities transactions upon Security Exchanges or over the counter market, (c) Investment Companies, or (d) Investment Advisors, or</w:t>
      </w:r>
    </w:p>
    <w:p>
      <w:pPr>
        <w:spacing w:after="0" w:line="16" w:lineRule="exact"/>
        <w:rPr>
          <w:rFonts w:ascii="Arial" w:cs="Arial" w:eastAsia="Arial" w:hAnsi="Arial"/>
          <w:sz w:val="15"/>
          <w:szCs w:val="15"/>
          <w:color w:val="auto"/>
        </w:rPr>
      </w:pPr>
    </w:p>
    <w:p>
      <w:pPr>
        <w:ind w:left="1100" w:right="120" w:hanging="374"/>
        <w:spacing w:after="0" w:line="303" w:lineRule="auto"/>
        <w:tabs>
          <w:tab w:leader="none" w:pos="11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of any rule or regulation made pursuant to any such law, unless such loss, in the absence of such laws, rules or regulations, would be covered under Insuring Agreements</w:t>
      </w:r>
    </w:p>
    <w:p>
      <w:pPr>
        <w:spacing w:after="0" w:line="1"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8"/>
          <w:szCs w:val="18"/>
          <w:color w:val="auto"/>
        </w:rPr>
        <w:t>(A) or (E).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198" w:lineRule="exact"/>
        <w:rPr>
          <w:sz w:val="20"/>
          <w:szCs w:val="20"/>
          <w:color w:val="auto"/>
        </w:rPr>
      </w:pPr>
    </w:p>
    <w:p>
      <w:pPr>
        <w:ind w:left="364" w:right="280" w:hanging="364"/>
        <w:spacing w:after="0" w:line="286" w:lineRule="auto"/>
        <w:tabs>
          <w:tab w:leader="none" w:pos="3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loss of Property or loss of privileges through the misplacement or loss of Property as set forth in Insuring Agreement (C) or</w:t>
      </w:r>
    </w:p>
    <w:p>
      <w:pPr>
        <w:ind w:left="364" w:right="340" w:firstLine="1"/>
        <w:spacing w:after="0" w:line="281" w:lineRule="auto"/>
        <w:tabs>
          <w:tab w:leader="none" w:pos="651" w:val="left"/>
        </w:tabs>
        <w:numPr>
          <w:ilvl w:val="1"/>
          <w:numId w:val="23"/>
        </w:numPr>
        <w:rPr>
          <w:rFonts w:ascii="Arial" w:cs="Arial" w:eastAsia="Arial" w:hAnsi="Arial"/>
          <w:sz w:val="16"/>
          <w:szCs w:val="16"/>
          <w:color w:val="auto"/>
        </w:rPr>
      </w:pPr>
      <w:r>
        <w:rPr>
          <w:rFonts w:ascii="Arial" w:cs="Arial" w:eastAsia="Arial" w:hAnsi="Arial"/>
          <w:sz w:val="16"/>
          <w:szCs w:val="16"/>
          <w:color w:val="auto"/>
        </w:rPr>
        <w:t>while the Property is in the custody of any armored motor vehicle company, unless such loss shall be in excess of the amount recovered or received by the Insured under (a) the Insured’s contract with said armored motor vehicle company,</w:t>
      </w:r>
    </w:p>
    <w:p>
      <w:pPr>
        <w:spacing w:after="0" w:line="2" w:lineRule="exact"/>
        <w:rPr>
          <w:rFonts w:ascii="Arial" w:cs="Arial" w:eastAsia="Arial" w:hAnsi="Arial"/>
          <w:sz w:val="16"/>
          <w:szCs w:val="16"/>
          <w:color w:val="auto"/>
        </w:rPr>
      </w:pPr>
    </w:p>
    <w:p>
      <w:pPr>
        <w:ind w:left="364" w:right="120"/>
        <w:spacing w:after="0" w:line="292" w:lineRule="auto"/>
        <w:rPr>
          <w:rFonts w:ascii="Arial" w:cs="Arial" w:eastAsia="Arial" w:hAnsi="Arial"/>
          <w:sz w:val="16"/>
          <w:szCs w:val="16"/>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35" w:lineRule="exact"/>
        <w:rPr>
          <w:rFonts w:ascii="Arial" w:cs="Arial" w:eastAsia="Arial" w:hAnsi="Arial"/>
          <w:sz w:val="16"/>
          <w:szCs w:val="16"/>
          <w:color w:val="auto"/>
        </w:rPr>
      </w:pPr>
    </w:p>
    <w:p>
      <w:pPr>
        <w:ind w:left="364" w:right="220" w:hanging="364"/>
        <w:spacing w:after="0" w:line="303" w:lineRule="auto"/>
        <w:tabs>
          <w:tab w:leader="none" w:pos="364" w:val="left"/>
        </w:tabs>
        <w:numPr>
          <w:ilvl w:val="0"/>
          <w:numId w:val="23"/>
        </w:numPr>
        <w:rPr>
          <w:rFonts w:ascii="Arial" w:cs="Arial" w:eastAsia="Arial" w:hAnsi="Arial"/>
          <w:sz w:val="15"/>
          <w:szCs w:val="15"/>
          <w:color w:val="auto"/>
        </w:rPr>
      </w:pPr>
      <w:r>
        <w:rPr>
          <w:rFonts w:ascii="Arial" w:cs="Arial" w:eastAsia="Arial" w:hAnsi="Arial"/>
          <w:sz w:val="15"/>
          <w:szCs w:val="15"/>
          <w:color w:val="auto"/>
        </w:rPr>
        <w:t>potential income, including but not limited to interest and dividends, not realized by the Insured because of a loss covered under this bond, except as included under Insuring Agreement</w:t>
      </w:r>
    </w:p>
    <w:p>
      <w:pPr>
        <w:spacing w:after="0" w:line="1" w:lineRule="exact"/>
        <w:rPr>
          <w:rFonts w:ascii="Arial" w:cs="Arial" w:eastAsia="Arial" w:hAnsi="Arial"/>
          <w:sz w:val="15"/>
          <w:szCs w:val="15"/>
          <w:color w:val="auto"/>
        </w:rPr>
      </w:pPr>
    </w:p>
    <w:p>
      <w:pPr>
        <w:spacing w:after="0"/>
        <w:tabs>
          <w:tab w:leader="none" w:pos="0" w:val="left"/>
        </w:tabs>
        <w:numPr>
          <w:ilvl w:val="1"/>
          <w:numId w:val="24"/>
        </w:numPr>
        <w:rPr>
          <w:rFonts w:ascii="Arial" w:cs="Arial" w:eastAsia="Arial" w:hAnsi="Arial"/>
          <w:sz w:val="18"/>
          <w:szCs w:val="18"/>
          <w:color w:val="auto"/>
        </w:rPr>
      </w:pPr>
    </w:p>
    <w:p>
      <w:pPr>
        <w:spacing w:after="0" w:line="83" w:lineRule="exact"/>
        <w:rPr>
          <w:rFonts w:ascii="Arial" w:cs="Arial" w:eastAsia="Arial" w:hAnsi="Arial"/>
          <w:sz w:val="18"/>
          <w:szCs w:val="18"/>
          <w:color w:val="auto"/>
        </w:rPr>
      </w:pPr>
    </w:p>
    <w:p>
      <w:pPr>
        <w:ind w:left="364" w:right="160" w:hanging="364"/>
        <w:spacing w:after="0" w:line="259" w:lineRule="auto"/>
        <w:tabs>
          <w:tab w:leader="none" w:pos="3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59" w:lineRule="exact"/>
        <w:rPr>
          <w:rFonts w:ascii="Arial" w:cs="Arial" w:eastAsia="Arial" w:hAnsi="Arial"/>
          <w:sz w:val="18"/>
          <w:szCs w:val="18"/>
          <w:color w:val="auto"/>
        </w:rPr>
      </w:pPr>
    </w:p>
    <w:p>
      <w:pPr>
        <w:ind w:left="364" w:right="120" w:hanging="364"/>
        <w:spacing w:after="0" w:line="268" w:lineRule="auto"/>
        <w:tabs>
          <w:tab w:leader="none" w:pos="3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51" w:lineRule="exact"/>
        <w:rPr>
          <w:sz w:val="20"/>
          <w:szCs w:val="20"/>
          <w:color w:val="auto"/>
        </w:rPr>
      </w:pPr>
    </w:p>
    <w:p>
      <w:pPr>
        <w:ind w:left="724" w:right="200" w:hanging="359"/>
        <w:spacing w:after="0" w:line="298" w:lineRule="auto"/>
        <w:tabs>
          <w:tab w:leader="none" w:pos="724" w:val="left"/>
        </w:tabs>
        <w:numPr>
          <w:ilvl w:val="1"/>
          <w:numId w:val="26"/>
        </w:numPr>
        <w:rPr>
          <w:rFonts w:ascii="Arial" w:cs="Arial" w:eastAsia="Arial" w:hAnsi="Arial"/>
          <w:sz w:val="16"/>
          <w:szCs w:val="16"/>
          <w:color w:val="auto"/>
        </w:rPr>
      </w:pPr>
      <w:r>
        <w:rPr>
          <w:rFonts w:ascii="Arial" w:cs="Arial" w:eastAsia="Arial" w:hAnsi="Arial"/>
          <w:sz w:val="16"/>
          <w:szCs w:val="16"/>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31" w:lineRule="exact"/>
        <w:rPr>
          <w:rFonts w:ascii="Arial" w:cs="Arial" w:eastAsia="Arial" w:hAnsi="Arial"/>
          <w:sz w:val="16"/>
          <w:szCs w:val="16"/>
          <w:color w:val="auto"/>
        </w:rPr>
      </w:pPr>
    </w:p>
    <w:p>
      <w:pPr>
        <w:ind w:left="724" w:right="380" w:hanging="359"/>
        <w:spacing w:after="0" w:line="357" w:lineRule="auto"/>
        <w:tabs>
          <w:tab w:leader="none" w:pos="724" w:val="left"/>
        </w:tabs>
        <w:numPr>
          <w:ilvl w:val="1"/>
          <w:numId w:val="26"/>
        </w:numPr>
        <w:rPr>
          <w:rFonts w:ascii="Arial" w:cs="Arial" w:eastAsia="Arial" w:hAnsi="Arial"/>
          <w:sz w:val="15"/>
          <w:szCs w:val="15"/>
          <w:color w:val="auto"/>
        </w:rPr>
      </w:pPr>
      <w:r>
        <w:rPr>
          <w:rFonts w:ascii="Arial" w:cs="Arial" w:eastAsia="Arial" w:hAnsi="Arial"/>
          <w:sz w:val="15"/>
          <w:szCs w:val="15"/>
          <w:color w:val="auto"/>
        </w:rPr>
        <w:t>to do damage to the premises or Property of the Insured, except when covered under Insuring Agreement (A).</w:t>
      </w:r>
    </w:p>
    <w:p>
      <w:pPr>
        <w:ind w:left="364" w:right="300" w:hanging="364"/>
        <w:spacing w:after="0" w:line="256" w:lineRule="auto"/>
        <w:tabs>
          <w:tab w:leader="none" w:pos="3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200" w:lineRule="exact"/>
        <w:rPr>
          <w:sz w:val="20"/>
          <w:szCs w:val="20"/>
          <w:color w:val="auto"/>
        </w:rPr>
      </w:pPr>
    </w:p>
    <w:p>
      <w:pPr>
        <w:sectPr>
          <w:pgSz w:w="11900" w:h="16838" w:orient="portrait"/>
          <w:cols w:equalWidth="0" w:num="2">
            <w:col w:w="5300" w:space="696"/>
            <w:col w:w="5064"/>
          </w:cols>
          <w:pgMar w:left="440" w:top="469" w:right="399" w:bottom="1440" w:gutter="0" w:footer="0" w:header="0"/>
        </w:sectPr>
      </w:pPr>
    </w:p>
    <w:p>
      <w:pPr>
        <w:spacing w:after="0" w:line="32" w:lineRule="exact"/>
        <w:rPr>
          <w:sz w:val="20"/>
          <w:szCs w:val="20"/>
          <w:color w:val="auto"/>
        </w:rPr>
      </w:pPr>
    </w:p>
    <w:p>
      <w:pPr>
        <w:spacing w:after="0"/>
        <w:tabs>
          <w:tab w:leader="none" w:pos="558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2" w:name="page13"/>
    <w:bookmarkEnd w:id="12"/>
    <w:p>
      <w:pPr>
        <w:spacing w:after="0" w:line="200" w:lineRule="exact"/>
        <w:rPr>
          <w:sz w:val="20"/>
          <w:szCs w:val="20"/>
          <w:color w:val="auto"/>
        </w:rPr>
      </w:pPr>
    </w:p>
    <w:p>
      <w:pPr>
        <w:spacing w:after="0" w:line="205" w:lineRule="exact"/>
        <w:rPr>
          <w:sz w:val="20"/>
          <w:szCs w:val="20"/>
          <w:color w:val="auto"/>
        </w:rPr>
      </w:pPr>
    </w:p>
    <w:p>
      <w:pPr>
        <w:ind w:left="723" w:right="120" w:hanging="358"/>
        <w:spacing w:after="0" w:line="310" w:lineRule="auto"/>
        <w:tabs>
          <w:tab w:leader="none" w:pos="723" w:val="left"/>
        </w:tabs>
        <w:numPr>
          <w:ilvl w:val="0"/>
          <w:numId w:val="28"/>
        </w:numPr>
        <w:rPr>
          <w:rFonts w:ascii="Arial" w:cs="Arial" w:eastAsia="Arial" w:hAnsi="Arial"/>
          <w:sz w:val="15"/>
          <w:szCs w:val="15"/>
          <w:color w:val="auto"/>
        </w:rPr>
      </w:pPr>
      <w:r>
        <w:rPr>
          <w:rFonts w:ascii="Arial" w:cs="Arial" w:eastAsia="Arial" w:hAnsi="Arial"/>
          <w:sz w:val="15"/>
          <w:szCs w:val="15"/>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27" w:lineRule="exact"/>
        <w:rPr>
          <w:rFonts w:ascii="Arial" w:cs="Arial" w:eastAsia="Arial" w:hAnsi="Arial"/>
          <w:sz w:val="15"/>
          <w:szCs w:val="15"/>
          <w:color w:val="auto"/>
        </w:rPr>
      </w:pPr>
    </w:p>
    <w:p>
      <w:pPr>
        <w:ind w:left="723" w:hanging="358"/>
        <w:spacing w:after="0" w:line="298" w:lineRule="auto"/>
        <w:tabs>
          <w:tab w:leader="none" w:pos="723"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194" w:lineRule="exact"/>
        <w:rPr>
          <w:sz w:val="20"/>
          <w:szCs w:val="20"/>
          <w:color w:val="auto"/>
        </w:rPr>
      </w:pPr>
    </w:p>
    <w:p>
      <w:pPr>
        <w:ind w:left="3"/>
        <w:spacing w:after="0"/>
        <w:rPr>
          <w:sz w:val="20"/>
          <w:szCs w:val="20"/>
          <w:color w:val="auto"/>
        </w:rPr>
      </w:pPr>
      <w:r>
        <w:rPr>
          <w:rFonts w:ascii="Arial" w:cs="Arial" w:eastAsia="Arial" w:hAnsi="Arial"/>
          <w:sz w:val="18"/>
          <w:szCs w:val="18"/>
          <w:color w:val="auto"/>
        </w:rPr>
        <w:t>SECTION 3. ASSIGNMENT OF RIGHTS</w:t>
      </w:r>
    </w:p>
    <w:p>
      <w:pPr>
        <w:spacing w:after="0" w:line="90" w:lineRule="exact"/>
        <w:rPr>
          <w:sz w:val="20"/>
          <w:szCs w:val="20"/>
          <w:color w:val="auto"/>
        </w:rPr>
      </w:pPr>
    </w:p>
    <w:p>
      <w:pPr>
        <w:ind w:left="3" w:right="220" w:firstLine="365"/>
        <w:spacing w:after="0" w:line="305" w:lineRule="auto"/>
        <w:rPr>
          <w:sz w:val="20"/>
          <w:szCs w:val="20"/>
          <w:color w:val="auto"/>
        </w:rPr>
      </w:pPr>
      <w:r>
        <w:rPr>
          <w:rFonts w:ascii="Arial" w:cs="Arial" w:eastAsia="Arial" w:hAnsi="Arial"/>
          <w:sz w:val="15"/>
          <w:szCs w:val="15"/>
          <w:color w:val="auto"/>
        </w:rPr>
        <w:t>This bond does not afford coverage in favor of any Employers of temporary personnel or of processors as set forth in sub-sections (6) and</w:t>
      </w:r>
    </w:p>
    <w:p>
      <w:pPr>
        <w:ind w:left="3" w:right="20" w:hanging="3"/>
        <w:spacing w:after="0" w:line="286" w:lineRule="auto"/>
        <w:tabs>
          <w:tab w:leader="none" w:pos="251"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8"/>
          <w:szCs w:val="18"/>
          <w:color w:val="auto"/>
        </w:rPr>
        <w:t>SECTION 4. LOSS -NOTICE -PROOF-LEGAL PROCEEDINGS</w:t>
      </w:r>
    </w:p>
    <w:p>
      <w:pPr>
        <w:spacing w:after="0" w:line="90" w:lineRule="exact"/>
        <w:rPr>
          <w:sz w:val="20"/>
          <w:szCs w:val="20"/>
          <w:color w:val="auto"/>
        </w:rPr>
      </w:pPr>
    </w:p>
    <w:p>
      <w:pPr>
        <w:ind w:left="3" w:right="120" w:firstLine="365"/>
        <w:spacing w:after="0" w:line="268" w:lineRule="auto"/>
        <w:rPr>
          <w:sz w:val="20"/>
          <w:szCs w:val="20"/>
          <w:color w:val="auto"/>
        </w:rPr>
      </w:pPr>
      <w:r>
        <w:rPr>
          <w:rFonts w:ascii="Arial" w:cs="Arial" w:eastAsia="Arial" w:hAnsi="Arial"/>
          <w:sz w:val="18"/>
          <w:szCs w:val="18"/>
          <w:color w:val="auto"/>
        </w:rPr>
        <w:t>This bond is for the use and benefit only of the Insured named in the Declarations and</w:t>
      </w:r>
    </w:p>
    <w:p>
      <w:pPr>
        <w:spacing w:after="0" w:line="200" w:lineRule="exact"/>
        <w:rPr>
          <w:sz w:val="20"/>
          <w:szCs w:val="20"/>
          <w:color w:val="auto"/>
        </w:rPr>
      </w:pPr>
    </w:p>
    <w:p>
      <w:pPr>
        <w:spacing w:after="0" w:line="270" w:lineRule="exact"/>
        <w:rPr>
          <w:sz w:val="20"/>
          <w:szCs w:val="20"/>
          <w:color w:val="auto"/>
        </w:rPr>
      </w:pPr>
    </w:p>
    <w:p>
      <w:pPr>
        <w:ind w:left="3"/>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78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-325120</wp:posOffset>
            </wp:positionV>
            <wp:extent cx="7289165" cy="5336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5336540"/>
                    </a:xfrm>
                    <a:prstGeom prst="rect">
                      <a:avLst/>
                    </a:prstGeom>
                    <a:noFill/>
                  </pic:spPr>
                </pic:pic>
              </a:graphicData>
            </a:graphic>
          </wp:anchor>
        </w:drawing>
      </w:r>
    </w:p>
    <w:p>
      <w:pPr>
        <w:spacing w:after="0" w:line="201" w:lineRule="exact"/>
        <w:rPr>
          <w:sz w:val="20"/>
          <w:szCs w:val="20"/>
          <w:color w:val="auto"/>
        </w:rPr>
      </w:pPr>
    </w:p>
    <w:p>
      <w:pPr>
        <w:ind w:left="40" w:right="140"/>
        <w:spacing w:after="0" w:line="283" w:lineRule="auto"/>
        <w:rPr>
          <w:sz w:val="20"/>
          <w:szCs w:val="20"/>
          <w:color w:val="auto"/>
        </w:rPr>
      </w:pPr>
      <w:r>
        <w:rPr>
          <w:rFonts w:ascii="Arial" w:cs="Arial" w:eastAsia="Arial" w:hAnsi="Arial"/>
          <w:sz w:val="16"/>
          <w:szCs w:val="16"/>
          <w:color w:val="auto"/>
        </w:rPr>
        <w:t>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Discovery occurs when the Insured</w:t>
      </w:r>
    </w:p>
    <w:p>
      <w:pPr>
        <w:spacing w:after="0" w:line="90" w:lineRule="exact"/>
        <w:rPr>
          <w:sz w:val="20"/>
          <w:szCs w:val="20"/>
          <w:color w:val="auto"/>
        </w:rPr>
      </w:pPr>
    </w:p>
    <w:p>
      <w:pPr>
        <w:ind w:left="760" w:hanging="36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90" w:lineRule="exact"/>
        <w:rPr>
          <w:rFonts w:ascii="Arial" w:cs="Arial" w:eastAsia="Arial" w:hAnsi="Arial"/>
          <w:sz w:val="18"/>
          <w:szCs w:val="18"/>
          <w:color w:val="auto"/>
        </w:rPr>
      </w:pPr>
    </w:p>
    <w:p>
      <w:pPr>
        <w:jc w:val="both"/>
        <w:ind w:left="760" w:right="180" w:hanging="364"/>
        <w:spacing w:after="0" w:line="370"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receives written notice of an actual or potential claim by a third party which alleges that the Insured is liable under circumstance</w:t>
      </w:r>
    </w:p>
    <w:p>
      <w:pPr>
        <w:spacing w:after="0" w:line="151"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283" w:space="320"/>
            <w:col w:w="5460"/>
          </w:cols>
          <w:pgMar w:left="437" w:top="469" w:right="399" w:bottom="1440" w:gutter="0" w:footer="0" w:header="0"/>
        </w:sectPr>
      </w:pPr>
    </w:p>
    <w:bookmarkStart w:id="13" w:name="page14"/>
    <w:bookmarkEnd w:id="13"/>
    <w:p>
      <w:pPr>
        <w:spacing w:after="0" w:line="200" w:lineRule="exact"/>
        <w:rPr>
          <w:sz w:val="20"/>
          <w:szCs w:val="20"/>
          <w:color w:val="auto"/>
        </w:rPr>
      </w:pPr>
    </w:p>
    <w:p>
      <w:pPr>
        <w:spacing w:after="0" w:line="2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5. VALUATION OF PROPERTY</w:t>
      </w:r>
    </w:p>
    <w:p>
      <w:pPr>
        <w:spacing w:after="0" w:line="90" w:lineRule="exact"/>
        <w:rPr>
          <w:sz w:val="20"/>
          <w:szCs w:val="20"/>
          <w:color w:val="auto"/>
        </w:rPr>
      </w:pPr>
    </w:p>
    <w:p>
      <w:pPr>
        <w:ind w:right="40" w:firstLine="365"/>
        <w:spacing w:after="0" w:line="285" w:lineRule="auto"/>
        <w:rPr>
          <w:sz w:val="20"/>
          <w:szCs w:val="20"/>
          <w:color w:val="auto"/>
        </w:rPr>
      </w:pPr>
      <w:r>
        <w:rPr>
          <w:rFonts w:ascii="Arial" w:cs="Arial" w:eastAsia="Arial" w:hAnsi="Arial"/>
          <w:sz w:val="16"/>
          <w:szCs w:val="16"/>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126"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6. VALUATION OF PREMISES AND FURNISHINGS</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6056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6056630"/>
                    </a:xfrm>
                    <a:prstGeom prst="rect">
                      <a:avLst/>
                    </a:prstGeom>
                    <a:noFill/>
                  </pic:spPr>
                </pic:pic>
              </a:graphicData>
            </a:graphic>
          </wp:anchor>
        </w:drawing>
      </w:r>
    </w:p>
    <w:p>
      <w:pPr>
        <w:spacing w:after="0" w:line="201" w:lineRule="exact"/>
        <w:rPr>
          <w:sz w:val="20"/>
          <w:szCs w:val="20"/>
          <w:color w:val="auto"/>
        </w:rPr>
      </w:pPr>
    </w:p>
    <w:p>
      <w:pPr>
        <w:ind w:right="140" w:firstLine="365"/>
        <w:spacing w:after="0" w:line="289" w:lineRule="auto"/>
        <w:rPr>
          <w:sz w:val="20"/>
          <w:szCs w:val="20"/>
          <w:color w:val="auto"/>
        </w:rPr>
      </w:pPr>
      <w:r>
        <w:rPr>
          <w:rFonts w:ascii="Arial" w:cs="Arial" w:eastAsia="Arial" w:hAnsi="Arial"/>
          <w:sz w:val="16"/>
          <w:szCs w:val="16"/>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SECTION 7. LOST SECURITIES</w:t>
      </w:r>
    </w:p>
    <w:p>
      <w:pPr>
        <w:spacing w:after="0" w:line="90" w:lineRule="exact"/>
        <w:rPr>
          <w:sz w:val="20"/>
          <w:szCs w:val="20"/>
          <w:color w:val="auto"/>
        </w:rPr>
      </w:pPr>
    </w:p>
    <w:p>
      <w:pPr>
        <w:ind w:right="180" w:firstLine="365"/>
        <w:spacing w:after="0" w:line="255"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143" w:lineRule="exact"/>
        <w:rPr>
          <w:sz w:val="20"/>
          <w:szCs w:val="20"/>
          <w:color w:val="auto"/>
        </w:rPr>
      </w:pPr>
    </w:p>
    <w:p>
      <w:pPr>
        <w:jc w:val="both"/>
        <w:ind w:right="280" w:firstLine="365"/>
        <w:spacing w:after="0" w:line="306" w:lineRule="auto"/>
        <w:rPr>
          <w:sz w:val="20"/>
          <w:szCs w:val="20"/>
          <w:color w:val="auto"/>
        </w:rPr>
      </w:pPr>
      <w:r>
        <w:rPr>
          <w:rFonts w:ascii="Arial" w:cs="Arial" w:eastAsia="Arial" w:hAnsi="Arial"/>
          <w:sz w:val="16"/>
          <w:szCs w:val="16"/>
          <w:color w:val="auto"/>
        </w:rPr>
        <w:t>If the Underwriter shall make payment to the Insured for any loss of securities, the Insured shall thereupon assign to the Underwriter all of the Insured’s rights, title and interests in and to said securities.</w:t>
      </w:r>
    </w:p>
    <w:p>
      <w:pPr>
        <w:spacing w:after="0" w:line="107" w:lineRule="exact"/>
        <w:rPr>
          <w:sz w:val="20"/>
          <w:szCs w:val="20"/>
          <w:color w:val="auto"/>
        </w:rPr>
      </w:pPr>
    </w:p>
    <w:p>
      <w:pPr>
        <w:ind w:right="180" w:firstLine="365"/>
        <w:spacing w:after="0" w:line="289"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spacing w:after="0" w:line="118" w:lineRule="exact"/>
        <w:rPr>
          <w:sz w:val="20"/>
          <w:szCs w:val="20"/>
          <w:color w:val="auto"/>
        </w:rPr>
      </w:pPr>
    </w:p>
    <w:p>
      <w:pPr>
        <w:ind w:right="180" w:firstLine="365"/>
        <w:spacing w:after="0" w:line="288"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w:t>
      </w:r>
    </w:p>
    <w:p>
      <w:pPr>
        <w:spacing w:after="0" w:line="200"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8"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4" w:name="page15"/>
    <w:bookmarkEnd w:id="14"/>
    <w:p>
      <w:pPr>
        <w:spacing w:after="0" w:line="200" w:lineRule="exact"/>
        <w:rPr>
          <w:sz w:val="20"/>
          <w:szCs w:val="20"/>
          <w:color w:val="auto"/>
        </w:rPr>
      </w:pPr>
    </w:p>
    <w:p>
      <w:pPr>
        <w:spacing w:after="0" w:line="20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loss and expense that is not recoverable from the Underwriter under the terms and conditions of this INVESTMENT COMPANY BLANKET BOND subject to the Limit of Liability 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8. SALVAGE</w:t>
      </w:r>
    </w:p>
    <w:p>
      <w:pPr>
        <w:spacing w:after="0" w:line="90" w:lineRule="exact"/>
        <w:rPr>
          <w:sz w:val="20"/>
          <w:szCs w:val="20"/>
          <w:color w:val="auto"/>
        </w:rPr>
      </w:pPr>
    </w:p>
    <w:p>
      <w:pPr>
        <w:ind w:right="80" w:firstLine="365"/>
        <w:spacing w:after="0" w:line="286"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SECTION 9. NON-REDUCTION AND NON- ACCUMULATION OF LIABILITY AND TOTAL LIABILITY</w:t>
      </w:r>
    </w:p>
    <w:p>
      <w:pPr>
        <w:spacing w:after="0" w:line="51" w:lineRule="exact"/>
        <w:rPr>
          <w:sz w:val="20"/>
          <w:szCs w:val="20"/>
          <w:color w:val="auto"/>
        </w:rPr>
      </w:pPr>
    </w:p>
    <w:p>
      <w:pPr>
        <w:ind w:firstLine="365"/>
        <w:spacing w:after="0" w:line="253" w:lineRule="auto"/>
        <w:rPr>
          <w:sz w:val="20"/>
          <w:szCs w:val="20"/>
          <w:color w:val="auto"/>
        </w:rPr>
      </w:pPr>
      <w:r>
        <w:rPr>
          <w:rFonts w:ascii="Arial" w:cs="Arial" w:eastAsia="Arial" w:hAnsi="Arial"/>
          <w:sz w:val="18"/>
          <w:szCs w:val="18"/>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spacing w:after="0" w:line="64" w:lineRule="exact"/>
        <w:rPr>
          <w:sz w:val="20"/>
          <w:szCs w:val="20"/>
          <w:color w:val="auto"/>
        </w:rPr>
      </w:pPr>
    </w:p>
    <w:p>
      <w:pPr>
        <w:ind w:left="720" w:right="60" w:hanging="358"/>
        <w:spacing w:after="0" w:line="259"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59" w:lineRule="exact"/>
        <w:rPr>
          <w:rFonts w:ascii="Arial" w:cs="Arial" w:eastAsia="Arial" w:hAnsi="Arial"/>
          <w:sz w:val="18"/>
          <w:szCs w:val="18"/>
          <w:color w:val="auto"/>
        </w:rPr>
      </w:pPr>
    </w:p>
    <w:p>
      <w:pPr>
        <w:ind w:left="720" w:right="340" w:hanging="358"/>
        <w:spacing w:after="0" w:line="26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one unintentional or negligent act on the part of any one person resulting in damage to or destruction</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645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5645150"/>
                    </a:xfrm>
                    <a:prstGeom prst="rect">
                      <a:avLst/>
                    </a:prstGeom>
                    <a:noFill/>
                  </pic:spPr>
                </pic:pic>
              </a:graphicData>
            </a:graphic>
          </wp:anchor>
        </w:drawing>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or misplacement of Property, shall be deemed to be one loss, or</w:t>
      </w:r>
    </w:p>
    <w:p>
      <w:pPr>
        <w:spacing w:after="0" w:line="113" w:lineRule="exact"/>
        <w:rPr>
          <w:sz w:val="20"/>
          <w:szCs w:val="20"/>
          <w:color w:val="auto"/>
        </w:rPr>
      </w:pPr>
    </w:p>
    <w:p>
      <w:pPr>
        <w:ind w:left="720" w:right="220" w:hanging="364"/>
        <w:spacing w:after="0" w:line="332"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any one person shall be deemed to be one loss, or</w:t>
      </w:r>
    </w:p>
    <w:p>
      <w:pPr>
        <w:spacing w:after="0" w:line="4" w:lineRule="exact"/>
        <w:rPr>
          <w:rFonts w:ascii="Arial" w:cs="Arial" w:eastAsia="Arial" w:hAnsi="Arial"/>
          <w:sz w:val="16"/>
          <w:szCs w:val="16"/>
          <w:color w:val="auto"/>
        </w:rPr>
      </w:pPr>
    </w:p>
    <w:p>
      <w:pPr>
        <w:ind w:left="720" w:right="160" w:hanging="364"/>
        <w:spacing w:after="0" w:line="288" w:lineRule="auto"/>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38" w:lineRule="exact"/>
        <w:rPr>
          <w:rFonts w:ascii="Arial" w:cs="Arial" w:eastAsia="Arial" w:hAnsi="Arial"/>
          <w:sz w:val="16"/>
          <w:szCs w:val="16"/>
          <w:color w:val="auto"/>
        </w:rPr>
      </w:pPr>
    </w:p>
    <w:p>
      <w:pPr>
        <w:ind w:left="720" w:hanging="364"/>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one casualty or event other than those specified in (a), (b),</w:t>
      </w:r>
    </w:p>
    <w:p>
      <w:pPr>
        <w:spacing w:after="0" w:line="38"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8"/>
          <w:szCs w:val="18"/>
          <w:color w:val="auto"/>
        </w:rPr>
        <w:t>(c) or (d) preceding, shall be deemed to be one loss, and</w:t>
      </w:r>
    </w:p>
    <w:p>
      <w:pPr>
        <w:spacing w:after="0" w:line="16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43" w:lineRule="exact"/>
        <w:rPr>
          <w:sz w:val="20"/>
          <w:szCs w:val="20"/>
          <w:color w:val="auto"/>
        </w:rPr>
      </w:pPr>
    </w:p>
    <w:p>
      <w:pPr>
        <w:ind w:right="760" w:firstLine="365"/>
        <w:spacing w:after="0" w:line="268"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SECTION 10. LIMIT OF LIABILITY</w:t>
      </w:r>
    </w:p>
    <w:p>
      <w:pPr>
        <w:spacing w:after="0" w:line="90" w:lineRule="exact"/>
        <w:rPr>
          <w:sz w:val="20"/>
          <w:szCs w:val="20"/>
          <w:color w:val="auto"/>
        </w:rPr>
      </w:pPr>
    </w:p>
    <w:p>
      <w:pPr>
        <w:ind w:right="120" w:firstLine="365"/>
        <w:spacing w:after="0" w:line="289" w:lineRule="auto"/>
        <w:rPr>
          <w:sz w:val="20"/>
          <w:szCs w:val="20"/>
          <w:color w:val="auto"/>
        </w:rPr>
      </w:pPr>
      <w:r>
        <w:rPr>
          <w:rFonts w:ascii="Arial" w:cs="Arial" w:eastAsia="Arial" w:hAnsi="Arial"/>
          <w:sz w:val="16"/>
          <w:szCs w:val="16"/>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 bonds or policies shall not exceed, in the aggregate, the amount carried hereunder on</w:t>
      </w:r>
    </w:p>
    <w:p>
      <w:pPr>
        <w:spacing w:after="0" w:line="537"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1"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5" w:name="page16"/>
    <w:bookmarkEnd w:id="15"/>
    <w:p>
      <w:pPr>
        <w:spacing w:after="0" w:line="200" w:lineRule="exact"/>
        <w:rPr>
          <w:sz w:val="20"/>
          <w:szCs w:val="20"/>
          <w:color w:val="auto"/>
        </w:rPr>
      </w:pPr>
    </w:p>
    <w:p>
      <w:pPr>
        <w:spacing w:after="0" w:line="2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such loss or the amount available to the Insured under such other bonds or policies, as limited by the terms and conditions thereof, for any such loss if the latter amount be the larger.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11. OTHER INSURANCE</w:t>
      </w:r>
    </w:p>
    <w:p>
      <w:pPr>
        <w:spacing w:after="0" w:line="90" w:lineRule="exact"/>
        <w:rPr>
          <w:sz w:val="20"/>
          <w:szCs w:val="20"/>
          <w:color w:val="auto"/>
        </w:rPr>
      </w:pPr>
    </w:p>
    <w:p>
      <w:pPr>
        <w:ind w:right="60" w:firstLine="365"/>
        <w:spacing w:after="0" w:line="254" w:lineRule="auto"/>
        <w:rPr>
          <w:sz w:val="20"/>
          <w:szCs w:val="20"/>
          <w:color w:val="auto"/>
        </w:rPr>
      </w:pPr>
      <w:r>
        <w:rPr>
          <w:rFonts w:ascii="Arial" w:cs="Arial" w:eastAsia="Arial" w:hAnsi="Arial"/>
          <w:sz w:val="18"/>
          <w:szCs w:val="18"/>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 DEDUCTIBLE</w:t>
      </w:r>
    </w:p>
    <w:p>
      <w:pPr>
        <w:spacing w:after="0" w:line="90"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340" w:lineRule="exact"/>
        <w:rPr>
          <w:sz w:val="20"/>
          <w:szCs w:val="20"/>
          <w:color w:val="auto"/>
        </w:rPr>
      </w:pPr>
    </w:p>
    <w:p>
      <w:pPr>
        <w:ind w:right="680" w:firstLine="365"/>
        <w:spacing w:after="0" w:line="332" w:lineRule="auto"/>
        <w:rPr>
          <w:sz w:val="20"/>
          <w:szCs w:val="20"/>
          <w:color w:val="auto"/>
        </w:rPr>
      </w:pPr>
      <w:r>
        <w:rPr>
          <w:rFonts w:ascii="Arial" w:cs="Arial" w:eastAsia="Arial" w:hAnsi="Arial"/>
          <w:sz w:val="16"/>
          <w:szCs w:val="16"/>
          <w:color w:val="auto"/>
        </w:rPr>
        <w:t>The Insured will bear, in addition to the Deductible Amount, premiums on Lost Instrument Bonds as set forth in Section 7.</w:t>
      </w:r>
    </w:p>
    <w:p>
      <w:pPr>
        <w:spacing w:after="0" w:line="85" w:lineRule="exact"/>
        <w:rPr>
          <w:sz w:val="20"/>
          <w:szCs w:val="20"/>
          <w:color w:val="auto"/>
        </w:rPr>
      </w:pPr>
    </w:p>
    <w:p>
      <w:pPr>
        <w:jc w:val="both"/>
        <w:ind w:right="320" w:firstLine="365"/>
        <w:spacing w:after="0" w:line="259"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SECTION 13. TERMINATION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ind w:left="482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-325120</wp:posOffset>
            </wp:positionV>
            <wp:extent cx="7289165" cy="5765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765165"/>
                    </a:xfrm>
                    <a:prstGeom prst="rect">
                      <a:avLst/>
                    </a:prstGeom>
                    <a:noFill/>
                  </pic:spPr>
                </pic:pic>
              </a:graphicData>
            </a:graphic>
          </wp:anchor>
        </w:drawing>
      </w:r>
    </w:p>
    <w:p>
      <w:pPr>
        <w:spacing w:after="0" w:line="201" w:lineRule="exact"/>
        <w:rPr>
          <w:sz w:val="20"/>
          <w:szCs w:val="20"/>
          <w:color w:val="auto"/>
        </w:rPr>
      </w:pPr>
    </w:p>
    <w:p>
      <w:pPr>
        <w:ind w:left="80" w:right="120" w:firstLine="365"/>
        <w:spacing w:after="0" w:line="286" w:lineRule="auto"/>
        <w:rPr>
          <w:sz w:val="20"/>
          <w:szCs w:val="20"/>
          <w:color w:val="auto"/>
        </w:rPr>
      </w:pPr>
      <w:r>
        <w:rPr>
          <w:rFonts w:ascii="Arial" w:cs="Arial" w:eastAsia="Arial" w:hAnsi="Arial"/>
          <w:sz w:val="16"/>
          <w:szCs w:val="16"/>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21" w:lineRule="exact"/>
        <w:rPr>
          <w:sz w:val="20"/>
          <w:szCs w:val="20"/>
          <w:color w:val="auto"/>
        </w:rPr>
      </w:pPr>
    </w:p>
    <w:p>
      <w:pPr>
        <w:ind w:left="80" w:right="240" w:firstLine="365"/>
        <w:spacing w:after="0" w:line="290" w:lineRule="auto"/>
        <w:rPr>
          <w:sz w:val="20"/>
          <w:szCs w:val="20"/>
          <w:color w:val="auto"/>
        </w:rPr>
      </w:pPr>
      <w:r>
        <w:rPr>
          <w:rFonts w:ascii="Arial" w:cs="Arial" w:eastAsia="Arial" w:hAnsi="Arial"/>
          <w:sz w:val="16"/>
          <w:szCs w:val="16"/>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118" w:lineRule="exact"/>
        <w:rPr>
          <w:sz w:val="20"/>
          <w:szCs w:val="20"/>
          <w:color w:val="auto"/>
        </w:rPr>
      </w:pPr>
    </w:p>
    <w:p>
      <w:pPr>
        <w:ind w:left="80" w:right="240" w:firstLine="365"/>
        <w:spacing w:after="0" w:line="306" w:lineRule="auto"/>
        <w:rPr>
          <w:sz w:val="20"/>
          <w:szCs w:val="20"/>
          <w:color w:val="auto"/>
        </w:rPr>
      </w:pPr>
      <w:r>
        <w:rPr>
          <w:rFonts w:ascii="Arial" w:cs="Arial" w:eastAsia="Arial" w:hAnsi="Arial"/>
          <w:sz w:val="16"/>
          <w:szCs w:val="16"/>
          <w:color w:val="auto"/>
        </w:rPr>
        <w:t>The Underwriter shall refund the unearned premium computed at short rates in accordance with the standard short rate cancellation tables if terminated by the Insured or pro rata if terminated for any other reason.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Bond shall terminate</w:t>
      </w:r>
    </w:p>
    <w:p>
      <w:pPr>
        <w:spacing w:after="0" w:line="90" w:lineRule="exact"/>
        <w:rPr>
          <w:sz w:val="20"/>
          <w:szCs w:val="20"/>
          <w:color w:val="auto"/>
        </w:rPr>
      </w:pPr>
    </w:p>
    <w:p>
      <w:pPr>
        <w:ind w:left="800" w:right="120" w:hanging="364"/>
        <w:spacing w:after="0" w:line="291"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39" w:lineRule="exact"/>
        <w:rPr>
          <w:rFonts w:ascii="Arial" w:cs="Arial" w:eastAsia="Arial" w:hAnsi="Arial"/>
          <w:sz w:val="16"/>
          <w:szCs w:val="16"/>
          <w:color w:val="auto"/>
        </w:rPr>
      </w:pPr>
    </w:p>
    <w:p>
      <w:pPr>
        <w:ind w:left="800" w:right="180" w:hanging="364"/>
        <w:spacing w:after="0" w:line="268"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w:t>
      </w:r>
    </w:p>
    <w:p>
      <w:pPr>
        <w:spacing w:after="0" w:line="275" w:lineRule="exact"/>
        <w:rPr>
          <w:sz w:val="20"/>
          <w:szCs w:val="20"/>
          <w:color w:val="auto"/>
        </w:rPr>
      </w:pPr>
    </w:p>
    <w:p>
      <w:pPr>
        <w:spacing w:after="0"/>
        <w:tabs>
          <w:tab w:leader="none" w:pos="34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300" w:space="260"/>
            <w:col w:w="5500"/>
          </w:cols>
          <w:pgMar w:left="440" w:top="469" w:right="399" w:bottom="1440" w:gutter="0" w:footer="0" w:header="0"/>
        </w:sectPr>
      </w:pPr>
    </w:p>
    <w:bookmarkStart w:id="16" w:name="page17"/>
    <w:bookmarkEnd w:id="16"/>
    <w:p>
      <w:pPr>
        <w:spacing w:after="0" w:line="200" w:lineRule="exact"/>
        <w:rPr>
          <w:sz w:val="20"/>
          <w:szCs w:val="20"/>
          <w:color w:val="auto"/>
        </w:rPr>
      </w:pPr>
    </w:p>
    <w:p>
      <w:pPr>
        <w:spacing w:after="0" w:line="205" w:lineRule="exact"/>
        <w:rPr>
          <w:sz w:val="20"/>
          <w:szCs w:val="20"/>
          <w:color w:val="auto"/>
        </w:rPr>
      </w:pPr>
    </w:p>
    <w:p>
      <w:pPr>
        <w:jc w:val="both"/>
        <w:ind w:left="720" w:right="160"/>
        <w:spacing w:after="0" w:line="259" w:lineRule="auto"/>
        <w:rPr>
          <w:sz w:val="20"/>
          <w:szCs w:val="20"/>
          <w:color w:val="auto"/>
        </w:rPr>
      </w:pPr>
      <w:r>
        <w:rPr>
          <w:rFonts w:ascii="Arial" w:cs="Arial" w:eastAsia="Arial" w:hAnsi="Arial"/>
          <w:sz w:val="18"/>
          <w:szCs w:val="18"/>
          <w:color w:val="auto"/>
        </w:rPr>
        <w:t>Securities and Exchange Commission of a written notice from the Underwriter of its desire to terminate this bond as to such Employee, or</w:t>
      </w:r>
    </w:p>
    <w:p>
      <w:pPr>
        <w:spacing w:after="0" w:line="59" w:lineRule="exact"/>
        <w:rPr>
          <w:sz w:val="20"/>
          <w:szCs w:val="20"/>
          <w:color w:val="auto"/>
        </w:rPr>
      </w:pPr>
    </w:p>
    <w:p>
      <w:pPr>
        <w:ind w:left="720" w:right="200" w:hanging="358"/>
        <w:spacing w:after="0" w:line="310" w:lineRule="auto"/>
        <w:tabs>
          <w:tab w:leader="none" w:pos="7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SECTION 14. RIGHTS AFTER TERMINATION OR CANCELLATION</w:t>
      </w:r>
    </w:p>
    <w:p>
      <w:pPr>
        <w:spacing w:after="0" w:line="113" w:lineRule="exact"/>
        <w:rPr>
          <w:sz w:val="20"/>
          <w:szCs w:val="20"/>
          <w:color w:val="auto"/>
        </w:rPr>
      </w:pPr>
    </w:p>
    <w:p>
      <w:pPr>
        <w:ind w:firstLine="365"/>
        <w:spacing w:after="0" w:line="291" w:lineRule="auto"/>
        <w:rPr>
          <w:sz w:val="20"/>
          <w:szCs w:val="20"/>
          <w:color w:val="auto"/>
        </w:rPr>
      </w:pPr>
      <w:r>
        <w:rPr>
          <w:rFonts w:ascii="Arial" w:cs="Arial" w:eastAsia="Arial" w:hAnsi="Arial"/>
          <w:sz w:val="16"/>
          <w:szCs w:val="16"/>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120" w:lineRule="exact"/>
        <w:rPr>
          <w:sz w:val="20"/>
          <w:szCs w:val="20"/>
          <w:color w:val="auto"/>
        </w:rPr>
      </w:pPr>
    </w:p>
    <w:p>
      <w:pPr>
        <w:jc w:val="both"/>
        <w:ind w:right="160" w:firstLine="365"/>
        <w:spacing w:after="0" w:line="306" w:lineRule="auto"/>
        <w:rPr>
          <w:sz w:val="20"/>
          <w:szCs w:val="20"/>
          <w:color w:val="auto"/>
        </w:rPr>
      </w:pPr>
      <w:r>
        <w:rPr>
          <w:rFonts w:ascii="Arial" w:cs="Arial" w:eastAsia="Arial" w:hAnsi="Arial"/>
          <w:sz w:val="16"/>
          <w:szCs w:val="16"/>
          <w:color w:val="auto"/>
        </w:rPr>
        <w:t>Upon receipt of such notice from the Insured, the Underwriter shall give its written consent thereto; provided, however, that such additional period of time shall terminate immediately;</w:t>
      </w:r>
    </w:p>
    <w:p>
      <w:pPr>
        <w:spacing w:after="0" w:line="26" w:lineRule="exact"/>
        <w:rPr>
          <w:sz w:val="20"/>
          <w:szCs w:val="20"/>
          <w:color w:val="auto"/>
        </w:rPr>
      </w:pPr>
    </w:p>
    <w:p>
      <w:pPr>
        <w:ind w:left="720" w:right="20" w:hanging="358"/>
        <w:spacing w:after="0" w:line="255"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61" w:lineRule="exact"/>
        <w:rPr>
          <w:rFonts w:ascii="Arial" w:cs="Arial" w:eastAsia="Arial" w:hAnsi="Arial"/>
          <w:sz w:val="18"/>
          <w:szCs w:val="18"/>
          <w:color w:val="auto"/>
        </w:rPr>
      </w:pPr>
    </w:p>
    <w:p>
      <w:pPr>
        <w:ind w:left="720" w:right="80" w:hanging="358"/>
        <w:spacing w:after="0" w:line="259"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20" w:lineRule="exact"/>
        <w:rPr>
          <w:sz w:val="20"/>
          <w:szCs w:val="20"/>
          <w:color w:val="auto"/>
        </w:rPr>
      </w:pPr>
      <w:r>
        <w:rPr>
          <w:sz w:val="20"/>
          <w:szCs w:val="20"/>
          <w:color w:val="auto"/>
        </w:rPr>
        <w:br w:type="column"/>
      </w:r>
    </w:p>
    <w:p>
      <w:pPr>
        <w:ind w:left="4740"/>
        <w:spacing w:after="0"/>
        <w:rPr>
          <w:sz w:val="20"/>
          <w:szCs w:val="20"/>
          <w:color w:val="auto"/>
        </w:rPr>
      </w:pPr>
      <w:r>
        <w:rPr>
          <w:rFonts w:ascii="Arial" w:cs="Arial" w:eastAsia="Arial" w:hAnsi="Arial"/>
          <w:sz w:val="16"/>
          <w:szCs w:val="16"/>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-325120</wp:posOffset>
            </wp:positionV>
            <wp:extent cx="7289165" cy="57823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782310"/>
                    </a:xfrm>
                    <a:prstGeom prst="rect">
                      <a:avLst/>
                    </a:prstGeom>
                    <a:noFill/>
                  </pic:spPr>
                </pic:pic>
              </a:graphicData>
            </a:graphic>
          </wp:anchor>
        </w:drawing>
      </w:r>
    </w:p>
    <w:p>
      <w:pPr>
        <w:spacing w:after="0" w:line="20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without the necessity of the Underwriter giving notice of such termination. In the event that such additional period of time is terminated, as provided above, the Underwriter shall refund any unearned premium.</w:t>
      </w:r>
    </w:p>
    <w:p>
      <w:pPr>
        <w:spacing w:after="0" w:line="107" w:lineRule="exact"/>
        <w:rPr>
          <w:sz w:val="20"/>
          <w:szCs w:val="20"/>
          <w:color w:val="auto"/>
        </w:rPr>
      </w:pPr>
    </w:p>
    <w:p>
      <w:pPr>
        <w:ind w:right="220" w:firstLine="365"/>
        <w:spacing w:after="0" w:line="255"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SECTION 15. CENTRAL HANDLING OF SECURITIES</w:t>
      </w:r>
    </w:p>
    <w:p>
      <w:pPr>
        <w:spacing w:after="0" w:line="90" w:lineRule="exact"/>
        <w:rPr>
          <w:sz w:val="20"/>
          <w:szCs w:val="20"/>
          <w:color w:val="auto"/>
        </w:rPr>
      </w:pPr>
    </w:p>
    <w:p>
      <w:pPr>
        <w:ind w:right="240" w:firstLine="365"/>
        <w:spacing w:after="0" w:line="290" w:lineRule="auto"/>
        <w:rPr>
          <w:sz w:val="20"/>
          <w:szCs w:val="20"/>
          <w:color w:val="auto"/>
        </w:rPr>
      </w:pPr>
      <w:r>
        <w:rPr>
          <w:rFonts w:ascii="Arial" w:cs="Arial" w:eastAsia="Arial" w:hAnsi="Arial"/>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18" w:lineRule="exact"/>
        <w:rPr>
          <w:sz w:val="20"/>
          <w:szCs w:val="20"/>
          <w:color w:val="auto"/>
        </w:rPr>
      </w:pPr>
    </w:p>
    <w:p>
      <w:pPr>
        <w:ind w:right="140" w:firstLine="365"/>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 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21" w:lineRule="exact"/>
        <w:rPr>
          <w:sz w:val="20"/>
          <w:szCs w:val="20"/>
          <w:color w:val="auto"/>
        </w:rPr>
      </w:pPr>
    </w:p>
    <w:p>
      <w:pPr>
        <w:jc w:val="both"/>
        <w:ind w:right="540" w:firstLine="365"/>
        <w:spacing w:after="0" w:line="259" w:lineRule="auto"/>
        <w:rPr>
          <w:sz w:val="20"/>
          <w:szCs w:val="20"/>
          <w:color w:val="auto"/>
        </w:rPr>
      </w:pPr>
      <w:r>
        <w:rPr>
          <w:rFonts w:ascii="Arial" w:cs="Arial" w:eastAsia="Arial" w:hAnsi="Arial"/>
          <w:sz w:val="18"/>
          <w:szCs w:val="18"/>
          <w:color w:val="auto"/>
        </w:rPr>
        <w:t>The Underwriter shall not be liable on account of any loss(es) in connection with the central handling of securities within the systems established and maintained by such</w:t>
      </w:r>
    </w:p>
    <w:p>
      <w:pPr>
        <w:spacing w:after="0" w:line="200" w:lineRule="exact"/>
        <w:rPr>
          <w:sz w:val="20"/>
          <w:szCs w:val="20"/>
          <w:color w:val="auto"/>
        </w:rPr>
      </w:pPr>
    </w:p>
    <w:p>
      <w:pPr>
        <w:sectPr>
          <w:pgSz w:w="11900" w:h="16838" w:orient="portrait"/>
          <w:cols w:equalWidth="0" w:num="2">
            <w:col w:w="5260" w:space="380"/>
            <w:col w:w="5420"/>
          </w:cols>
          <w:pgMar w:left="440" w:top="469" w:right="399" w:bottom="1440" w:gutter="0" w:footer="0" w:header="0"/>
        </w:sectPr>
      </w:pPr>
    </w:p>
    <w:p>
      <w:pPr>
        <w:spacing w:after="0" w:line="29"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7" w:name="page18"/>
    <w:bookmarkEnd w:id="17"/>
    <w:p>
      <w:pPr>
        <w:spacing w:after="0" w:line="200" w:lineRule="exact"/>
        <w:rPr>
          <w:sz w:val="20"/>
          <w:szCs w:val="20"/>
          <w:color w:val="auto"/>
        </w:rPr>
      </w:pPr>
    </w:p>
    <w:p>
      <w:pPr>
        <w:spacing w:after="0" w:line="2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44" w:lineRule="exact"/>
        <w:rPr>
          <w:sz w:val="20"/>
          <w:szCs w:val="20"/>
          <w:color w:val="auto"/>
        </w:rPr>
      </w:pPr>
    </w:p>
    <w:p>
      <w:pPr>
        <w:ind w:firstLine="365"/>
        <w:spacing w:after="0" w:line="285"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124"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SECTION 16. ADDITIONAL COMPANIES INCLUDED AS INSURED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41206 (9/84)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-339725</wp:posOffset>
            </wp:positionV>
            <wp:extent cx="7289165" cy="5765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5765165"/>
                    </a:xfrm>
                    <a:prstGeom prst="rect">
                      <a:avLst/>
                    </a:prstGeom>
                    <a:noFill/>
                  </pic:spPr>
                </pic:pic>
              </a:graphicData>
            </a:graphic>
          </wp:anchor>
        </w:drawing>
      </w:r>
    </w:p>
    <w:p>
      <w:pPr>
        <w:spacing w:after="0" w:line="178" w:lineRule="exact"/>
        <w:rPr>
          <w:sz w:val="20"/>
          <w:szCs w:val="20"/>
          <w:color w:val="auto"/>
        </w:rPr>
      </w:pPr>
    </w:p>
    <w:p>
      <w:pPr>
        <w:ind w:left="80" w:right="760" w:firstLine="365"/>
        <w:spacing w:after="0" w:line="332" w:lineRule="auto"/>
        <w:rPr>
          <w:sz w:val="20"/>
          <w:szCs w:val="20"/>
          <w:color w:val="auto"/>
        </w:rPr>
      </w:pPr>
      <w:r>
        <w:rPr>
          <w:rFonts w:ascii="Arial" w:cs="Arial" w:eastAsia="Arial" w:hAnsi="Arial"/>
          <w:sz w:val="16"/>
          <w:szCs w:val="16"/>
          <w:color w:val="auto"/>
        </w:rPr>
        <w:t>If more than one corporation, co-partnership or person or any combination of them be included as the Insured herein:</w:t>
      </w:r>
    </w:p>
    <w:p>
      <w:pPr>
        <w:spacing w:after="0" w:line="4" w:lineRule="exact"/>
        <w:rPr>
          <w:sz w:val="20"/>
          <w:szCs w:val="20"/>
          <w:color w:val="auto"/>
        </w:rPr>
      </w:pPr>
    </w:p>
    <w:p>
      <w:pPr>
        <w:jc w:val="both"/>
        <w:ind w:left="800" w:right="200" w:hanging="364"/>
        <w:spacing w:after="0" w:line="298" w:lineRule="auto"/>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31" w:lineRule="exact"/>
        <w:rPr>
          <w:rFonts w:ascii="Arial" w:cs="Arial" w:eastAsia="Arial" w:hAnsi="Arial"/>
          <w:sz w:val="16"/>
          <w:szCs w:val="16"/>
          <w:color w:val="auto"/>
        </w:rPr>
      </w:pPr>
    </w:p>
    <w:p>
      <w:pPr>
        <w:ind w:left="800" w:right="140" w:hanging="364"/>
        <w:spacing w:after="0" w:line="288" w:lineRule="auto"/>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38" w:lineRule="exact"/>
        <w:rPr>
          <w:rFonts w:ascii="Arial" w:cs="Arial" w:eastAsia="Arial" w:hAnsi="Arial"/>
          <w:sz w:val="16"/>
          <w:szCs w:val="16"/>
          <w:color w:val="auto"/>
        </w:rPr>
      </w:pPr>
    </w:p>
    <w:p>
      <w:pPr>
        <w:ind w:left="800" w:right="260" w:hanging="364"/>
        <w:spacing w:after="0" w:line="259"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59" w:lineRule="exact"/>
        <w:rPr>
          <w:rFonts w:ascii="Arial" w:cs="Arial" w:eastAsia="Arial" w:hAnsi="Arial"/>
          <w:sz w:val="18"/>
          <w:szCs w:val="18"/>
          <w:color w:val="auto"/>
        </w:rPr>
      </w:pPr>
    </w:p>
    <w:p>
      <w:pPr>
        <w:ind w:left="800" w:right="140" w:hanging="364"/>
        <w:spacing w:after="0" w:line="25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62" w:lineRule="exact"/>
        <w:rPr>
          <w:rFonts w:ascii="Arial" w:cs="Arial" w:eastAsia="Arial" w:hAnsi="Arial"/>
          <w:sz w:val="18"/>
          <w:szCs w:val="18"/>
          <w:color w:val="auto"/>
        </w:rPr>
      </w:pPr>
    </w:p>
    <w:p>
      <w:pPr>
        <w:ind w:left="800" w:right="220" w:hanging="364"/>
        <w:spacing w:after="0" w:line="25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SECTION 17. NOTICE AND CHANGE OF CONTROL</w:t>
      </w:r>
    </w:p>
    <w:p>
      <w:pPr>
        <w:spacing w:after="0" w:line="90" w:lineRule="exact"/>
        <w:rPr>
          <w:sz w:val="20"/>
          <w:szCs w:val="20"/>
          <w:color w:val="auto"/>
        </w:rPr>
      </w:pPr>
    </w:p>
    <w:p>
      <w:pPr>
        <w:ind w:left="80" w:right="920" w:firstLine="365"/>
        <w:spacing w:after="0" w:line="268" w:lineRule="auto"/>
        <w:rPr>
          <w:sz w:val="20"/>
          <w:szCs w:val="20"/>
          <w:color w:val="auto"/>
        </w:rPr>
      </w:pPr>
      <w:r>
        <w:rPr>
          <w:rFonts w:ascii="Arial" w:cs="Arial" w:eastAsia="Arial" w:hAnsi="Arial"/>
          <w:sz w:val="18"/>
          <w:szCs w:val="18"/>
          <w:color w:val="auto"/>
        </w:rPr>
        <w:t>Upon the Insured’s obtaining knowledge of a transfer of its 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4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COPY</w:t>
      </w:r>
    </w:p>
    <w:p>
      <w:pPr>
        <w:sectPr>
          <w:pgSz w:w="11900" w:h="16838" w:orient="portrait"/>
          <w:cols w:equalWidth="0" w:num="2">
            <w:col w:w="5300" w:space="260"/>
            <w:col w:w="5500"/>
          </w:cols>
          <w:pgMar w:left="440" w:top="469" w:right="399" w:bottom="1440" w:gutter="0" w:footer="0" w:header="0"/>
        </w:sectPr>
      </w:pPr>
    </w:p>
    <w:bookmarkStart w:id="18" w:name="page19"/>
    <w:bookmarkEnd w:id="18"/>
    <w:p>
      <w:pPr>
        <w:spacing w:after="0" w:line="200" w:lineRule="exact"/>
        <w:rPr>
          <w:sz w:val="20"/>
          <w:szCs w:val="20"/>
          <w:color w:val="auto"/>
        </w:rPr>
      </w:pPr>
    </w:p>
    <w:p>
      <w:pPr>
        <w:spacing w:after="0" w:line="20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which results in a change in control (as set forth in Section 2(a) (9) of the Investment Company Act of 1940) of the Insured, the Insured shall within thirty (30) days of such knowledge give written notice to the Underwriter setting forth:</w:t>
      </w:r>
    </w:p>
    <w:p>
      <w:pPr>
        <w:spacing w:after="0" w:line="62" w:lineRule="exact"/>
        <w:rPr>
          <w:sz w:val="20"/>
          <w:szCs w:val="20"/>
          <w:color w:val="auto"/>
        </w:rPr>
      </w:pPr>
    </w:p>
    <w:p>
      <w:pPr>
        <w:ind w:left="720" w:hanging="358"/>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59" w:lineRule="exact"/>
        <w:rPr>
          <w:rFonts w:ascii="Arial" w:cs="Arial" w:eastAsia="Arial" w:hAnsi="Arial"/>
          <w:sz w:val="18"/>
          <w:szCs w:val="18"/>
          <w:color w:val="auto"/>
        </w:rPr>
      </w:pPr>
    </w:p>
    <w:p>
      <w:pPr>
        <w:ind w:left="720" w:right="80" w:hanging="358"/>
        <w:spacing w:after="0" w:line="306"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total number of voting securities owned by the transferors and the transferees (or the beneficial owners), both immediately before and after the transfer, and</w:t>
      </w:r>
    </w:p>
    <w:p>
      <w:pPr>
        <w:spacing w:after="0" w:line="25" w:lineRule="exact"/>
        <w:rPr>
          <w:rFonts w:ascii="Arial" w:cs="Arial" w:eastAsia="Arial" w:hAnsi="Arial"/>
          <w:sz w:val="16"/>
          <w:szCs w:val="16"/>
          <w:color w:val="auto"/>
        </w:rPr>
      </w:pPr>
    </w:p>
    <w:p>
      <w:pPr>
        <w:ind w:left="720" w:hanging="358"/>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71" w:lineRule="exact"/>
        <w:rPr>
          <w:sz w:val="20"/>
          <w:szCs w:val="20"/>
          <w:color w:val="auto"/>
        </w:rPr>
      </w:pPr>
    </w:p>
    <w:p>
      <w:pPr>
        <w:ind w:right="440" w:firstLine="365"/>
        <w:spacing w:after="0" w:line="332" w:lineRule="auto"/>
        <w:rPr>
          <w:sz w:val="20"/>
          <w:szCs w:val="20"/>
          <w:color w:val="auto"/>
        </w:rPr>
      </w:pPr>
      <w:r>
        <w:rPr>
          <w:rFonts w:ascii="Arial" w:cs="Arial" w:eastAsia="Arial" w:hAnsi="Arial"/>
          <w:sz w:val="16"/>
          <w:szCs w:val="16"/>
          <w:color w:val="auto"/>
        </w:rPr>
        <w:t>As used in this section, control means the power to exercise a controlling influence over the management or policies of the Insured.</w:t>
      </w:r>
    </w:p>
    <w:p>
      <w:pPr>
        <w:spacing w:after="0" w:line="85"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Failure to give the required notice shall result in termination of coverage of this bond, effective upon the date of stock transfer for any loss in which any transferee is concerned or implicated.</w:t>
      </w:r>
    </w:p>
    <w:p>
      <w:pPr>
        <w:spacing w:after="0" w:line="140"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-339725</wp:posOffset>
            </wp:positionV>
            <wp:extent cx="7289165" cy="57905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79056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18. CHANGE OR MODIFICATION</w:t>
      </w:r>
    </w:p>
    <w:p>
      <w:pPr>
        <w:spacing w:after="0" w:line="90" w:lineRule="exact"/>
        <w:rPr>
          <w:sz w:val="20"/>
          <w:szCs w:val="20"/>
          <w:color w:val="auto"/>
        </w:rPr>
      </w:pPr>
    </w:p>
    <w:p>
      <w:pPr>
        <w:ind w:right="120" w:firstLine="365"/>
        <w:spacing w:after="0" w:line="286"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w:t>
      </w:r>
    </w:p>
    <w:p>
      <w:pPr>
        <w:spacing w:after="0" w:line="1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effective date of any change or modification which would adversely affect the rights of such Investment Company.</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740" w:lineRule="exact"/>
        <w:rPr>
          <w:sz w:val="20"/>
          <w:szCs w:val="20"/>
          <w:color w:val="auto"/>
        </w:rPr>
      </w:pPr>
    </w:p>
    <w:p>
      <w:pPr>
        <w:sectPr>
          <w:pgSz w:w="11900" w:h="16838" w:orient="portrait"/>
          <w:cols w:equalWidth="0" w:num="2">
            <w:col w:w="5300" w:space="340"/>
            <w:col w:w="5420"/>
          </w:cols>
          <w:pgMar w:left="440" w:top="469" w:right="399" w:bottom="1440" w:gutter="0" w:footer="0" w:header="0"/>
        </w:sectPr>
      </w:pPr>
    </w:p>
    <w:p>
      <w:pPr>
        <w:spacing w:after="0" w:line="237" w:lineRule="exact"/>
        <w:rPr>
          <w:sz w:val="20"/>
          <w:szCs w:val="20"/>
          <w:color w:val="auto"/>
        </w:rPr>
      </w:pPr>
    </w:p>
    <w:p>
      <w:pPr>
        <w:ind w:left="4740"/>
        <w:spacing w:after="0"/>
        <w:rPr>
          <w:sz w:val="20"/>
          <w:szCs w:val="20"/>
          <w:color w:val="auto"/>
        </w:rPr>
      </w:pPr>
      <w:r>
        <w:rPr>
          <w:rFonts w:ascii="Arial" w:cs="Arial" w:eastAsia="Arial" w:hAnsi="Arial"/>
          <w:sz w:val="18"/>
          <w:szCs w:val="18"/>
          <w:b w:val="1"/>
          <w:bCs w:val="1"/>
          <w:u w:val="single" w:color="auto"/>
          <w:color w:val="auto"/>
        </w:rPr>
        <w:t>ENDORSEMENT #1</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165"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National Union Fire Insurance Company of Pittsburgh, PA.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AMENDATORY ENDORSEMENT - NY STATUTE 3420</w:t>
      </w:r>
    </w:p>
    <w:p>
      <w:pPr>
        <w:spacing w:after="0" w:line="171"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Wherever used in this endorsement: 1) “we”, “us”, “our” and “Insurer” mean the insurance company which issued this policy; 2) “you”, “your”, “Insured” and “first Named Insured” mean the Named Corporation, Named Entity, Named Organization, Named Sponsor, Named Insured, or Insured stated in the declarations page; 3) “other insured(s)” means all other persons or</w:t>
      </w:r>
    </w:p>
    <w:p>
      <w:pPr>
        <w:spacing w:after="0" w:line="121" w:lineRule="exact"/>
        <w:rPr>
          <w:sz w:val="20"/>
          <w:szCs w:val="20"/>
          <w:color w:val="auto"/>
        </w:rPr>
      </w:pPr>
    </w:p>
    <w:p>
      <w:pPr>
        <w:spacing w:after="0"/>
        <w:tabs>
          <w:tab w:leader="none" w:pos="5540" w:val="left"/>
          <w:tab w:leader="none" w:pos="90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060"/>
          </w:cols>
          <w:pgMar w:left="440" w:top="469" w:right="399" w:bottom="1440" w:gutter="0" w:footer="0" w:header="0"/>
          <w:type w:val="continuous"/>
        </w:sectPr>
      </w:pPr>
    </w:p>
    <w:bookmarkStart w:id="19" w:name="page20"/>
    <w:bookmarkEnd w:id="19"/>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entities afforded coverage under the policy; 4) “Discovery Period” means Discovery Period or Extended Reporting Period, as defined in the policy; and 5) “Claim” means Claim or Suit as defined in the policy.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It is hereby understood and agreed that the policy is amended as follows:</w:t>
      </w:r>
    </w:p>
    <w:p>
      <w:pPr>
        <w:spacing w:after="0" w:line="9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provisions are hereby added to the policy:</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FAILURE TO GIVE NOTICE WITHIN PRESCRIBED TIME:</w:t>
      </w:r>
    </w:p>
    <w:p>
      <w:pPr>
        <w:spacing w:after="0" w:line="90" w:lineRule="exact"/>
        <w:rPr>
          <w:sz w:val="20"/>
          <w:szCs w:val="20"/>
          <w:color w:val="auto"/>
        </w:rPr>
      </w:pPr>
    </w:p>
    <w:p>
      <w:pPr>
        <w:ind w:left="920" w:right="100"/>
        <w:spacing w:after="0" w:line="268" w:lineRule="auto"/>
        <w:rPr>
          <w:sz w:val="20"/>
          <w:szCs w:val="20"/>
          <w:color w:val="auto"/>
        </w:rPr>
      </w:pPr>
      <w:r>
        <w:rPr>
          <w:rFonts w:ascii="Arial" w:cs="Arial" w:eastAsia="Arial" w:hAnsi="Arial"/>
          <w:sz w:val="18"/>
          <w:szCs w:val="18"/>
          <w:color w:val="auto"/>
        </w:rPr>
        <w:t>Failure to give any notice required to be given by this policy, or any policy of which this is a renewal, within the prescribed time shall not invalidate any Claim made against an Insured if:</w:t>
      </w:r>
    </w:p>
    <w:p>
      <w:pPr>
        <w:spacing w:after="0" w:line="51" w:lineRule="exact"/>
        <w:rPr>
          <w:sz w:val="20"/>
          <w:szCs w:val="20"/>
          <w:color w:val="auto"/>
        </w:rPr>
      </w:pPr>
    </w:p>
    <w:p>
      <w:pPr>
        <w:ind w:left="1480" w:right="340" w:hanging="567"/>
        <w:spacing w:after="0" w:line="268"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shall be shown not to have been reasonably possible to give notice within the prescribed time and that notice was given as soon as was reasonably possible thereafter;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to provide timely notice has not prejudiced the Insurer.</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Any such Claim shall be deemed to have been first made against the Insured and noticed to the Insurer within the Policy Period or Discovery Period of the policy issued by the Insurer (the “Noticed Policy”) in which the Insurer received notice of the Claim; provided that the coverage afforded with respect to the Noticed Policy shall be in an amount not greater than the amount of coverage afforded with respect to the Policy Period of the policy issued by the Insurer (the “Former Policy”) in which the Claim was actually first made against the Insured.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 (Continued)</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foregoing sentence may result in (but not be limited to): (1) reducing the limit of liability available for such a Claim to the available limit of liability applicable to the Former Policy; (2) increasing the applicable retention amount to that retention amount applicable to the Former Policy; or (3) reducing or eliminating coverage due to exclusions or other restrictions appearing in the Former Policy but eliminated, in part or in whole, in the Noticed Policy. No coverage shall be afforded under this endorsement if there was not in existence a Former Policy at the time the Claim was actually first made against the Insured.</w:t>
      </w:r>
    </w:p>
    <w:p>
      <w:pPr>
        <w:spacing w:after="0" w:line="32" w:lineRule="exact"/>
        <w:rPr>
          <w:sz w:val="20"/>
          <w:szCs w:val="20"/>
          <w:color w:val="auto"/>
        </w:rPr>
      </w:pPr>
    </w:p>
    <w:p>
      <w:pPr>
        <w:ind w:left="920" w:right="220"/>
        <w:spacing w:after="0" w:line="268" w:lineRule="auto"/>
        <w:rPr>
          <w:sz w:val="20"/>
          <w:szCs w:val="20"/>
          <w:color w:val="auto"/>
        </w:rPr>
      </w:pPr>
      <w:r>
        <w:rPr>
          <w:rFonts w:ascii="Arial" w:cs="Arial" w:eastAsia="Arial" w:hAnsi="Arial"/>
          <w:sz w:val="18"/>
          <w:szCs w:val="18"/>
          <w:color w:val="auto"/>
        </w:rPr>
        <w:t>With respect to subsection (b) above, any such Claim must be noticed during the Policy Period or Discovery Period of a Noticed Policy which is a renewal or extension of the Former Policy.</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Nothing in this endorsement shall be construed to provide coverage for a Claim under more than one Policy Period or Discovery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PREJUDICE:</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In the event that the Insurer alleges that it was prejudiced as a result of a failure to give notice within the time required under the policy, the burden of proof shall be on:</w:t>
      </w:r>
    </w:p>
    <w:p>
      <w:pPr>
        <w:spacing w:after="0" w:line="51"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Insurer to prove that it has been prejudiced, if the notice was provided within two years of the time required under the policy; or</w:t>
      </w:r>
    </w:p>
    <w:p>
      <w:pPr>
        <w:spacing w:after="0" w:line="113" w:lineRule="exact"/>
        <w:rPr>
          <w:rFonts w:ascii="Arial" w:cs="Arial" w:eastAsia="Arial" w:hAnsi="Arial"/>
          <w:sz w:val="16"/>
          <w:szCs w:val="16"/>
          <w:color w:val="auto"/>
        </w:rPr>
      </w:pPr>
    </w:p>
    <w:p>
      <w:pPr>
        <w:ind w:left="1480" w:right="20" w:hanging="567"/>
        <w:spacing w:after="0" w:line="268" w:lineRule="auto"/>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Insured to prove that the Insurer has not been prejudiced, if the notice was provided more than two years after the time required under the policy.</w:t>
      </w:r>
    </w:p>
    <w:p>
      <w:pPr>
        <w:spacing w:after="0" w:line="51"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The Insurer’s rights shall not be deemed prejudiced unless the failure to timely provide notice materially impairs the ability of the Insurer to investigate or defend the Claim.</w:t>
      </w:r>
    </w:p>
    <w:p>
      <w:pPr>
        <w:spacing w:after="0" w:line="51" w:lineRule="exact"/>
        <w:rPr>
          <w:sz w:val="20"/>
          <w:szCs w:val="20"/>
          <w:color w:val="auto"/>
        </w:rPr>
      </w:pPr>
    </w:p>
    <w:p>
      <w:pPr>
        <w:ind w:left="920" w:right="100"/>
        <w:spacing w:after="0" w:line="332" w:lineRule="auto"/>
        <w:rPr>
          <w:sz w:val="20"/>
          <w:szCs w:val="20"/>
          <w:color w:val="auto"/>
        </w:rPr>
      </w:pPr>
      <w:r>
        <w:rPr>
          <w:rFonts w:ascii="Arial" w:cs="Arial" w:eastAsia="Arial" w:hAnsi="Arial"/>
          <w:sz w:val="16"/>
          <w:szCs w:val="16"/>
          <w:color w:val="auto"/>
        </w:rPr>
        <w:t>Notwithstanding the above, an irrebuttable presumption of prejudice shall apply if, prior to the notice, the Insured’s liability has been determined by a court of competent jurisdiction or by a binding arbitration; or if the Insured has resolved the Claim by settlement or other compromise.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NOTICE TO AGENT:</w:t>
      </w:r>
    </w:p>
    <w:p>
      <w:pPr>
        <w:spacing w:after="0" w:line="90" w:lineRule="exact"/>
        <w:rPr>
          <w:sz w:val="20"/>
          <w:szCs w:val="20"/>
          <w:color w:val="auto"/>
        </w:rPr>
      </w:pPr>
    </w:p>
    <w:p>
      <w:pPr>
        <w:ind w:left="920" w:right="160"/>
        <w:spacing w:after="0" w:line="332" w:lineRule="auto"/>
        <w:rPr>
          <w:sz w:val="20"/>
          <w:szCs w:val="20"/>
          <w:color w:val="auto"/>
        </w:rPr>
      </w:pPr>
      <w:r>
        <w:rPr>
          <w:rFonts w:ascii="Arial" w:cs="Arial" w:eastAsia="Arial" w:hAnsi="Arial"/>
          <w:sz w:val="16"/>
          <w:szCs w:val="16"/>
          <w:color w:val="auto"/>
        </w:rPr>
        <w:t>Notice given by or on behalf of the Insured, or written notice by or on behalf of the injured party or any other claimant, to any licensed agent of the Insurer in the state of New York, with particulars sufficient to identify the Insured, shall be deemed notice to the Insurer.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 (Continued)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INSOLVENCY/BANKRUPTCY OF INSURED:</w:t>
      </w:r>
    </w:p>
    <w:p>
      <w:pPr>
        <w:spacing w:after="0" w:line="9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insolvency or bankruptcy of the Insured shall not relieve the Insurer of its obligations under this policy as long as all policy requirements are met by Insured, its trustee or receiver in bankruptcy. Should a covered judgment be rendered against an insolvent or bankrupt Insured, the Insurer shall be liable for the amount of such judgment not to exceed the applicable limit of liability under this policy.</w:t>
      </w:r>
    </w:p>
    <w:p>
      <w:pPr>
        <w:spacing w:after="0" w:line="5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Clause entitled, “Action Against Us” or “Action Against Company” is deleted in its entirety and replaced with the following:</w:t>
      </w:r>
    </w:p>
    <w:p>
      <w:pPr>
        <w:spacing w:after="0" w:line="90" w:lineRule="exact"/>
        <w:rPr>
          <w:sz w:val="20"/>
          <w:szCs w:val="20"/>
          <w:color w:val="auto"/>
        </w:rPr>
      </w:pPr>
    </w:p>
    <w:p>
      <w:pPr>
        <w:ind w:left="920" w:right="640"/>
        <w:spacing w:after="0" w:line="268" w:lineRule="auto"/>
        <w:rPr>
          <w:sz w:val="20"/>
          <w:szCs w:val="20"/>
          <w:color w:val="auto"/>
        </w:rPr>
      </w:pPr>
      <w:r>
        <w:rPr>
          <w:rFonts w:ascii="Arial" w:cs="Arial" w:eastAsia="Arial" w:hAnsi="Arial"/>
          <w:sz w:val="18"/>
          <w:szCs w:val="18"/>
          <w:color w:val="auto"/>
        </w:rPr>
        <w:t>No one may bring an action against us unless there has been full compliance with all the terms of this policy and the amount of the Insured’s obligation to pay has been finally determined either by:</w:t>
      </w:r>
    </w:p>
    <w:p>
      <w:pPr>
        <w:spacing w:after="0" w:line="51" w:lineRule="exact"/>
        <w:rPr>
          <w:sz w:val="20"/>
          <w:szCs w:val="20"/>
          <w:color w:val="auto"/>
        </w:rPr>
      </w:pPr>
    </w:p>
    <w:p>
      <w:pPr>
        <w:ind w:left="1480" w:right="640" w:hanging="567"/>
        <w:spacing w:after="0" w:line="268"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judgment against the Insured which remains unsatisfied at the expiration of thirty (30) days from the service of notice of entry of the judgment upon the Insured and upon us; 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written agreement of the Insured, the claimant and us.</w:t>
      </w:r>
    </w:p>
    <w:p>
      <w:pPr>
        <w:spacing w:after="0" w:line="90" w:lineRule="exact"/>
        <w:rPr>
          <w:rFonts w:ascii="Arial" w:cs="Arial" w:eastAsia="Arial" w:hAnsi="Arial"/>
          <w:sz w:val="18"/>
          <w:szCs w:val="18"/>
          <w:color w:val="auto"/>
        </w:rPr>
      </w:pPr>
    </w:p>
    <w:p>
      <w:pPr>
        <w:ind w:left="1500" w:right="20"/>
        <w:spacing w:after="0" w:line="306" w:lineRule="auto"/>
        <w:rPr>
          <w:rFonts w:ascii="Arial" w:cs="Arial" w:eastAsia="Arial" w:hAnsi="Arial"/>
          <w:sz w:val="18"/>
          <w:szCs w:val="18"/>
          <w:color w:val="auto"/>
        </w:rPr>
      </w:pPr>
      <w:r>
        <w:rPr>
          <w:rFonts w:ascii="Arial" w:cs="Arial" w:eastAsia="Arial" w:hAnsi="Arial"/>
          <w:sz w:val="16"/>
          <w:szCs w:val="16"/>
          <w:color w:val="auto"/>
        </w:rPr>
        <w:t>Any person or organization or legal representative thereof who has secured such judgment or written agreement shall thereafter be entitled to recover under this policy to the extent of the insurance afforded by this policy. We may not be impleaded by the Insured or its legal representative in any legal action brought against the Insured by any person or organization.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83231 (1/09)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60"/>
            <w:col w:w="10840"/>
          </w:cols>
          <w:pgMar w:left="240" w:top="280"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AMENDATORY ENDORSEMENT</w:t>
      </w:r>
    </w:p>
    <w:p>
      <w:pPr>
        <w:spacing w:after="0" w:line="17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Wherever used in this endorsement: 1) “Insurer” means the insurance company which issued this policy; and 2) “Insured” means the Named Corporation, Named Organization, Named Sponsor, Named Insured, Named Entity or Insured stated in the declarations page; The policy is hereby amended as follows:</w:t>
      </w:r>
    </w:p>
    <w:p>
      <w:pPr>
        <w:spacing w:after="0" w:line="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Cancellation and When We Do Not Renew provisions are deleted and replaced by the following:</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CANCELLATION BY THE INSURED</w:t>
      </w:r>
    </w:p>
    <w:p>
      <w:pPr>
        <w:spacing w:after="0" w:line="9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This policy may be cancelled by the Insured by surrender of this policy to the Insurer or by giving written notice to the Insurer stating when thereafter such cancellation shall be effective. The Policy Period terminates at the date and hour specified in such notice, or at the date and time of surrender.</w:t>
      </w:r>
    </w:p>
    <w:p>
      <w:pPr>
        <w:spacing w:after="0" w:line="5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CANCELLATION, NONRENEWAL AND CONDITIONAL RENEWAL BY THE INSURER</w:t>
      </w:r>
    </w:p>
    <w:p>
      <w:pPr>
        <w:spacing w:after="0" w:line="90"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this policy has been in effect for sixty (60) or fewer days when cancellation notice is mailed, and this policy is not a renewal of a policy issued by the Insurer, then this policy may be cancelled by the Insurer by mailing or delivering to the Insured, and to his authorized insurance agent or broker, written notice stating when not less than twenty (20) days thereafter (fifteen (15) days thereafter if cancellation is because of one of the reasons for cancellation set forth in subsection (ii) below) the cancellation shall be effective. Notice of cancellation issued by the Insurer shall specify the grounds for cancellation.</w:t>
      </w:r>
    </w:p>
    <w:p>
      <w:pPr>
        <w:spacing w:after="0" w:line="61" w:lineRule="exact"/>
        <w:rPr>
          <w:rFonts w:ascii="Arial" w:cs="Arial" w:eastAsia="Arial" w:hAnsi="Arial"/>
          <w:sz w:val="18"/>
          <w:szCs w:val="18"/>
          <w:color w:val="auto"/>
        </w:rPr>
      </w:pPr>
    </w:p>
    <w:p>
      <w:pPr>
        <w:ind w:left="1480" w:hanging="567"/>
        <w:spacing w:after="0" w:line="256"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this policy has been in effect for more than sixty (60) days when notice of cancellation is mailed, or if this policy is a renewal of a policy issued by the Insurer, then this policy may be cancelled by the Insurer by mailing or delivering to the Insured, and to his authorized insurance agent or broker, written notice stating when not less than fifteen (15) days thereafter the cancellation shall be effective; however, such cancellation must be based on one or more of the following:</w:t>
      </w:r>
    </w:p>
    <w:p>
      <w:pPr>
        <w:spacing w:after="0" w:line="62" w:lineRule="exact"/>
        <w:rPr>
          <w:rFonts w:ascii="Arial" w:cs="Arial" w:eastAsia="Arial" w:hAnsi="Arial"/>
          <w:sz w:val="18"/>
          <w:szCs w:val="18"/>
          <w:color w:val="auto"/>
        </w:rPr>
      </w:pPr>
    </w:p>
    <w:p>
      <w:pPr>
        <w:ind w:left="1920" w:right="220" w:hanging="440"/>
        <w:spacing w:after="0" w:line="268" w:lineRule="auto"/>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nonpayment of premium, provided, however, that a notice of cancellation on this ground shall inform the first Named Insured of the amount due;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conviction of a crime arising out of acts increasing the hazard insured against;</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discovery of fraud or material misrepresentation in the obtaining of the policy or in the presentation of a claim thereunder;</w:t>
      </w:r>
    </w:p>
    <w:p>
      <w:pPr>
        <w:spacing w:after="0" w:line="113" w:lineRule="exact"/>
        <w:rPr>
          <w:rFonts w:ascii="Arial" w:cs="Arial" w:eastAsia="Arial" w:hAnsi="Arial"/>
          <w:sz w:val="16"/>
          <w:szCs w:val="16"/>
          <w:color w:val="auto"/>
        </w:rPr>
      </w:pPr>
    </w:p>
    <w:p>
      <w:pPr>
        <w:ind w:left="1920" w:right="220" w:hanging="440"/>
        <w:spacing w:after="0" w:line="259"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after issuance of the policy or after the last renewal date, discovery of an act or omission, or a violation of any policy condition, that substantially and materially increases the hazard insured against, and which occurred subsequent to inception of the current Policy Period;</w:t>
      </w:r>
    </w:p>
    <w:p>
      <w:pPr>
        <w:spacing w:after="0" w:line="59" w:lineRule="exact"/>
        <w:rPr>
          <w:rFonts w:ascii="Arial" w:cs="Arial" w:eastAsia="Arial" w:hAnsi="Arial"/>
          <w:sz w:val="18"/>
          <w:szCs w:val="18"/>
          <w:color w:val="auto"/>
        </w:rPr>
      </w:pPr>
    </w:p>
    <w:p>
      <w:pPr>
        <w:ind w:left="1920" w:right="40" w:hanging="440"/>
        <w:spacing w:after="0" w:line="259"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material change in the nature or extent of the risk, occurring after issuance or last annual renewal anniversary date of the policy, which causes the risk of loss to be substantially and materially increased beyond that contemplated at the time the policy was issued or last renewed;</w:t>
      </w:r>
    </w:p>
    <w:p>
      <w:pPr>
        <w:spacing w:after="0" w:line="59" w:lineRule="exact"/>
        <w:rPr>
          <w:rFonts w:ascii="Arial" w:cs="Arial" w:eastAsia="Arial" w:hAnsi="Arial"/>
          <w:sz w:val="18"/>
          <w:szCs w:val="18"/>
          <w:color w:val="auto"/>
        </w:rPr>
      </w:pPr>
    </w:p>
    <w:p>
      <w:pPr>
        <w:ind w:left="1920" w:hanging="440"/>
        <w:spacing w:after="0" w:line="259"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required pursuant to a determination by the New York Superintendent of Insurance that continuation of the present premium volume of the Insurer would jeopardize the Insurer’s solvency or be hazardous to the interests of Insureds of the Insurer, its creditors or the public;</w:t>
      </w:r>
    </w:p>
    <w:p>
      <w:pPr>
        <w:spacing w:after="0" w:line="59" w:lineRule="exact"/>
        <w:rPr>
          <w:rFonts w:ascii="Arial" w:cs="Arial" w:eastAsia="Arial" w:hAnsi="Arial"/>
          <w:sz w:val="18"/>
          <w:szCs w:val="18"/>
          <w:color w:val="auto"/>
        </w:rPr>
      </w:pPr>
    </w:p>
    <w:p>
      <w:pPr>
        <w:ind w:left="1920" w:right="320" w:hanging="440"/>
        <w:spacing w:after="0" w:line="268"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determination by the New York Superintendent of Insurance that the continuation of the policy would violate, or would place the Insurer in violation of, any provision of the New York Insurance Law;</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revocation or suspension of an Insured’s license to practice his profession; or</w:t>
      </w:r>
    </w:p>
    <w:p>
      <w:pPr>
        <w:spacing w:after="0" w:line="9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 the Insurer has reason to believe that there is a probable risk or danger that the Insured will destroy or permit the destruction of the insured property for the purpose of collecting the insurance proceeds, provided, however, that:</w:t>
      </w:r>
    </w:p>
    <w:p>
      <w:pPr>
        <w:spacing w:after="0" w:line="50" w:lineRule="exact"/>
        <w:rPr>
          <w:rFonts w:ascii="Arial" w:cs="Arial" w:eastAsia="Arial" w:hAnsi="Arial"/>
          <w:sz w:val="18"/>
          <w:szCs w:val="18"/>
          <w:color w:val="auto"/>
        </w:rPr>
      </w:pPr>
    </w:p>
    <w:p>
      <w:pPr>
        <w:ind w:left="2380" w:right="320" w:hanging="441"/>
        <w:spacing w:after="0" w:line="332" w:lineRule="auto"/>
        <w:tabs>
          <w:tab w:leader="none" w:pos="23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notice of cancellation on this ground shall inform the Insured in plain language that the Insured must act within ten days if review by the department of the ground for cancellation is desired pursuant to item (3) of this subparagraph (I);</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(9/06)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2380" w:hanging="441"/>
        <w:spacing w:after="0"/>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and</w:t>
      </w:r>
    </w:p>
    <w:p>
      <w:pPr>
        <w:spacing w:after="0" w:line="90" w:lineRule="exact"/>
        <w:rPr>
          <w:rFonts w:ascii="Arial" w:cs="Arial" w:eastAsia="Arial" w:hAnsi="Arial"/>
          <w:sz w:val="18"/>
          <w:szCs w:val="18"/>
          <w:color w:val="auto"/>
        </w:rPr>
      </w:pPr>
    </w:p>
    <w:p>
      <w:pPr>
        <w:jc w:val="both"/>
        <w:ind w:left="2380" w:right="160" w:hanging="441"/>
        <w:spacing w:after="0" w:line="323" w:lineRule="auto"/>
        <w:tabs>
          <w:tab w:leader="none" w:pos="23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upon written request of the Insured made to the department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 sufficient cause for cancellation on this ground, the notice of cancellation on this ground shall be deemed null and void.</w:t>
      </w: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Notice of cancellation by the Insurer shall specify the grounds for cancellation.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(iii)</w:t>
      </w:r>
    </w:p>
    <w:p>
      <w:pPr>
        <w:spacing w:after="0" w:line="90" w:lineRule="exact"/>
        <w:rPr>
          <w:sz w:val="20"/>
          <w:szCs w:val="20"/>
          <w:color w:val="auto"/>
        </w:rPr>
      </w:pPr>
    </w:p>
    <w:p>
      <w:pPr>
        <w:ind w:left="1920" w:hanging="440"/>
        <w:spacing w:after="0"/>
        <w:tabs>
          <w:tab w:leader="none" w:pos="1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Insurer shall mail to the Insured, and to his authorized insurance agent or broker, written notice indicating the Insurer’s intention:</w:t>
      </w:r>
    </w:p>
    <w:p>
      <w:pPr>
        <w:spacing w:after="0" w:line="113" w:lineRule="exact"/>
        <w:rPr>
          <w:rFonts w:ascii="Arial" w:cs="Arial" w:eastAsia="Arial" w:hAnsi="Arial"/>
          <w:sz w:val="16"/>
          <w:szCs w:val="16"/>
          <w:color w:val="auto"/>
        </w:rPr>
      </w:pPr>
    </w:p>
    <w:p>
      <w:pPr>
        <w:ind w:left="2380" w:hanging="441"/>
        <w:spacing w:after="0"/>
        <w:tabs>
          <w:tab w:leader="none" w:pos="2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 to renew this policy;</w:t>
      </w:r>
    </w:p>
    <w:p>
      <w:pPr>
        <w:spacing w:after="0" w:line="90" w:lineRule="exact"/>
        <w:rPr>
          <w:rFonts w:ascii="Arial" w:cs="Arial" w:eastAsia="Arial" w:hAnsi="Arial"/>
          <w:sz w:val="18"/>
          <w:szCs w:val="18"/>
          <w:color w:val="auto"/>
        </w:rPr>
      </w:pPr>
    </w:p>
    <w:p>
      <w:pPr>
        <w:ind w:left="2380" w:right="120" w:hanging="441"/>
        <w:spacing w:after="0" w:line="306" w:lineRule="auto"/>
        <w:tabs>
          <w:tab w:leader="none" w:pos="23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condition its renewal upon change of limits, change in type of coverage, reduction of coverage, increased deductible or addition of exclusions or upon increased premiums in excess of ten percent; (exclusive of any premium increase generated as a result of increased exposure units or as a result of experience rating, loss rating, or audit);</w:t>
      </w:r>
    </w:p>
    <w:p>
      <w:pPr>
        <w:spacing w:after="0" w:line="25" w:lineRule="exact"/>
        <w:rPr>
          <w:rFonts w:ascii="Arial" w:cs="Arial" w:eastAsia="Arial" w:hAnsi="Arial"/>
          <w:sz w:val="16"/>
          <w:szCs w:val="16"/>
          <w:color w:val="auto"/>
        </w:rPr>
      </w:pPr>
    </w:p>
    <w:p>
      <w:pPr>
        <w:ind w:left="2380" w:right="180" w:hanging="441"/>
        <w:spacing w:after="0" w:line="298" w:lineRule="auto"/>
        <w:tabs>
          <w:tab w:leader="none" w:pos="23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that the policy will not be renewed or will not be renewed upon the same terms, conditions or rates; such alternative renewal notice must be mailed or delivered on a timely basis and advise the Insured that a second notice shall be mailed at a later date indicating the Insurer’s intention as specified in subparagraph (1) or (2) of this paragraph (A) and that coverage shall continue on the same terms, conditions and rates as expiring, until the later of the expiration date or sixty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135890</wp:posOffset>
            </wp:positionV>
            <wp:extent cx="3927475" cy="720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jc w:val="center"/>
        <w:ind w:left="2400" w:right="120" w:hanging="2"/>
        <w:spacing w:after="0" w:line="286" w:lineRule="auto"/>
        <w:tabs>
          <w:tab w:leader="none" w:pos="2736" w:val="left"/>
        </w:tabs>
        <w:numPr>
          <w:ilvl w:val="2"/>
          <w:numId w:val="49"/>
        </w:numPr>
        <w:rPr>
          <w:rFonts w:ascii="Arial" w:cs="Arial" w:eastAsia="Arial" w:hAnsi="Arial"/>
          <w:sz w:val="16"/>
          <w:szCs w:val="16"/>
          <w:color w:val="auto"/>
        </w:rPr>
      </w:pPr>
      <w:r>
        <w:rPr>
          <w:rFonts w:ascii="Arial" w:cs="Arial" w:eastAsia="Arial" w:hAnsi="Arial"/>
          <w:sz w:val="16"/>
          <w:szCs w:val="16"/>
          <w:color w:val="auto"/>
        </w:rPr>
        <w:t>days after the second notice is mailed or delivered; such alternative renewal notice also shall advise the insured of the availability of loss information and, upon written request, the request, the insurer shall furnish such loss information within ten</w:t>
      </w:r>
    </w:p>
    <w:p>
      <w:pPr>
        <w:ind w:left="2740" w:hanging="342"/>
        <w:spacing w:after="0"/>
        <w:tabs>
          <w:tab w:leader="none" w:pos="27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days to the insured.</w:t>
      </w:r>
    </w:p>
    <w:p>
      <w:pPr>
        <w:spacing w:after="0" w:line="83" w:lineRule="exact"/>
        <w:rPr>
          <w:rFonts w:ascii="Arial" w:cs="Arial" w:eastAsia="Arial" w:hAnsi="Arial"/>
          <w:sz w:val="18"/>
          <w:szCs w:val="18"/>
          <w:color w:val="auto"/>
        </w:rPr>
      </w:pPr>
    </w:p>
    <w:p>
      <w:pPr>
        <w:ind w:left="1920" w:right="260" w:hanging="440"/>
        <w:spacing w:after="0" w:line="335" w:lineRule="auto"/>
        <w:tabs>
          <w:tab w:leader="none" w:pos="19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 nonrenewal notice as specified in subparagraph (1), a conditional renewal notice as specified in subparagraph (2), and the second notice described in subparagraph (3) of paragraph (A) of this subsection (iii) shall contain the specific reason or reasons for nonrenewal or conditional renewal, and set forth the amount of any premium increase and nature of any other proposed changes.</w:t>
      </w:r>
    </w:p>
    <w:p>
      <w:pPr>
        <w:spacing w:after="0" w:line="7" w:lineRule="exact"/>
        <w:rPr>
          <w:rFonts w:ascii="Arial" w:cs="Arial" w:eastAsia="Arial" w:hAnsi="Arial"/>
          <w:sz w:val="15"/>
          <w:szCs w:val="15"/>
          <w:color w:val="auto"/>
        </w:rPr>
      </w:pPr>
    </w:p>
    <w:p>
      <w:pPr>
        <w:ind w:left="1920" w:hanging="440"/>
        <w:spacing w:after="0"/>
        <w:tabs>
          <w:tab w:leader="none" w:pos="19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notice required by paragraph (A) of this subsection (iii) shall be mailed at least sixty (60) but not more than one hundred twenty</w:t>
      </w:r>
    </w:p>
    <w:p>
      <w:pPr>
        <w:spacing w:after="0" w:line="38" w:lineRule="exact"/>
        <w:rPr>
          <w:rFonts w:ascii="Arial" w:cs="Arial" w:eastAsia="Arial" w:hAnsi="Arial"/>
          <w:sz w:val="16"/>
          <w:szCs w:val="16"/>
          <w:color w:val="auto"/>
        </w:rPr>
      </w:pPr>
    </w:p>
    <w:p>
      <w:pPr>
        <w:ind w:left="2360" w:hanging="434"/>
        <w:spacing w:after="0"/>
        <w:tabs>
          <w:tab w:leader="none" w:pos="2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days in advance of the end of the Policy Period.</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(D)</w:t>
      </w:r>
    </w:p>
    <w:p>
      <w:pPr>
        <w:spacing w:after="0" w:line="90" w:lineRule="exact"/>
        <w:rPr>
          <w:sz w:val="20"/>
          <w:szCs w:val="20"/>
          <w:color w:val="auto"/>
        </w:rPr>
      </w:pPr>
    </w:p>
    <w:p>
      <w:pPr>
        <w:ind w:left="2380" w:right="20" w:hanging="441"/>
        <w:spacing w:after="0" w:line="306" w:lineRule="auto"/>
        <w:tabs>
          <w:tab w:leader="none" w:pos="23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Insurer employs an alternative renewal notice as authorized by subparagraph (3) of paragraph (A) of this subsection (iii), the Insurer shall provide coverage on the same terms, conditions, and rates as the expiring policy, until the later of the expiration date or sixty (60) days after the mailing of the second notice described in such subparagraph.</w:t>
      </w:r>
    </w:p>
    <w:p>
      <w:pPr>
        <w:spacing w:after="0" w:line="25" w:lineRule="exact"/>
        <w:rPr>
          <w:rFonts w:ascii="Arial" w:cs="Arial" w:eastAsia="Arial" w:hAnsi="Arial"/>
          <w:sz w:val="16"/>
          <w:szCs w:val="16"/>
          <w:color w:val="auto"/>
        </w:rPr>
      </w:pPr>
    </w:p>
    <w:p>
      <w:pPr>
        <w:ind w:left="2380" w:right="80" w:hanging="441"/>
        <w:spacing w:after="0" w:line="255" w:lineRule="auto"/>
        <w:tabs>
          <w:tab w:leader="none" w:pos="2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Prior to the expiration date of the policy, in the event that an incomplete or late conditional renewal notice or a late nonrenewal notice is provided by the Insurer, the Policy Period shall be extended, at the same terms and conditions as the expiring policy, except that the annual aggregate limit of the expiring policy shall be increased in proportion to the policy extension, and at the lower of the current rates or the prior period’s rates, until sixty (60) days after such notice is mailed, unless the Insured elects to cancel sooner.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135890</wp:posOffset>
            </wp:positionV>
            <wp:extent cx="3927475" cy="720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#2 (Continued)</w:t>
      </w:r>
    </w:p>
    <w:p>
      <w:pPr>
        <w:spacing w:after="0" w:line="164" w:lineRule="exact"/>
        <w:rPr>
          <w:sz w:val="20"/>
          <w:szCs w:val="20"/>
          <w:color w:val="auto"/>
        </w:rPr>
      </w:pPr>
    </w:p>
    <w:p>
      <w:pPr>
        <w:ind w:left="2380" w:hanging="441"/>
        <w:spacing w:after="0" w:line="255" w:lineRule="auto"/>
        <w:tabs>
          <w:tab w:leader="none" w:pos="23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that a late conditional renewal notice or a late nonrenewal notice is provided by the insurer on or after the expiration date of the policy, coverage shall remain in effect on the same terms and conditions of the expiring policy for another required policy period, and at the lower of the current rates or the prior period’s rates unless the insured during the additional required policy period has replaced the coverage or elects to cancel, in which event such cancellation shall be on a pro rata premium basis.</w:t>
      </w:r>
    </w:p>
    <w:p>
      <w:pPr>
        <w:spacing w:after="0" w:line="61" w:lineRule="exact"/>
        <w:rPr>
          <w:rFonts w:ascii="Arial" w:cs="Arial" w:eastAsia="Arial" w:hAnsi="Arial"/>
          <w:sz w:val="18"/>
          <w:szCs w:val="18"/>
          <w:color w:val="auto"/>
        </w:rPr>
      </w:pPr>
    </w:p>
    <w:p>
      <w:pPr>
        <w:ind w:left="1480" w:right="100" w:hanging="567"/>
        <w:spacing w:after="0" w:line="268"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Nothing herein shall be construed to limit the grounds for which the Insurer may lawfully rescind this policy or decline to pay a claim under this policy.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Notice required herein to be mailed to the Insured shall be mailed to the Insured at the address shown in Item 1 of the Declarations.</w:t>
      </w:r>
    </w:p>
    <w:p>
      <w:pPr>
        <w:spacing w:after="0" w:line="113" w:lineRule="exact"/>
        <w:rPr>
          <w:rFonts w:ascii="Arial" w:cs="Arial" w:eastAsia="Arial" w:hAnsi="Arial"/>
          <w:sz w:val="16"/>
          <w:szCs w:val="16"/>
          <w:color w:val="auto"/>
        </w:rPr>
      </w:pPr>
    </w:p>
    <w:p>
      <w:pPr>
        <w:ind w:left="1500" w:right="300"/>
        <w:spacing w:after="0" w:line="268" w:lineRule="auto"/>
        <w:rPr>
          <w:rFonts w:ascii="Arial" w:cs="Arial" w:eastAsia="Arial" w:hAnsi="Arial"/>
          <w:sz w:val="16"/>
          <w:szCs w:val="16"/>
          <w:color w:val="auto"/>
        </w:rPr>
      </w:pPr>
      <w:r>
        <w:rPr>
          <w:rFonts w:ascii="Arial" w:cs="Arial" w:eastAsia="Arial" w:hAnsi="Arial"/>
          <w:sz w:val="18"/>
          <w:szCs w:val="18"/>
          <w:color w:val="auto"/>
        </w:rPr>
        <w:t>Notice required herein to be mailed by the Insurer shall be sent by registered, certified or other first class mail. Delivery of written notice shall be equivalent to mailing.</w:t>
      </w:r>
    </w:p>
    <w:p>
      <w:pPr>
        <w:spacing w:after="0" w:line="50" w:lineRule="exact"/>
        <w:rPr>
          <w:rFonts w:ascii="Arial" w:cs="Arial" w:eastAsia="Arial" w:hAnsi="Arial"/>
          <w:sz w:val="16"/>
          <w:szCs w:val="16"/>
          <w:color w:val="auto"/>
        </w:rPr>
      </w:pPr>
    </w:p>
    <w:p>
      <w:pPr>
        <w:ind w:left="1500" w:right="340"/>
        <w:spacing w:after="0" w:line="268" w:lineRule="auto"/>
        <w:rPr>
          <w:rFonts w:ascii="Arial" w:cs="Arial" w:eastAsia="Arial" w:hAnsi="Arial"/>
          <w:sz w:val="16"/>
          <w:szCs w:val="16"/>
          <w:color w:val="auto"/>
        </w:rPr>
      </w:pPr>
      <w:r>
        <w:rPr>
          <w:rFonts w:ascii="Arial" w:cs="Arial" w:eastAsia="Arial" w:hAnsi="Arial"/>
          <w:sz w:val="18"/>
          <w:szCs w:val="18"/>
          <w:color w:val="auto"/>
        </w:rPr>
        <w:t>Proof of mailing of such notice as aforesaid shall be sufficient proof of notice. The Policy Period shall terminate at the effective date and hour of cancellation or nonrenewal specified in such notice.</w:t>
      </w:r>
    </w:p>
    <w:p>
      <w:pPr>
        <w:spacing w:after="0" w:line="50" w:lineRule="exact"/>
        <w:rPr>
          <w:rFonts w:ascii="Arial" w:cs="Arial" w:eastAsia="Arial" w:hAnsi="Arial"/>
          <w:sz w:val="16"/>
          <w:szCs w:val="16"/>
          <w:color w:val="auto"/>
        </w:rPr>
      </w:pPr>
    </w:p>
    <w:p>
      <w:pPr>
        <w:ind w:left="1500" w:right="820" w:hanging="587"/>
        <w:spacing w:after="0" w:line="387" w:lineRule="auto"/>
        <w:tabs>
          <w:tab w:leader="none" w:pos="1489"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this policy shall be cancelled by the Insured, the Insurer shall retain the customary short rate proportion of the premium hereon. If this policy shall be cancelled by the Insurer, the Insurer shall retain the pro rata proportion of the premium hereon.</w:t>
      </w:r>
    </w:p>
    <w:p>
      <w:pPr>
        <w:ind w:left="1500" w:right="100"/>
        <w:spacing w:after="0" w:line="268" w:lineRule="auto"/>
        <w:rPr>
          <w:rFonts w:ascii="Arial" w:cs="Arial" w:eastAsia="Arial" w:hAnsi="Arial"/>
          <w:sz w:val="16"/>
          <w:szCs w:val="16"/>
          <w:color w:val="auto"/>
        </w:rPr>
      </w:pPr>
      <w:r>
        <w:rPr>
          <w:rFonts w:ascii="Arial" w:cs="Arial" w:eastAsia="Arial" w:hAnsi="Arial"/>
          <w:sz w:val="18"/>
          <w:szCs w:val="18"/>
          <w:color w:val="auto"/>
        </w:rPr>
        <w:t>Payment or tender of any unearned premium by the Insurer shall not be a condition of cancellation, but such payment shall be made as soon as practicable.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06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69898 (09/06)</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143510</wp:posOffset>
            </wp:positionV>
            <wp:extent cx="3927475" cy="72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01-899-97-54</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193" w:lineRule="exact"/>
        <w:rPr>
          <w:sz w:val="20"/>
          <w:szCs w:val="20"/>
          <w:color w:val="auto"/>
        </w:rPr>
      </w:pPr>
    </w:p>
    <w:p>
      <w:pPr>
        <w:sectPr>
          <w:pgSz w:w="11900" w:h="16838" w:orient="portrait"/>
          <w:cols w:equalWidth="0" w:num="2">
            <w:col w:w="220" w:space="600"/>
            <w:col w:w="1060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It is agreed that:</w:t>
      </w:r>
    </w:p>
    <w:p>
      <w:pPr>
        <w:spacing w:after="0" w:line="21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COMPUTER SYSTEMS ENDORSEMENTS AMENDED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resulting directly from a fraudulent</w:t>
      </w:r>
    </w:p>
    <w:p>
      <w:pPr>
        <w:spacing w:after="0" w:line="9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 of data or programs within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Computer System; provided the fraudulent entry or change causes</w:t>
      </w:r>
    </w:p>
    <w:p>
      <w:pPr>
        <w:spacing w:after="0" w:line="90" w:lineRule="exact"/>
        <w:rPr>
          <w:sz w:val="20"/>
          <w:szCs w:val="20"/>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 unauthorized account of a fictitious account to be debited or credited;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voice instruction or advice having been transmitted to the Insured or its agent(s) by telephone;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provided further, the fraudulent entry or change is made or caused by an individual acting with the intent to:</w:t>
      </w:r>
    </w:p>
    <w:p>
      <w:pPr>
        <w:spacing w:after="0" w:line="90"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and further provided such voice instruction or advices: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were made by a person who purported to represent an individual authorized to make such voice instruction or advices; and</w:t>
      </w:r>
    </w:p>
    <w:p>
      <w:pPr>
        <w:spacing w:after="0" w:line="113" w:lineRule="exact"/>
        <w:rPr>
          <w:rFonts w:ascii="Arial" w:cs="Arial" w:eastAsia="Arial" w:hAnsi="Arial"/>
          <w:sz w:val="16"/>
          <w:szCs w:val="16"/>
          <w:color w:val="auto"/>
        </w:rPr>
      </w:pPr>
    </w:p>
    <w:p>
      <w:pPr>
        <w:ind w:left="1920" w:hanging="440"/>
        <w:spacing w:after="0"/>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 (Continued)</w:t>
      </w:r>
    </w:p>
    <w:p>
      <w:pPr>
        <w:spacing w:after="0" w:line="218" w:lineRule="exact"/>
        <w:rPr>
          <w:sz w:val="20"/>
          <w:szCs w:val="20"/>
          <w:color w:val="auto"/>
        </w:rPr>
      </w:pPr>
    </w:p>
    <w:p>
      <w:pPr>
        <w:ind w:left="900" w:right="80" w:hanging="446"/>
        <w:spacing w:after="0" w:line="294"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It shall be a condition to recovery under the Computer Systems Rider that the Insured or its agent(s)shall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 media used to record conversation from any cause, or error or omission of any Employee(s) or agent(s) of the Insured.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SYSTEMS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computer systems utilized by the Insured</w:t>
      </w:r>
    </w:p>
    <w:p>
      <w:pPr>
        <w:spacing w:after="0" w:line="9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systems and application software,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9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loss resulting directly or indirectly from the theft of confidential information, material or data; and</w:t>
      </w:r>
    </w:p>
    <w:p>
      <w:pPr>
        <w:spacing w:after="0" w:line="90"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 (Continued)</w:t>
      </w:r>
    </w:p>
    <w:p>
      <w:pPr>
        <w:spacing w:after="0" w:line="21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90" w:lineRule="exact"/>
        <w:rPr>
          <w:rFonts w:ascii="Arial" w:cs="Arial" w:eastAsia="Arial" w:hAnsi="Arial"/>
          <w:sz w:val="18"/>
          <w:szCs w:val="18"/>
          <w:color w:val="auto"/>
        </w:rPr>
      </w:pPr>
    </w:p>
    <w:p>
      <w:pPr>
        <w:ind w:left="460" w:right="240" w:hanging="452"/>
        <w:spacing w:after="0" w:line="306"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25"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any loss is covered under this Insuring Agreement and any other Insuring Agreement or Coverage, the maximum amount payable for such loss shall not exceed the largest amount available under any one Insuring Agreement or Coverage.</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cancelling the bond as an entirety: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60 days after receipt by the Insured of written notice from the Underwriter of its desire to terminate or cancel coverage under this Rider,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immediately upon receipt by the Underwriter of a written request from the Insured to terminate or cancel coverage under this Rider.</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51"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Section 4-LOSS-NOTICE-PROOF-LEGAL PROCEEDING of the Conditions and Limitations of this bond is amended by adding the following sentence:</w:t>
      </w:r>
    </w:p>
    <w:p>
      <w:pPr>
        <w:spacing w:after="0" w:line="113" w:lineRule="exact"/>
        <w:rPr>
          <w:rFonts w:ascii="Arial" w:cs="Arial" w:eastAsia="Arial" w:hAnsi="Arial"/>
          <w:sz w:val="16"/>
          <w:szCs w:val="16"/>
          <w:color w:val="auto"/>
        </w:rPr>
      </w:pPr>
    </w:p>
    <w:p>
      <w:pPr>
        <w:ind w:left="460" w:right="540"/>
        <w:spacing w:after="0" w:line="268" w:lineRule="auto"/>
        <w:rPr>
          <w:rFonts w:ascii="Arial" w:cs="Arial" w:eastAsia="Arial" w:hAnsi="Arial"/>
          <w:sz w:val="16"/>
          <w:szCs w:val="16"/>
          <w:color w:val="auto"/>
        </w:rPr>
      </w:pPr>
      <w:r>
        <w:rPr>
          <w:rFonts w:ascii="Arial" w:cs="Arial" w:eastAsia="Arial" w:hAnsi="Arial"/>
          <w:sz w:val="18"/>
          <w:szCs w:val="18"/>
          <w:color w:val="auto"/>
        </w:rPr>
        <w:t>“Proof of Loss resulting from Voice Instructions or advices covered under this bond shall include Electronic Recording of such Voice Instructions or advices.”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#3 (Continued)</w:t>
      </w:r>
    </w:p>
    <w:p>
      <w:pPr>
        <w:spacing w:after="0" w:line="96" w:lineRule="exact"/>
        <w:rPr>
          <w:sz w:val="20"/>
          <w:szCs w:val="20"/>
          <w:color w:val="auto"/>
        </w:rPr>
      </w:pPr>
    </w:p>
    <w:p>
      <w:pPr>
        <w:ind w:left="460" w:right="440" w:hanging="452"/>
        <w:spacing w:after="0" w:line="306"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Not 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98425</wp:posOffset>
            </wp:positionV>
            <wp:extent cx="2898775" cy="506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60"/>
            <w:col w:w="1084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UNAUTHORIZED SIGNATURES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UNAUTHORIZED SIGNATURES</w:t>
      </w:r>
    </w:p>
    <w:p>
      <w:pPr>
        <w:spacing w:after="0" w:line="218" w:lineRule="exact"/>
        <w:rPr>
          <w:sz w:val="20"/>
          <w:szCs w:val="20"/>
          <w:color w:val="auto"/>
        </w:rPr>
      </w:pPr>
    </w:p>
    <w:p>
      <w:pPr>
        <w:ind w:left="460" w:right="120" w:hanging="452"/>
        <w:spacing w:after="0" w:line="259"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59"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all persons who are authorized signatories on such account.</w:t>
      </w:r>
    </w:p>
    <w:p>
      <w:pPr>
        <w:spacing w:after="0" w:line="44" w:lineRule="exact"/>
        <w:rPr>
          <w:rFonts w:ascii="Arial" w:cs="Arial" w:eastAsia="Arial" w:hAnsi="Arial"/>
          <w:sz w:val="18"/>
          <w:szCs w:val="18"/>
          <w:color w:val="auto"/>
        </w:rPr>
      </w:pPr>
    </w:p>
    <w:p>
      <w:pPr>
        <w:ind w:left="460" w:right="140" w:hanging="452"/>
        <w:spacing w:after="0" w:line="275"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One Hundred Thousand ($100,000)</w:t>
      </w:r>
      <w:r>
        <w:rPr>
          <w:rFonts w:ascii="Arial" w:cs="Arial" w:eastAsia="Arial" w:hAnsi="Arial"/>
          <w:sz w:val="18"/>
          <w:szCs w:val="18"/>
          <w:color w:val="auto"/>
        </w:rPr>
        <w:t xml:space="preserve"> being understood, however, that such liability shall be part of and not in addition to the Limit of Liability stated in item 3. of the Declarations of the attached bond.</w:t>
      </w:r>
    </w:p>
    <w:p>
      <w:pPr>
        <w:spacing w:after="0" w:line="44" w:lineRule="exact"/>
        <w:rPr>
          <w:rFonts w:ascii="Arial" w:cs="Arial" w:eastAsia="Arial" w:hAnsi="Arial"/>
          <w:sz w:val="18"/>
          <w:szCs w:val="18"/>
          <w:color w:val="auto"/>
        </w:rPr>
      </w:pPr>
    </w:p>
    <w:p>
      <w:pPr>
        <w:ind w:left="460" w:right="20" w:hanging="452"/>
        <w:spacing w:after="0" w:line="294" w:lineRule="auto"/>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Underwriter shall not be liable under the Unauthorized Signatures Rider for any loss on account of any instrument unless the amount of such instrument shall be excess of </w:t>
      </w:r>
      <w:r>
        <w:rPr>
          <w:rFonts w:ascii="Arial" w:cs="Arial" w:eastAsia="Arial" w:hAnsi="Arial"/>
          <w:sz w:val="16"/>
          <w:szCs w:val="16"/>
          <w:b w:val="1"/>
          <w:bCs w:val="1"/>
          <w:color w:val="auto"/>
        </w:rPr>
        <w:t>Five Thousand (5,000)</w:t>
      </w:r>
      <w:r>
        <w:rPr>
          <w:rFonts w:ascii="Arial" w:cs="Arial" w:eastAsia="Arial" w:hAnsi="Arial"/>
          <w:sz w:val="16"/>
          <w:szCs w:val="16"/>
          <w:color w:val="auto"/>
        </w:rPr>
        <w:t xml:space="preserve"> herein called Deductible Amount) and unless such loss on account of such instrument, after deducting all recoveries on account of such instrument made prior to the payment of such loss by the Underwriter, shall be in excess of such Deductible Amount and then for such excess only, but in no event more than the amount of the attached bond, or the amount of coverage under the Unauthorized Signatures Rider, if the amount of such coverage is less than the amount of the attached bond.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105410</wp:posOffset>
            </wp:positionV>
            <wp:extent cx="3927475" cy="720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#4 (Continued)</w:t>
      </w:r>
    </w:p>
    <w:p>
      <w:pPr>
        <w:spacing w:after="0" w:line="218" w:lineRule="exact"/>
        <w:rPr>
          <w:sz w:val="20"/>
          <w:szCs w:val="20"/>
          <w:color w:val="auto"/>
        </w:rPr>
      </w:pPr>
    </w:p>
    <w:p>
      <w:pPr>
        <w:ind w:left="46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60"/>
            <w:col w:w="1084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AUTOMATED PHONE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AUTOMATED PHONE SYSTEM</w:t>
      </w:r>
    </w:p>
    <w:p>
      <w:pPr>
        <w:spacing w:after="0" w:line="218" w:lineRule="exact"/>
        <w:rPr>
          <w:sz w:val="20"/>
          <w:szCs w:val="20"/>
          <w:color w:val="auto"/>
        </w:rPr>
      </w:pPr>
    </w:p>
    <w:p>
      <w:pPr>
        <w:ind w:left="900" w:right="160" w:hanging="446"/>
        <w:spacing w:after="0" w:line="255"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Loss caused by an Automated Phone System (“APS”) Transaction, where the request for such APS Transaction is unauthorized or fraudulent and is made with the manifest intent to deceive; provided, that the entity which receives such request generally maintains and follows during the bond Period all APS Designated Procedures with respect to APS Transactions. The Unintentional isolated failure of such entity to maintain and follow a particular APS Designated Procedure in a particular instance shall not preclude coverage under this Insuring Agreement, subject to the exclusions herein and in the Bond.</w:t>
      </w:r>
    </w:p>
    <w:p>
      <w:pPr>
        <w:spacing w:after="0" w:line="61" w:lineRule="exact"/>
        <w:rPr>
          <w:rFonts w:ascii="Arial" w:cs="Arial" w:eastAsia="Arial" w:hAnsi="Arial"/>
          <w:sz w:val="18"/>
          <w:szCs w:val="18"/>
          <w:color w:val="auto"/>
        </w:rPr>
      </w:pPr>
    </w:p>
    <w:p>
      <w:pPr>
        <w:ind w:left="1480" w:hanging="567"/>
        <w:spacing w:after="0"/>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used in this Insuring Agreement shall have the following meanings: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“APS Transaction” means any APS Redemption, APS Exchange or APS Election.</w:t>
      </w:r>
    </w:p>
    <w:p>
      <w:pPr>
        <w:spacing w:after="0" w:line="90" w:lineRule="exact"/>
        <w:rPr>
          <w:rFonts w:ascii="Arial" w:cs="Arial" w:eastAsia="Arial" w:hAnsi="Arial"/>
          <w:sz w:val="18"/>
          <w:szCs w:val="18"/>
          <w:color w:val="auto"/>
        </w:rPr>
      </w:pPr>
    </w:p>
    <w:p>
      <w:pPr>
        <w:ind w:left="1920" w:right="440" w:hanging="440"/>
        <w:spacing w:after="0" w:line="268" w:lineRule="auto"/>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“APS Redemption” means any redemption of shares issued by an Investment Company which is requested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120" w:hanging="440"/>
        <w:spacing w:after="0" w:line="268" w:lineRule="auto"/>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“APS Election” means any election concerning dividend options available to Fund Shareholders which is made over the telephone by means of information transmitted by an individual caller through use of a telephone keypad.</w:t>
      </w:r>
    </w:p>
    <w:p>
      <w:pPr>
        <w:spacing w:after="0" w:line="50" w:lineRule="exact"/>
        <w:rPr>
          <w:rFonts w:ascii="Arial" w:cs="Arial" w:eastAsia="Arial" w:hAnsi="Arial"/>
          <w:sz w:val="18"/>
          <w:szCs w:val="18"/>
          <w:color w:val="auto"/>
        </w:rPr>
      </w:pPr>
    </w:p>
    <w:p>
      <w:pPr>
        <w:ind w:left="1920" w:right="100" w:hanging="440"/>
        <w:spacing w:after="0" w:line="268" w:lineRule="auto"/>
        <w:tabs>
          <w:tab w:leader="none" w:pos="192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“APS Exchange” means any exchange of shares in a registered account of one Fund into shares in an identically registered account of another Fund in the same complex pursuant to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143510</wp:posOffset>
            </wp:positionV>
            <wp:extent cx="3927475" cy="720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164" w:lineRule="exact"/>
        <w:rPr>
          <w:sz w:val="20"/>
          <w:szCs w:val="20"/>
          <w:color w:val="auto"/>
        </w:rPr>
      </w:pPr>
    </w:p>
    <w:p>
      <w:pPr>
        <w:ind w:left="1940" w:right="320"/>
        <w:spacing w:after="0" w:line="268" w:lineRule="auto"/>
        <w:rPr>
          <w:sz w:val="20"/>
          <w:szCs w:val="20"/>
          <w:color w:val="auto"/>
        </w:rPr>
      </w:pPr>
      <w:r>
        <w:rPr>
          <w:rFonts w:ascii="Arial" w:cs="Arial" w:eastAsia="Arial" w:hAnsi="Arial"/>
          <w:sz w:val="18"/>
          <w:szCs w:val="18"/>
          <w:color w:val="auto"/>
        </w:rPr>
        <w:t>privileges of the two Funds, which exchange is requested over the telephone by means of information transmitted by an individual caller through use of a telephone keypad.</w:t>
      </w:r>
    </w:p>
    <w:p>
      <w:pPr>
        <w:spacing w:after="0" w:line="51" w:lineRule="exact"/>
        <w:rPr>
          <w:sz w:val="20"/>
          <w:szCs w:val="20"/>
          <w:color w:val="auto"/>
        </w:rPr>
      </w:pPr>
    </w:p>
    <w:p>
      <w:pPr>
        <w:ind w:left="1920" w:hanging="440"/>
        <w:spacing w:after="0"/>
        <w:tabs>
          <w:tab w:leader="none" w:pos="1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“APS Designated Procedures” means all of the following procedures:</w:t>
      </w:r>
    </w:p>
    <w:p>
      <w:pPr>
        <w:spacing w:after="0" w:line="90" w:lineRule="exact"/>
        <w:rPr>
          <w:rFonts w:ascii="Arial" w:cs="Arial" w:eastAsia="Arial" w:hAnsi="Arial"/>
          <w:sz w:val="18"/>
          <w:szCs w:val="18"/>
          <w:color w:val="auto"/>
        </w:rPr>
      </w:pPr>
    </w:p>
    <w:p>
      <w:pPr>
        <w:ind w:left="2380" w:right="760" w:hanging="441"/>
        <w:spacing w:after="0" w:line="332" w:lineRule="auto"/>
        <w:tabs>
          <w:tab w:leader="none" w:pos="238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Election in Application</w:t>
      </w:r>
      <w:r>
        <w:rPr>
          <w:rFonts w:ascii="Arial" w:cs="Arial" w:eastAsia="Arial" w:hAnsi="Arial"/>
          <w:sz w:val="16"/>
          <w:szCs w:val="16"/>
          <w:color w:val="auto"/>
        </w:rPr>
        <w:t>: No APS Redemption shall be executed unless the shareholder to whose account such an APS Redemption relates has previously elected by Official Designation to permit such APS Redemption.</w:t>
      </w:r>
    </w:p>
    <w:p>
      <w:pPr>
        <w:spacing w:after="0" w:line="4" w:lineRule="exact"/>
        <w:rPr>
          <w:rFonts w:ascii="Arial" w:cs="Arial" w:eastAsia="Arial" w:hAnsi="Arial"/>
          <w:sz w:val="16"/>
          <w:szCs w:val="16"/>
          <w:color w:val="auto"/>
        </w:rPr>
      </w:pPr>
    </w:p>
    <w:p>
      <w:pPr>
        <w:ind w:left="2380" w:right="260" w:hanging="441"/>
        <w:spacing w:after="0" w:line="259" w:lineRule="auto"/>
        <w:tabs>
          <w:tab w:leader="none" w:pos="238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Logging</w:t>
      </w:r>
      <w:r>
        <w:rPr>
          <w:rFonts w:ascii="Arial" w:cs="Arial" w:eastAsia="Arial" w:hAnsi="Arial"/>
          <w:sz w:val="18"/>
          <w:szCs w:val="18"/>
          <w:color w:val="auto"/>
        </w:rPr>
        <w:t>: All APS Transaction requests shall be logged or otherwise recorded, so as to preserve all of the information transmitted by an individual caller through use of a telephone keypad in the course of such a request, and the records shall be retained for at least six months.</w:t>
      </w:r>
    </w:p>
    <w:p>
      <w:pPr>
        <w:spacing w:after="0" w:line="59" w:lineRule="exact"/>
        <w:rPr>
          <w:rFonts w:ascii="Arial" w:cs="Arial" w:eastAsia="Arial" w:hAnsi="Arial"/>
          <w:sz w:val="18"/>
          <w:szCs w:val="18"/>
          <w:color w:val="auto"/>
        </w:rPr>
      </w:pPr>
    </w:p>
    <w:p>
      <w:pPr>
        <w:ind w:left="2960" w:hanging="562"/>
        <w:spacing w:after="0"/>
        <w:tabs>
          <w:tab w:leader="none" w:pos="2960" w:val="left"/>
        </w:tabs>
        <w:numPr>
          <w:ilvl w:val="2"/>
          <w:numId w:val="71"/>
        </w:numPr>
        <w:rPr>
          <w:rFonts w:ascii="Arial" w:cs="Arial" w:eastAsia="Arial" w:hAnsi="Arial"/>
          <w:sz w:val="18"/>
          <w:szCs w:val="18"/>
          <w:color w:val="auto"/>
        </w:rPr>
      </w:pPr>
      <w:r>
        <w:rPr>
          <w:rFonts w:ascii="Arial" w:cs="Arial" w:eastAsia="Arial" w:hAnsi="Arial"/>
          <w:sz w:val="18"/>
          <w:szCs w:val="18"/>
          <w:color w:val="auto"/>
        </w:rPr>
        <w:t>Information contained in the records shall be capable of being retrieved through the following methods:</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audio tape and or transactions stored on computer disks</w:t>
      </w:r>
    </w:p>
    <w:p>
      <w:pPr>
        <w:spacing w:after="0" w:line="90" w:lineRule="exact"/>
        <w:rPr>
          <w:sz w:val="20"/>
          <w:szCs w:val="20"/>
          <w:color w:val="auto"/>
        </w:rPr>
      </w:pPr>
    </w:p>
    <w:p>
      <w:pPr>
        <w:ind w:left="2960" w:right="300" w:hanging="562"/>
        <w:spacing w:after="0" w:line="332" w:lineRule="auto"/>
        <w:tabs>
          <w:tab w:leader="none" w:pos="29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Information contained in the records shall be capable of being retrieved and produced within a reasonable time after retrieval of specific information is requested, at a success rate of no less than 85 percent.</w:t>
      </w:r>
    </w:p>
    <w:p>
      <w:pPr>
        <w:spacing w:after="0" w:line="4" w:lineRule="exact"/>
        <w:rPr>
          <w:rFonts w:ascii="Arial" w:cs="Arial" w:eastAsia="Arial" w:hAnsi="Arial"/>
          <w:sz w:val="16"/>
          <w:szCs w:val="16"/>
          <w:color w:val="auto"/>
        </w:rPr>
      </w:pPr>
    </w:p>
    <w:p>
      <w:pPr>
        <w:ind w:left="2380" w:right="480" w:hanging="441"/>
        <w:spacing w:after="0" w:line="332" w:lineRule="auto"/>
        <w:tabs>
          <w:tab w:leader="none" w:pos="23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Identity Test</w:t>
      </w:r>
      <w:r>
        <w:rPr>
          <w:rFonts w:ascii="Arial" w:cs="Arial" w:eastAsia="Arial" w:hAnsi="Arial"/>
          <w:sz w:val="16"/>
          <w:szCs w:val="16"/>
          <w:color w:val="auto"/>
        </w:rPr>
        <w:t>: The identity of the caller in any request for an APS Transaction shall be tested before execution of that APS Transaction by requiring the entry by the caller of a confidential personal identification number (“PIN”)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218" w:lineRule="exact"/>
        <w:rPr>
          <w:sz w:val="20"/>
          <w:szCs w:val="20"/>
          <w:color w:val="auto"/>
        </w:rPr>
      </w:pPr>
    </w:p>
    <w:p>
      <w:pPr>
        <w:ind w:left="2960" w:right="340" w:hanging="562"/>
        <w:spacing w:after="0" w:line="332" w:lineRule="auto"/>
        <w:tabs>
          <w:tab w:leader="none" w:pos="2960" w:val="left"/>
        </w:tabs>
        <w:numPr>
          <w:ilvl w:val="3"/>
          <w:numId w:val="74"/>
        </w:numPr>
        <w:rPr>
          <w:rFonts w:ascii="Arial" w:cs="Arial" w:eastAsia="Arial" w:hAnsi="Arial"/>
          <w:sz w:val="16"/>
          <w:szCs w:val="16"/>
          <w:color w:val="auto"/>
        </w:rPr>
      </w:pPr>
      <w:r>
        <w:rPr>
          <w:rFonts w:ascii="Arial" w:cs="Arial" w:eastAsia="Arial" w:hAnsi="Arial"/>
          <w:sz w:val="16"/>
          <w:szCs w:val="16"/>
          <w:color w:val="auto"/>
        </w:rPr>
        <w:t>Limited Attempts to Enter PIN: If the caller fails to enter a correct PIN within three attempts, the caller must not be allowed additional attempts during the same (telephone call/twenty-four hour day) to enter the PIN</w:t>
      </w:r>
    </w:p>
    <w:p>
      <w:pPr>
        <w:spacing w:after="0" w:line="4" w:lineRule="exact"/>
        <w:rPr>
          <w:rFonts w:ascii="Arial" w:cs="Arial" w:eastAsia="Arial" w:hAnsi="Arial"/>
          <w:sz w:val="16"/>
          <w:szCs w:val="16"/>
          <w:color w:val="auto"/>
        </w:rPr>
      </w:pPr>
    </w:p>
    <w:p>
      <w:pPr>
        <w:ind w:left="2380" w:right="80" w:hanging="441"/>
        <w:spacing w:after="0" w:line="259" w:lineRule="auto"/>
        <w:tabs>
          <w:tab w:leader="none" w:pos="2380"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Written Confirmation</w:t>
      </w:r>
      <w:r>
        <w:rPr>
          <w:rFonts w:ascii="Arial" w:cs="Arial" w:eastAsia="Arial" w:hAnsi="Arial"/>
          <w:sz w:val="18"/>
          <w:szCs w:val="18"/>
          <w:color w:val="auto"/>
        </w:rPr>
        <w:t>: A written confirmation of any APS Transaction shall be mailed to the shareholder(s) to whose account such APS Transaction relates, at the original record address, by the end of the Insured’s next regular processing cycle, but in no event later than five business days following such APS Transaction.</w:t>
      </w:r>
    </w:p>
    <w:p>
      <w:pPr>
        <w:spacing w:after="0" w:line="59" w:lineRule="exact"/>
        <w:rPr>
          <w:rFonts w:ascii="Arial" w:cs="Arial" w:eastAsia="Arial" w:hAnsi="Arial"/>
          <w:sz w:val="18"/>
          <w:szCs w:val="18"/>
          <w:color w:val="auto"/>
        </w:rPr>
      </w:pPr>
    </w:p>
    <w:p>
      <w:pPr>
        <w:ind w:left="2380" w:right="120" w:hanging="441"/>
        <w:spacing w:after="0" w:line="268" w:lineRule="auto"/>
        <w:tabs>
          <w:tab w:leader="none" w:pos="2380" w:val="left"/>
        </w:tabs>
        <w:numPr>
          <w:ilvl w:val="2"/>
          <w:numId w:val="75"/>
        </w:numPr>
        <w:rPr>
          <w:rFonts w:ascii="Arial" w:cs="Arial" w:eastAsia="Arial" w:hAnsi="Arial"/>
          <w:sz w:val="18"/>
          <w:szCs w:val="18"/>
          <w:color w:val="auto"/>
        </w:rPr>
      </w:pPr>
      <w:r>
        <w:rPr>
          <w:rFonts w:ascii="Arial" w:cs="Arial" w:eastAsia="Arial" w:hAnsi="Arial"/>
          <w:sz w:val="18"/>
          <w:szCs w:val="18"/>
          <w:u w:val="single" w:color="auto"/>
          <w:color w:val="auto"/>
        </w:rPr>
        <w:t>Access to APS Equipment</w:t>
      </w:r>
      <w:r>
        <w:rPr>
          <w:rFonts w:ascii="Arial" w:cs="Arial" w:eastAsia="Arial" w:hAnsi="Arial"/>
          <w:sz w:val="18"/>
          <w:szCs w:val="18"/>
          <w:color w:val="auto"/>
        </w:rPr>
        <w:t>: Access to the equipment which permits the entity receiving the APS Transaction request to process and effect the transaction shall be limited in the following manner: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It is further understood and agreed that this extension shall not cover: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loss covered under Insuring Agreement A. “Fidelity”, of this Bond;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loss resulting from:</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made payable to other than</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3"/>
          <w:numId w:val="76"/>
        </w:numPr>
        <w:rPr>
          <w:rFonts w:ascii="Arial" w:cs="Arial" w:eastAsia="Arial" w:hAnsi="Arial"/>
          <w:sz w:val="18"/>
          <w:szCs w:val="18"/>
          <w:color w:val="auto"/>
        </w:rPr>
      </w:pPr>
      <w:r>
        <w:rPr>
          <w:rFonts w:ascii="Arial" w:cs="Arial" w:eastAsia="Arial" w:hAnsi="Arial"/>
          <w:sz w:val="18"/>
          <w:szCs w:val="18"/>
          <w:color w:val="auto"/>
        </w:rPr>
        <w:t>the shareholder of record, or</w:t>
      </w:r>
    </w:p>
    <w:p>
      <w:pPr>
        <w:spacing w:after="0" w:line="90" w:lineRule="exact"/>
        <w:rPr>
          <w:sz w:val="20"/>
          <w:szCs w:val="20"/>
          <w:color w:val="auto"/>
        </w:rPr>
      </w:pPr>
    </w:p>
    <w:p>
      <w:pPr>
        <w:ind w:left="2960" w:hanging="562"/>
        <w:spacing w:after="0"/>
        <w:tabs>
          <w:tab w:leader="none" w:pos="2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person officially Designated to receive redemption proceeds,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bank account officially Designated to receive redemption proceeds, or</w:t>
      </w:r>
    </w:p>
    <w:p>
      <w:pPr>
        <w:spacing w:after="0" w:line="90" w:lineRule="exact"/>
        <w:rPr>
          <w:rFonts w:ascii="Arial" w:cs="Arial" w:eastAsia="Arial" w:hAnsi="Arial"/>
          <w:sz w:val="18"/>
          <w:szCs w:val="18"/>
          <w:color w:val="auto"/>
        </w:rPr>
      </w:pPr>
    </w:p>
    <w:p>
      <w:pPr>
        <w:ind w:left="2380" w:right="100" w:hanging="441"/>
        <w:spacing w:after="0" w:line="268" w:lineRule="auto"/>
        <w:tabs>
          <w:tab w:leader="none" w:pos="23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check mailed to any address, unless such address has either been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#5 (Continued)</w:t>
      </w:r>
    </w:p>
    <w:p>
      <w:pPr>
        <w:spacing w:after="0" w:line="218" w:lineRule="exact"/>
        <w:rPr>
          <w:sz w:val="20"/>
          <w:szCs w:val="20"/>
          <w:color w:val="auto"/>
        </w:rPr>
      </w:pPr>
    </w:p>
    <w:p>
      <w:pPr>
        <w:ind w:left="2960" w:hanging="562"/>
        <w:spacing w:after="0" w:line="268" w:lineRule="auto"/>
        <w:tabs>
          <w:tab w:leader="none" w:pos="29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designated by voice over the telephone or in writing without a signature guarantee, in either case at least thirty (30) days prior to such redemption, or</w:t>
      </w:r>
    </w:p>
    <w:p>
      <w:pPr>
        <w:spacing w:after="0" w:line="50" w:lineRule="exact"/>
        <w:rPr>
          <w:rFonts w:ascii="Arial" w:cs="Arial" w:eastAsia="Arial" w:hAnsi="Arial"/>
          <w:sz w:val="18"/>
          <w:szCs w:val="18"/>
          <w:color w:val="auto"/>
        </w:rPr>
      </w:pPr>
    </w:p>
    <w:p>
      <w:pPr>
        <w:ind w:left="2960" w:hanging="562"/>
        <w:spacing w:after="0"/>
        <w:tabs>
          <w:tab w:leader="none" w:pos="29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officially Designated, or</w:t>
      </w:r>
    </w:p>
    <w:p>
      <w:pPr>
        <w:spacing w:after="0" w:line="90" w:lineRule="exact"/>
        <w:rPr>
          <w:rFonts w:ascii="Arial" w:cs="Arial" w:eastAsia="Arial" w:hAnsi="Arial"/>
          <w:sz w:val="18"/>
          <w:szCs w:val="18"/>
          <w:color w:val="auto"/>
        </w:rPr>
      </w:pPr>
    </w:p>
    <w:p>
      <w:pPr>
        <w:ind w:left="2960" w:hanging="562"/>
        <w:spacing w:after="0"/>
        <w:tabs>
          <w:tab w:leader="none" w:pos="2960" w:val="left"/>
        </w:tabs>
        <w:numPr>
          <w:ilvl w:val="2"/>
          <w:numId w:val="79"/>
        </w:numPr>
        <w:rPr>
          <w:rFonts w:ascii="Arial" w:cs="Arial" w:eastAsia="Arial" w:hAnsi="Arial"/>
          <w:sz w:val="18"/>
          <w:szCs w:val="18"/>
          <w:color w:val="auto"/>
        </w:rPr>
      </w:pPr>
      <w:r>
        <w:rPr>
          <w:rFonts w:ascii="Arial" w:cs="Arial" w:eastAsia="Arial" w:hAnsi="Arial"/>
          <w:sz w:val="18"/>
          <w:szCs w:val="18"/>
          <w:color w:val="auto"/>
        </w:rPr>
        <w:t>verified by any other procedures which may be stated below in this Rider, or</w:t>
      </w:r>
    </w:p>
    <w:p>
      <w:pPr>
        <w:spacing w:after="0" w:line="90" w:lineRule="exact"/>
        <w:rPr>
          <w:rFonts w:ascii="Arial" w:cs="Arial" w:eastAsia="Arial" w:hAnsi="Arial"/>
          <w:sz w:val="18"/>
          <w:szCs w:val="18"/>
          <w:color w:val="auto"/>
        </w:rPr>
      </w:pPr>
    </w:p>
    <w:p>
      <w:pPr>
        <w:ind w:left="2380" w:right="460" w:hanging="441"/>
        <w:spacing w:after="0" w:line="268" w:lineRule="auto"/>
        <w:tabs>
          <w:tab w:leader="none" w:pos="2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redemption of shares, where the proceeds of such redemption are paid by wire transfer to other than the shareholder’s officially Designated bank account, or</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Intentional failure to adhere to one or more APS Designated Procedures.</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provisions of the attached bond other than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203835</wp:posOffset>
            </wp:positionV>
            <wp:extent cx="3927475" cy="720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6"/>
          <w:szCs w:val="16"/>
          <w:color w:val="auto"/>
        </w:rPr>
        <w:t>01-899-97-54</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40"/>
            <w:col w:w="1086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“Voice Initiated Funds Transfers”</w:t>
      </w:r>
    </w:p>
    <w:p>
      <w:pPr>
        <w:spacing w:after="0" w:line="171"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Loss resulting directly from the Insured having, in good faith, transferred funds from a Customer’s account through an electronic funds transfer system covered in the Computer Systems Insuring Agreement attached to this bond, in reliance upon a Voice Initiated Funds Transfer Instruction which was purported to be from an officer, director, partner or employee of a Customer of the Insured who was authorized and appointed by such Customer to instruct the Insured by means of voice message transmitted by telephone to make certain funds transfers, and which instruction</w:t>
      </w:r>
    </w:p>
    <w:p>
      <w:pPr>
        <w:spacing w:after="0" w:line="32" w:lineRule="exact"/>
        <w:rPr>
          <w:sz w:val="20"/>
          <w:szCs w:val="20"/>
          <w:color w:val="auto"/>
        </w:rPr>
      </w:pPr>
    </w:p>
    <w:p>
      <w:pPr>
        <w:ind w:left="900" w:right="120" w:hanging="446"/>
        <w:spacing w:after="0" w:line="268" w:lineRule="auto"/>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was in fact, from an impostor, or a person not authorized by the Customer to issue such instructions by voice message transmitted by telephone, and which</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was received by an Employee of the Insured specifically designated to receive and act upon such instructions; but provided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proper password(s) or code words(s) given; and</w:t>
      </w:r>
    </w:p>
    <w:p>
      <w:pPr>
        <w:spacing w:after="0" w:line="84" w:lineRule="exact"/>
        <w:rPr>
          <w:rFonts w:ascii="Arial" w:cs="Arial" w:eastAsia="Arial" w:hAnsi="Arial"/>
          <w:sz w:val="18"/>
          <w:szCs w:val="18"/>
          <w:color w:val="auto"/>
        </w:rPr>
      </w:pPr>
    </w:p>
    <w:p>
      <w:pPr>
        <w:ind w:left="1480" w:right="180" w:hanging="567"/>
        <w:spacing w:after="0" w:line="275" w:lineRule="auto"/>
        <w:tabs>
          <w:tab w:leader="none" w:pos="14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if the transfer was in excess of </w:t>
      </w:r>
      <w:r>
        <w:rPr>
          <w:rFonts w:ascii="Arial" w:cs="Arial" w:eastAsia="Arial" w:hAnsi="Arial"/>
          <w:sz w:val="18"/>
          <w:szCs w:val="18"/>
          <w:b w:val="1"/>
          <w:bCs w:val="1"/>
          <w:color w:val="auto"/>
        </w:rPr>
        <w:t>$10,000</w:t>
      </w:r>
      <w:r>
        <w:rPr>
          <w:rFonts w:ascii="Arial" w:cs="Arial" w:eastAsia="Arial" w:hAnsi="Arial"/>
          <w:sz w:val="18"/>
          <w:szCs w:val="18"/>
          <w:color w:val="auto"/>
        </w:rPr>
        <w:t xml:space="preserve"> the voice instruction was verified by a direct call back to an employee or the Customer (or a person thought by the Insured to be an employee of the Customer)</w:t>
      </w:r>
    </w:p>
    <w:p>
      <w:pPr>
        <w:spacing w:after="0" w:line="44" w:lineRule="exact"/>
        <w:rPr>
          <w:rFonts w:ascii="Arial" w:cs="Arial" w:eastAsia="Arial" w:hAnsi="Arial"/>
          <w:sz w:val="18"/>
          <w:szCs w:val="18"/>
          <w:color w:val="auto"/>
        </w:rPr>
      </w:pPr>
    </w:p>
    <w:p>
      <w:pPr>
        <w:ind w:left="460" w:right="120" w:hanging="452"/>
        <w:spacing w:after="0" w:line="37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As used in this Insuring Agreement, Customer means an entity or individual which has a written agreement with the Insured for Customer Voice Initiated Electronic Funds Transfer and has provided the Insured with the names of its officer, directors, partners or employees authorized to initiate such Transfers.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203835</wp:posOffset>
            </wp:positionV>
            <wp:extent cx="3927475" cy="720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38" w:name="page39"/>
    <w:bookmarkEnd w:id="38"/>
    <w:p>
      <w:pPr>
        <w:ind w:left="10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ENDORSEMENT #6 (Continued)</w:t>
      </w:r>
    </w:p>
    <w:p>
      <w:pPr>
        <w:spacing w:after="0" w:line="164" w:lineRule="exact"/>
        <w:rPr>
          <w:sz w:val="20"/>
          <w:szCs w:val="20"/>
          <w:color w:val="auto"/>
        </w:rPr>
      </w:pPr>
    </w:p>
    <w:p>
      <w:pPr>
        <w:ind w:left="460" w:right="140" w:hanging="452"/>
        <w:spacing w:after="0" w:line="352" w:lineRule="auto"/>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As used in this Insuring Agreement, Customer means an entity or individual which has a written agreement with the Insured for Customer Voice Initiated Electronic Funds Transfer and has provided the Insured with the names of its officer, directors, partners or employees authorized to initiate such Transfers.</w:t>
      </w:r>
    </w:p>
    <w:p>
      <w:pPr>
        <w:spacing w:after="0" w:line="1" w:lineRule="exact"/>
        <w:rPr>
          <w:rFonts w:ascii="Arial" w:cs="Arial" w:eastAsia="Arial" w:hAnsi="Arial"/>
          <w:sz w:val="15"/>
          <w:szCs w:val="15"/>
          <w:color w:val="auto"/>
        </w:rPr>
      </w:pPr>
    </w:p>
    <w:p>
      <w:pPr>
        <w:ind w:left="460" w:right="40" w:hanging="452"/>
        <w:spacing w:after="0" w:line="25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limit of Liability for the coverage provided by this rider shall be </w:t>
      </w:r>
      <w:r>
        <w:rPr>
          <w:rFonts w:ascii="Arial" w:cs="Arial" w:eastAsia="Arial" w:hAnsi="Arial"/>
          <w:sz w:val="18"/>
          <w:szCs w:val="18"/>
          <w:b w:val="1"/>
          <w:bCs w:val="1"/>
          <w:color w:val="auto"/>
        </w:rPr>
        <w:t>$5,000,000 (Five Million Dollars)</w:t>
      </w:r>
      <w:r>
        <w:rPr>
          <w:rFonts w:ascii="Arial" w:cs="Arial" w:eastAsia="Arial" w:hAnsi="Arial"/>
          <w:sz w:val="18"/>
          <w:szCs w:val="18"/>
          <w:color w:val="auto"/>
        </w:rPr>
        <w:t xml:space="preserve"> being understood, however, that such liability shall be part of and not in addition to the limit of liability stated in Item 3 of the Declaration of the attached bond. The Underwriter shall be liable hereunder for the amount by which a Single Loss exceeds the Deductible Amount of </w:t>
      </w:r>
      <w:r>
        <w:rPr>
          <w:rFonts w:ascii="Arial" w:cs="Arial" w:eastAsia="Arial" w:hAnsi="Arial"/>
          <w:sz w:val="18"/>
          <w:szCs w:val="18"/>
          <w:b w:val="1"/>
          <w:bCs w:val="1"/>
          <w:color w:val="auto"/>
        </w:rPr>
        <w:t>$50,000 (Fifty Thousand Dollars)</w:t>
      </w:r>
      <w:r>
        <w:rPr>
          <w:rFonts w:ascii="Arial" w:cs="Arial" w:eastAsia="Arial" w:hAnsi="Arial"/>
          <w:sz w:val="18"/>
          <w:szCs w:val="18"/>
          <w:color w:val="auto"/>
        </w:rPr>
        <w:t xml:space="preserve"> not in excess of the Limit of Liability stated above.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following is added as Section 5 at the end of the Computer Systems Fraud Insuring Agreement added by endorsement number 3:</w:t>
      </w:r>
    </w:p>
    <w:p>
      <w:pPr>
        <w:spacing w:after="0" w:line="113" w:lineRule="exact"/>
        <w:rPr>
          <w:rFonts w:ascii="Arial" w:cs="Arial" w:eastAsia="Arial" w:hAnsi="Arial"/>
          <w:sz w:val="16"/>
          <w:szCs w:val="16"/>
          <w:color w:val="auto"/>
        </w:rPr>
      </w:pPr>
    </w:p>
    <w:p>
      <w:pPr>
        <w:ind w:left="1480" w:right="260" w:hanging="567"/>
        <w:spacing w:after="0" w:line="268" w:lineRule="auto"/>
        <w:tabs>
          <w:tab w:leader="none" w:pos="14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Proof of loss for claim under the Voice Initiated Electronic Funds Transfer Insuring Agreement must include electronic recordings of such voice instructions and the verification call back, if such call was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1689735" cy="4972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897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REPRESENTATIVE</w:t>
            </w:r>
          </w:p>
        </w:tc>
      </w:tr>
      <w:tr>
        <w:trPr>
          <w:trHeight w:val="365"/>
        </w:trPr>
        <w:tc>
          <w:tcPr>
            <w:tcW w:w="5280" w:type="dxa"/>
            <w:vAlign w:val="bottom"/>
          </w:tcPr>
          <w:p>
            <w:pPr>
              <w:spacing w:after="0"/>
              <w:rPr>
                <w:sz w:val="20"/>
                <w:szCs w:val="20"/>
                <w:color w:val="auto"/>
              </w:rPr>
            </w:pPr>
            <w:r>
              <w:rPr>
                <w:rFonts w:ascii="Arial" w:cs="Arial" w:eastAsia="Arial" w:hAnsi="Arial"/>
                <w:sz w:val="18"/>
                <w:szCs w:val="18"/>
                <w:b w:val="1"/>
                <w:bCs w:val="1"/>
                <w:color w:val="auto"/>
              </w:rPr>
              <w:t>2-14057</w:t>
            </w:r>
          </w:p>
        </w:tc>
        <w:tc>
          <w:tcPr>
            <w:tcW w:w="15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12"/>
        </w:trPr>
        <w:tc>
          <w:tcPr>
            <w:tcW w:w="5280" w:type="dxa"/>
            <w:vAlign w:val="bottom"/>
          </w:tcPr>
          <w:p>
            <w:pPr>
              <w:spacing w:after="0"/>
              <w:rPr>
                <w:sz w:val="18"/>
                <w:szCs w:val="18"/>
                <w:color w:val="auto"/>
              </w:rPr>
            </w:pPr>
          </w:p>
        </w:tc>
        <w:tc>
          <w:tcPr>
            <w:tcW w:w="6160" w:type="dxa"/>
            <w:vAlign w:val="bottom"/>
            <w:tcBorders>
              <w:bottom w:val="single" w:sz="8" w:color="auto"/>
            </w:tcBorders>
            <w:gridSpan w:val="2"/>
          </w:tcPr>
          <w:p>
            <w:pPr>
              <w:spacing w:after="0"/>
              <w:rPr>
                <w:sz w:val="18"/>
                <w:szCs w:val="18"/>
                <w:color w:val="auto"/>
              </w:rPr>
            </w:pPr>
          </w:p>
        </w:tc>
      </w:tr>
      <w:tr>
        <w:trPr>
          <w:trHeight w:val="202"/>
        </w:trPr>
        <w:tc>
          <w:tcPr>
            <w:tcW w:w="5280" w:type="dxa"/>
            <w:vAlign w:val="bottom"/>
            <w:tcBorders>
              <w:right w:val="single" w:sz="8" w:color="auto"/>
            </w:tcBorders>
          </w:tcPr>
          <w:p>
            <w:pPr>
              <w:spacing w:after="0"/>
              <w:rPr>
                <w:sz w:val="17"/>
                <w:szCs w:val="17"/>
                <w:color w:val="auto"/>
              </w:rPr>
            </w:pPr>
          </w:p>
        </w:tc>
        <w:tc>
          <w:tcPr>
            <w:tcW w:w="6160" w:type="dxa"/>
            <w:vAlign w:val="bottom"/>
            <w:tcBorders>
              <w:right w:val="single" w:sz="8" w:color="auto"/>
            </w:tcBorders>
            <w:gridSpan w:val="2"/>
          </w:tcPr>
          <w:p>
            <w:pPr>
              <w:ind w:left="220"/>
              <w:spacing w:after="0" w:line="201" w:lineRule="exact"/>
              <w:rPr>
                <w:sz w:val="20"/>
                <w:szCs w:val="20"/>
                <w:color w:val="auto"/>
              </w:rPr>
            </w:pPr>
            <w:r>
              <w:rPr>
                <w:rFonts w:ascii="Arial" w:cs="Arial" w:eastAsia="Arial" w:hAnsi="Arial"/>
                <w:sz w:val="18"/>
                <w:szCs w:val="18"/>
                <w:b w:val="1"/>
                <w:bCs w:val="1"/>
                <w:color w:val="auto"/>
              </w:rPr>
              <w:t>NOTICE: THESE POLICY FORMS AND THE APPLICABLE RATES</w:t>
            </w:r>
          </w:p>
        </w:tc>
      </w:tr>
      <w:tr>
        <w:trPr>
          <w:trHeight w:val="216"/>
        </w:trPr>
        <w:tc>
          <w:tcPr>
            <w:tcW w:w="528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ARE EXEMPT FROM THE FILING REQUIREMENTS OF THE NEW</w:t>
            </w:r>
          </w:p>
        </w:tc>
      </w:tr>
      <w:tr>
        <w:trPr>
          <w:trHeight w:val="216"/>
        </w:trPr>
        <w:tc>
          <w:tcPr>
            <w:tcW w:w="528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YORK STATE INSURANCE LAW AND REGULATIONS. HOWEVER,</w:t>
            </w:r>
          </w:p>
        </w:tc>
      </w:tr>
      <w:tr>
        <w:trPr>
          <w:trHeight w:val="216"/>
        </w:trPr>
        <w:tc>
          <w:tcPr>
            <w:tcW w:w="5280" w:type="dxa"/>
            <w:vAlign w:val="bottom"/>
            <w:tcBorders>
              <w:right w:val="single" w:sz="8" w:color="auto"/>
            </w:tcBorders>
          </w:tcPr>
          <w:p>
            <w:pPr>
              <w:spacing w:after="0"/>
              <w:rPr>
                <w:sz w:val="18"/>
                <w:szCs w:val="18"/>
                <w:color w:val="auto"/>
              </w:rPr>
            </w:pPr>
          </w:p>
        </w:tc>
        <w:tc>
          <w:tcPr>
            <w:tcW w:w="61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THE FORMS AND RATES MUST MEET THE MINIMUM STANDARDS</w:t>
            </w:r>
          </w:p>
        </w:tc>
      </w:tr>
      <w:tr>
        <w:trPr>
          <w:trHeight w:val="237"/>
        </w:trPr>
        <w:tc>
          <w:tcPr>
            <w:tcW w:w="5280" w:type="dxa"/>
            <w:vAlign w:val="bottom"/>
            <w:tcBorders>
              <w:right w:val="single" w:sz="8" w:color="auto"/>
            </w:tcBorders>
          </w:tcPr>
          <w:p>
            <w:pPr>
              <w:spacing w:after="0"/>
              <w:rPr>
                <w:sz w:val="20"/>
                <w:szCs w:val="20"/>
                <w:color w:val="auto"/>
              </w:rPr>
            </w:pPr>
          </w:p>
        </w:tc>
        <w:tc>
          <w:tcPr>
            <w:tcW w:w="6160" w:type="dxa"/>
            <w:vAlign w:val="bottom"/>
            <w:tcBorders>
              <w:bottom w:val="single" w:sz="8" w:color="auto"/>
              <w:right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OF THE NEW YORK INSURANCE LAW AND REGULATIONS</w:t>
            </w:r>
          </w:p>
        </w:tc>
      </w:tr>
      <w:tr>
        <w:trPr>
          <w:trHeight w:val="356"/>
        </w:trPr>
        <w:tc>
          <w:tcPr>
            <w:tcW w:w="5280" w:type="dxa"/>
            <w:vAlign w:val="bottom"/>
          </w:tcPr>
          <w:p>
            <w:pPr>
              <w:spacing w:after="0"/>
              <w:rPr>
                <w:sz w:val="20"/>
                <w:szCs w:val="20"/>
                <w:color w:val="auto"/>
              </w:rPr>
            </w:pPr>
            <w:r>
              <w:rPr>
                <w:rFonts w:ascii="Arial" w:cs="Arial" w:eastAsia="Arial" w:hAnsi="Arial"/>
                <w:sz w:val="18"/>
                <w:szCs w:val="18"/>
                <w:color w:val="auto"/>
              </w:rPr>
              <w:t>41206 (9/84)</w:t>
            </w:r>
          </w:p>
        </w:tc>
        <w:tc>
          <w:tcPr>
            <w:tcW w:w="1580" w:type="dxa"/>
            <w:vAlign w:val="bottom"/>
          </w:tcPr>
          <w:p>
            <w:pPr>
              <w:ind w:left="480"/>
              <w:spacing w:after="0"/>
              <w:rPr>
                <w:sz w:val="20"/>
                <w:szCs w:val="20"/>
                <w:color w:val="auto"/>
              </w:rPr>
            </w:pPr>
            <w:r>
              <w:rPr>
                <w:rFonts w:ascii="Arial" w:cs="Arial" w:eastAsia="Arial" w:hAnsi="Arial"/>
                <w:sz w:val="18"/>
                <w:szCs w:val="18"/>
                <w:color w:val="auto"/>
              </w:rPr>
              <w:t>35</w:t>
            </w:r>
          </w:p>
        </w:tc>
        <w:tc>
          <w:tcPr>
            <w:tcW w:w="4580" w:type="dxa"/>
            <w:vAlign w:val="bottom"/>
          </w:tcPr>
          <w:p>
            <w:pPr>
              <w:ind w:left="2480"/>
              <w:spacing w:after="0"/>
              <w:rPr>
                <w:sz w:val="20"/>
                <w:szCs w:val="20"/>
                <w:color w:val="auto"/>
              </w:rPr>
            </w:pPr>
            <w:r>
              <w:rPr>
                <w:rFonts w:ascii="Arial" w:cs="Arial" w:eastAsia="Arial" w:hAnsi="Arial"/>
                <w:sz w:val="18"/>
                <w:szCs w:val="18"/>
                <w:b w:val="1"/>
                <w:bCs w:val="1"/>
                <w:color w:val="auto"/>
              </w:rPr>
              <w:t>COPY</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17291990.2.BUSINESS</w:t>
            </w:r>
          </w:p>
        </w:tc>
        <w:tc>
          <w:tcPr>
            <w:tcW w:w="1580" w:type="dxa"/>
            <w:vAlign w:val="bottom"/>
          </w:tcPr>
          <w:p>
            <w:pPr>
              <w:spacing w:after="0"/>
              <w:rPr>
                <w:sz w:val="19"/>
                <w:szCs w:val="19"/>
                <w:color w:val="auto"/>
              </w:rPr>
            </w:pPr>
          </w:p>
        </w:tc>
        <w:tc>
          <w:tcPr>
            <w:tcW w:w="4580" w:type="dxa"/>
            <w:vAlign w:val="bottom"/>
          </w:tcPr>
          <w:p>
            <w:pPr>
              <w:spacing w:after="0"/>
              <w:rPr>
                <w:sz w:val="19"/>
                <w:szCs w:val="19"/>
                <w:color w:val="auto"/>
              </w:rPr>
            </w:pPr>
          </w:p>
        </w:tc>
      </w:tr>
    </w:tbl>
    <w:p>
      <w:pPr>
        <w:sectPr>
          <w:pgSz w:w="11900" w:h="16838" w:orient="portrait"/>
          <w:cols w:equalWidth="0" w:num="1">
            <w:col w:w="11440"/>
          </w:cols>
          <w:pgMar w:left="240" w:top="280" w:right="2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480"/>
            <w:col w:w="1072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DEFINITION OF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DEFINITIONS, Section 1(a), Employee, is amended to include the following: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non-compensated directors and officers while performing duties coming within the scope of the usual duties of an Employee;</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480"/>
            <w:col w:w="1072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TELEFACSIMILE TRANSFER FRAUD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90"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Loss resulting by reason of the Insured having transferred, paid or delivered any funds or Property, established any credit, debited any account, or given any value relying on any fraudulent instructions sent by a customer or financial institution by Telefacsimile Transmission directed to the Insured, authorizing or acknowledging the transfer, payment, or delivery of funds or property, the establishment of a credit, debiting of any account, or the giving of value by the Insured, but only if such telefacsimile instructions:</w:t>
      </w:r>
    </w:p>
    <w:p>
      <w:pPr>
        <w:spacing w:after="0" w:line="62"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bear a valid test key exchanged between the Insured and a customer or another financial institution with authority to use such test key for Telefacsimile instructions in the ordinary course of business, but which test key has been wrongfully obtained by a person who was not authorized to initiate, make, validate or authenticate a test key arrangement; and</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fraudulently purport to have been sent by such customer or financial institution, but which telefacsimile instruction were transmitted without the knowledge or consent of such customer or financial institution by a person other than such customer or financial institution and which bear a forged signature.</w:t>
      </w:r>
    </w:p>
    <w:p>
      <w:pPr>
        <w:spacing w:after="0" w:line="59"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“Telefacsimile” means a system of transmitting written documents by electronic signals over telephone lines to equipment maintained by the Insured within its communication room for the purposes of reproducing a copy of said document. It does not mean electronic communication sent by Telex, TWC, or electronic mail, or Automated Clearing House.</w:t>
      </w:r>
    </w:p>
    <w:p>
      <w:pPr>
        <w:spacing w:after="0" w:line="53" w:lineRule="exact"/>
        <w:rPr>
          <w:sz w:val="20"/>
          <w:szCs w:val="20"/>
          <w:color w:val="auto"/>
        </w:rPr>
      </w:pPr>
    </w:p>
    <w:p>
      <w:pPr>
        <w:ind w:left="460" w:right="200" w:hanging="452"/>
        <w:spacing w:after="0" w:line="339"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limit of Liability for the coverage provided by this rider shall be Five Million Hundred Dollars </w:t>
      </w:r>
      <w:r>
        <w:rPr>
          <w:rFonts w:ascii="Arial" w:cs="Arial" w:eastAsia="Arial" w:hAnsi="Arial"/>
          <w:sz w:val="16"/>
          <w:szCs w:val="16"/>
          <w:b w:val="1"/>
          <w:bCs w:val="1"/>
          <w:color w:val="auto"/>
        </w:rPr>
        <w:t>($5,000,000)</w:t>
      </w:r>
      <w:r>
        <w:rPr>
          <w:rFonts w:ascii="Arial" w:cs="Arial" w:eastAsia="Arial" w:hAnsi="Arial"/>
          <w:sz w:val="16"/>
          <w:szCs w:val="16"/>
          <w:color w:val="auto"/>
        </w:rPr>
        <w:t>, it being understood, however, that such liability shall be part of and not in addition to the limit of liability stated in Item 3 of the Declaration of the attached bond.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109220</wp:posOffset>
            </wp:positionV>
            <wp:extent cx="3927475" cy="720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#8 (Continued)</w:t>
      </w:r>
    </w:p>
    <w:p>
      <w:pPr>
        <w:spacing w:after="0" w:line="218" w:lineRule="exact"/>
        <w:rPr>
          <w:sz w:val="20"/>
          <w:szCs w:val="20"/>
          <w:color w:val="auto"/>
        </w:rPr>
      </w:pPr>
    </w:p>
    <w:p>
      <w:pPr>
        <w:ind w:left="460" w:right="46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Underwriter shall be liable hereunder for the amount by which a Single Loss exceeds the Deductible Amount of Ten Thousand of Liability stated above.</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203835</wp:posOffset>
            </wp:positionV>
            <wp:extent cx="3927475" cy="720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ENDORSEMENT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National Union Fire Insurance Company of Pittsburgh, PA.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WORDING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90" w:lineRule="exact"/>
        <w:rPr>
          <w:sz w:val="20"/>
          <w:szCs w:val="20"/>
          <w:color w:val="auto"/>
        </w:rPr>
      </w:pPr>
    </w:p>
    <w:p>
      <w:pPr>
        <w:ind w:left="460" w:hanging="452"/>
        <w:spacing w:after="0" w:line="259"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Insured shall, while this bond is in force, establish any new funds other than by consolidation or merger with, purchase or acquisition of assets or liabilities of, another institution, such funds shall automatically be covered hereunder from the date of such establishment without the payment of additional premium for the remainder of the premium period.</w:t>
      </w:r>
    </w:p>
    <w:p>
      <w:pPr>
        <w:spacing w:after="0" w:line="59" w:lineRule="exact"/>
        <w:rPr>
          <w:rFonts w:ascii="Arial" w:cs="Arial" w:eastAsia="Arial" w:hAnsi="Arial"/>
          <w:sz w:val="18"/>
          <w:szCs w:val="18"/>
          <w:color w:val="auto"/>
        </w:rPr>
      </w:pPr>
    </w:p>
    <w:p>
      <w:pPr>
        <w:ind w:left="460" w:right="100" w:hanging="452"/>
        <w:spacing w:after="0" w:line="291"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Insured shall, while this bond is in force, require an increase in limits to comply with SEC Reg. 17g-1, due to an increase in asset size of current funds insured under the bond or by the addition of new funds, the Insured shall notify the Underwriter of such required increase in limits within 30 days of such increase in asset size and the Insured shall be entitled to receive from the Underwriter within 15 days of the Underwriter’s receipt of such notice an offer for coverage hereunder for such increase in limits from the date of such increase in assets. Such coverage for increase in asset size shall be conditioned upon the Insured paying the Underwriter the required additional premium for such increase in limits, which additional premium shall be in amount determined in the sole and absolute discretion of the Underwriter.</w:t>
      </w:r>
    </w:p>
    <w:p>
      <w:pPr>
        <w:spacing w:after="0" w:line="39"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114935</wp:posOffset>
            </wp:positionV>
            <wp:extent cx="2898775" cy="5060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203835</wp:posOffset>
            </wp:positionV>
            <wp:extent cx="3927475" cy="720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31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ENDORSEMENT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60"/>
            <w:col w:w="10840"/>
          </w:cols>
          <w:pgMar w:left="240" w:top="280" w:right="239" w:bottom="1440" w:gutter="0" w:footer="0" w:header="0"/>
          <w:type w:val="continuous"/>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CLAIM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BY 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premium charged, it is hereby understood and agreed as follows:</w:t>
      </w:r>
    </w:p>
    <w:p>
      <w:pPr>
        <w:spacing w:after="0" w:line="90" w:lineRule="exact"/>
        <w:rPr>
          <w:sz w:val="20"/>
          <w:szCs w:val="20"/>
          <w:color w:val="auto"/>
        </w:rPr>
      </w:pPr>
    </w:p>
    <w:p>
      <w:pPr>
        <w:ind w:left="460" w:right="2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Email Reporting of Claims : In addition to the postal address set forth for any Notice of Claim Reporting under this policy, such notice may also be given in writing pursuant to the policy’s other terms and conditions to the Insurer by email at the following email address: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c-claim@chartisinsurance.com</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Your email must reference the policy number for this policy. The date of the Insurer’s receipt of the emailed notice shall constitute the date of notice.</w:t>
      </w:r>
    </w:p>
    <w:p>
      <w:pPr>
        <w:spacing w:after="0" w:line="113"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In addition to Notice of Claim Reporting via email, notice may also be given to the Insurer by mailing such notice to: c-Claim for Financial Lines, Chartis, Financial Lines Claims, 175 Water Street, 9</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10038 or faxing such notice to (866) 227-1750.</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Definitions : For this endorsement only, the following definitions shall apply:</w:t>
      </w:r>
    </w:p>
    <w:p>
      <w:pPr>
        <w:spacing w:after="0" w:line="90" w:lineRule="exact"/>
        <w:rPr>
          <w:rFonts w:ascii="Arial" w:cs="Arial" w:eastAsia="Arial" w:hAnsi="Arial"/>
          <w:sz w:val="18"/>
          <w:szCs w:val="18"/>
          <w:color w:val="auto"/>
        </w:rPr>
      </w:pPr>
    </w:p>
    <w:p>
      <w:pPr>
        <w:ind w:left="900" w:right="74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“Insurer” means the “Insurer,” “Underwriter” or “Company” or other name specifically ascribed in this policy as the insurance company or underwriter for this policy.</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“Notice of Claim Reporting” means “notice of claim/circumstance,” “notice of loss” or other reference in the policy designated for reporting of claims, loss or occurrences or situations that may give rise or result in loss under this policy.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“Policy” means the policy, bond or other insurance product to which this endorsement is attached.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99758 (08/08)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40</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ENDORSEMENT #10 (Continued)</w:t>
      </w:r>
    </w:p>
    <w:p>
      <w:pPr>
        <w:spacing w:after="0" w:line="21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endorsement does not apply to any Kidnap &amp; Ransom/Extortion Coverage Section, if any, provided by this policy.</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OTHER TERMS, CONDITIONS AND EXCLUSIONS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5060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99758 (08/08)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FORMS AND RATES MUST MEET THE MINIMUM STANDARDS</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ENDORSEMENT #11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60"/>
            <w:col w:w="10840"/>
          </w:cols>
          <w:pgMar w:left="240" w:top="280" w:right="239" w:bottom="1440" w:gutter="0" w:footer="0" w:header="0"/>
          <w:type w:val="continuous"/>
        </w:sectPr>
      </w:pPr>
    </w:p>
    <w:p>
      <w:pPr>
        <w:spacing w:after="0" w:line="1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COVERAGE TERRITORY ENDORSEMENT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17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120015</wp:posOffset>
            </wp:positionV>
            <wp:extent cx="2898775" cy="5060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89644 (07/05)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2"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ENDORSEMENT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effective 12:01 A.M. May 31, 2012 forms a part of</w:t>
      </w:r>
    </w:p>
    <w:p>
      <w:pPr>
        <w:spacing w:after="0" w:line="1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Policy No.</w:t>
      </w:r>
      <w:r>
        <w:rPr>
          <w:sz w:val="20"/>
          <w:szCs w:val="20"/>
          <w:color w:val="auto"/>
        </w:rPr>
        <w:tab/>
      </w:r>
      <w:r>
        <w:rPr>
          <w:rFonts w:ascii="Arial" w:cs="Arial" w:eastAsia="Arial" w:hAnsi="Arial"/>
          <w:sz w:val="15"/>
          <w:szCs w:val="15"/>
          <w:color w:val="auto"/>
        </w:rPr>
        <w:t>01-899-97-54</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color w:val="auto"/>
        </w:rPr>
        <w:t>PENNANTPARK FLOATING RATE CAPITAL LTD.</w:t>
      </w:r>
    </w:p>
    <w:p>
      <w:pPr>
        <w:sectPr>
          <w:pgSz w:w="11900" w:h="16838" w:orient="portrait"/>
          <w:cols w:equalWidth="0" w:num="1">
            <w:col w:w="11420"/>
          </w:cols>
          <w:pgMar w:left="240" w:top="280"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National Union Fire Insurance Company of Pittsburgh, PA.</w:t>
      </w:r>
    </w:p>
    <w:p>
      <w:pPr>
        <w:spacing w:after="0" w:line="222" w:lineRule="exact"/>
        <w:rPr>
          <w:sz w:val="20"/>
          <w:szCs w:val="20"/>
          <w:color w:val="auto"/>
        </w:rPr>
      </w:pPr>
    </w:p>
    <w:p>
      <w:pPr>
        <w:sectPr>
          <w:pgSz w:w="11900" w:h="16838" w:orient="portrait"/>
          <w:cols w:equalWidth="0" w:num="2">
            <w:col w:w="220" w:space="360"/>
            <w:col w:w="10840"/>
          </w:cols>
          <w:pgMar w:left="240" w:top="280" w:right="239" w:bottom="1440" w:gutter="0" w:footer="0" w:header="0"/>
          <w:type w:val="continuous"/>
        </w:sectPr>
      </w:pPr>
    </w:p>
    <w:p>
      <w:pPr>
        <w:spacing w:after="0" w:line="1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FORMS INDEX ENDORSEMENT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FORM NUMBER</w:t>
            </w:r>
          </w:p>
        </w:tc>
        <w:tc>
          <w:tcPr>
            <w:tcW w:w="34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EDITION DATE</w:t>
            </w: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FORM TITLE</w:t>
            </w:r>
          </w:p>
        </w:tc>
        <w:tc>
          <w:tcPr>
            <w:tcW w:w="4160" w:type="dxa"/>
            <w:vAlign w:val="bottom"/>
          </w:tcPr>
          <w:p>
            <w:pPr>
              <w:spacing w:after="0"/>
              <w:rPr>
                <w:sz w:val="15"/>
                <w:szCs w:val="15"/>
                <w:color w:val="auto"/>
              </w:rPr>
            </w:pPr>
          </w:p>
        </w:tc>
      </w:tr>
      <w:tr>
        <w:trPr>
          <w:trHeight w:val="209"/>
        </w:trPr>
        <w:tc>
          <w:tcPr>
            <w:tcW w:w="1080" w:type="dxa"/>
            <w:vAlign w:val="bottom"/>
          </w:tcPr>
          <w:p>
            <w:pPr>
              <w:spacing w:after="0" w:line="202" w:lineRule="exact"/>
              <w:rPr>
                <w:sz w:val="20"/>
                <w:szCs w:val="20"/>
                <w:color w:val="auto"/>
              </w:rPr>
            </w:pPr>
            <w:r>
              <w:rPr>
                <w:rFonts w:ascii="Arial" w:cs="Arial" w:eastAsia="Arial" w:hAnsi="Arial"/>
                <w:sz w:val="18"/>
                <w:szCs w:val="18"/>
                <w:color w:val="auto"/>
              </w:rPr>
              <w:t>41205</w:t>
            </w: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(04/95)</w:t>
            </w:r>
          </w:p>
        </w:tc>
        <w:tc>
          <w:tcPr>
            <w:tcW w:w="280" w:type="dxa"/>
            <w:vAlign w:val="bottom"/>
          </w:tcPr>
          <w:p>
            <w:pPr>
              <w:spacing w:after="0"/>
              <w:rPr>
                <w:sz w:val="18"/>
                <w:szCs w:val="18"/>
                <w:color w:val="auto"/>
              </w:rPr>
            </w:pPr>
          </w:p>
        </w:tc>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INVESTMENET COMPANY BLANKET BOND DEC PAGE</w:t>
            </w:r>
          </w:p>
        </w:tc>
      </w:tr>
      <w:tr>
        <w:trPr>
          <w:trHeight w:val="316"/>
        </w:trPr>
        <w:tc>
          <w:tcPr>
            <w:tcW w:w="1080" w:type="dxa"/>
            <w:vAlign w:val="bottom"/>
          </w:tcPr>
          <w:p>
            <w:pPr>
              <w:spacing w:after="0"/>
              <w:rPr>
                <w:sz w:val="20"/>
                <w:szCs w:val="20"/>
                <w:color w:val="auto"/>
              </w:rPr>
            </w:pPr>
            <w:r>
              <w:rPr>
                <w:rFonts w:ascii="Arial" w:cs="Arial" w:eastAsia="Arial" w:hAnsi="Arial"/>
                <w:sz w:val="18"/>
                <w:szCs w:val="18"/>
                <w:color w:val="auto"/>
              </w:rPr>
              <w:t>41206</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09/84</w:t>
            </w: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INVESTMENET COMPANY BLANKET BOND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83231</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01/09</w:t>
            </w: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NEW YORK LAW 3420 AMENDATORY ENDORSEMENT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69898</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09/06</w:t>
            </w: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w w:val="94"/>
              </w:rPr>
              <w:t>NEW YORK AMENDATORY – CANCELLATION/NONRENEWAL</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COMPUTER SYSTEMS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UNAUTHORIZED SIGNATURES</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AUTOMATED PHONE SYSTEM</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VIT</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AMENDED DEFINITION OF EMPLOYEE</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TELEFACSIMILE TRANSFER FRAUD</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MNSCPT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OMNIBUS WORDING</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99758</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08/08</w:t>
            </w: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NOTICE OF CLAIM (REPORTING BY E-MAIL)</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89644</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07/05</w:t>
            </w: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COVERAGE TERRITORY ENDORSEMENT (OFAC)</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78859</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10/01</w:t>
            </w:r>
          </w:p>
        </w:tc>
        <w:tc>
          <w:tcPr>
            <w:tcW w:w="28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FORMS INDEX ENDORSEMENT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506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REPRESENTATIVE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78859 (10/01)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101600</wp:posOffset>
            </wp:positionV>
            <wp:extent cx="3927475" cy="7200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27475" cy="720090"/>
                    </a:xfrm>
                    <a:prstGeom prst="rect">
                      <a:avLst/>
                    </a:prstGeom>
                    <a:noFill/>
                  </pic:spPr>
                </pic:pic>
              </a:graphicData>
            </a:graphic>
          </wp:anchor>
        </w:drawing>
      </w:r>
    </w:p>
    <w:p>
      <w:pPr>
        <w:spacing w:after="0" w:line="15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NOTICE: THESE POLICY FORMS AND THE APPLICABLE RATES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ARE EXEMPT FROM THE FILING REQUIREMENTS OF THE NEW</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YORK STATE INSURANCE LAW AND REGULATIONS. HOWEVER,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THE FORMS AND RATES MUST MEET THE MINIMUM STANDARDS</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OF THE NEW YORK INSURANCE LAW AND REGULATIONS</w:t>
      </w:r>
    </w:p>
    <w:p>
      <w:pPr>
        <w:spacing w:after="0" w:line="172" w:lineRule="exact"/>
        <w:rPr>
          <w:sz w:val="20"/>
          <w:szCs w:val="20"/>
          <w:color w:val="auto"/>
        </w:rPr>
      </w:pPr>
    </w:p>
    <w:p>
      <w:pPr>
        <w:spacing w:after="0"/>
        <w:tabs>
          <w:tab w:leader="none" w:pos="5740" w:val="left"/>
          <w:tab w:leader="none" w:pos="9320" w:val="left"/>
        </w:tabs>
        <w:rPr>
          <w:sz w:val="20"/>
          <w:szCs w:val="20"/>
          <w:color w:val="auto"/>
        </w:rPr>
      </w:pPr>
      <w:r>
        <w:rPr>
          <w:rFonts w:ascii="Arial" w:cs="Arial" w:eastAsia="Arial" w:hAnsi="Arial"/>
          <w:sz w:val="18"/>
          <w:szCs w:val="18"/>
          <w:color w:val="auto"/>
        </w:rPr>
        <w:t>41206 (9/84)</w:t>
      </w:r>
      <w:r>
        <w:rPr>
          <w:sz w:val="20"/>
          <w:szCs w:val="20"/>
          <w:color w:val="auto"/>
        </w:rPr>
        <w:tab/>
      </w: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COPY</w:t>
      </w:r>
    </w:p>
    <w:p>
      <w:pPr>
        <w:sectPr>
          <w:pgSz w:w="11900" w:h="16838" w:orient="portrait"/>
          <w:cols w:equalWidth="0" w:num="1">
            <w:col w:w="11420"/>
          </w:cols>
          <w:pgMar w:left="240" w:top="280" w:right="2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 OF PENNANTPARK FLOATING RATE CAPITAL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UNDERSIGNED, the duly appointed Secretary of PennantPark Floating Rate Capital Ltd.,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“Directors”), including a majority of the Directors who are not “interested persons” of the Corporation, as defined in Section 2(a)(19) of the 1940 Act (the “Independent Directors”), on May 1, 2012 at a meeting of the Directors:</w:t>
      </w:r>
    </w:p>
    <w:p>
      <w:pPr>
        <w:spacing w:after="0" w:line="29" w:lineRule="exact"/>
        <w:rPr>
          <w:sz w:val="20"/>
          <w:szCs w:val="20"/>
          <w:color w:val="auto"/>
        </w:rPr>
      </w:pPr>
    </w:p>
    <w:p>
      <w:pPr>
        <w:ind w:left="920" w:right="180"/>
        <w:spacing w:after="0" w:line="33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at a meeting of the Directors, PennantPark Investment Advisers, LLC (the “Adviser”), PennantPark Investment Administration, LLC</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and PennantPark Investment Corporation (the “Meeting”) and after reviewing materials presented at the Meeting;</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 BE IT:</w:t>
      </w:r>
    </w:p>
    <w:p>
      <w:pPr>
        <w:spacing w:after="0" w:line="90"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Corporation, the Adviser and the Administrator each be covered as an “Insured” under a joint fidelity bond (the “Bond”)</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58" w:lineRule="exact"/>
        <w:rPr>
          <w:sz w:val="20"/>
          <w:szCs w:val="20"/>
          <w:color w:val="auto"/>
        </w:rPr>
      </w:pPr>
    </w:p>
    <w:p>
      <w:pPr>
        <w:ind w:left="920" w:right="20"/>
        <w:spacing w:after="0" w:line="296"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proposed form and amount of the Bond considered at the Meeting be, and hereby are, approved after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of all factors deemed relevant by the Directors, and separately approved by the Independent Directors, including, but not limited to, the amount of the Bond, the expected value of the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27" w:lineRule="exact"/>
        <w:rPr>
          <w:sz w:val="20"/>
          <w:szCs w:val="20"/>
          <w:color w:val="auto"/>
        </w:rPr>
      </w:pPr>
    </w:p>
    <w:p>
      <w:pPr>
        <w:ind w:left="920" w:right="60"/>
        <w:spacing w:after="0" w:line="291"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including the Independent Directors, after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420"/>
          </w:cols>
          <w:pgMar w:left="240" w:top="274" w:right="239" w:bottom="1440" w:gutter="0" w:footer="0" w:header="0"/>
        </w:sectPr>
      </w:pPr>
    </w:p>
    <w:bookmarkStart w:id="48" w:name="page49"/>
    <w:bookmarkEnd w:id="48"/>
    <w:p>
      <w:pPr>
        <w:spacing w:after="0" w:line="31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FURTHER RESOLVED, </w:t>
      </w:r>
      <w:r>
        <w:rPr>
          <w:rFonts w:ascii="Arial" w:cs="Arial" w:eastAsia="Arial" w:hAnsi="Arial"/>
          <w:sz w:val="15"/>
          <w:szCs w:val="15"/>
          <w:color w:val="auto"/>
        </w:rPr>
        <w:t>that the proposed Joint Fidelity Bond Agreement among the Corporation, the Adviser and the Administrator, providing</w:t>
      </w:r>
      <w:r>
        <w:rPr>
          <w:rFonts w:ascii="Arial" w:cs="Arial" w:eastAsia="Arial" w:hAnsi="Arial"/>
          <w:sz w:val="15"/>
          <w:szCs w:val="15"/>
          <w:b w:val="1"/>
          <w:bCs w:val="1"/>
          <w:color w:val="auto"/>
        </w:rPr>
        <w:t xml:space="preserve"> </w:t>
      </w:r>
      <w:r>
        <w:rPr>
          <w:rFonts w:ascii="Arial" w:cs="Arial" w:eastAsia="Arial" w:hAnsi="Arial"/>
          <w:sz w:val="15"/>
          <w:szCs w:val="15"/>
          <w:color w:val="auto"/>
        </w:rPr>
        <w:t>that in 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of the Corporation may determine to be necessary or desirable and proper, with the advice of Corporation counsel, the execution of said Joint Fidelity Bond Agreement by such officers to be conclusive evidence of such determination; and</w:t>
      </w:r>
    </w:p>
    <w:p>
      <w:pPr>
        <w:spacing w:after="0" w:line="15" w:lineRule="exact"/>
        <w:rPr>
          <w:sz w:val="20"/>
          <w:szCs w:val="20"/>
          <w:color w:val="auto"/>
        </w:rPr>
      </w:pPr>
    </w:p>
    <w:p>
      <w:pPr>
        <w:ind w:right="400"/>
        <w:spacing w:after="0" w:line="339" w:lineRule="auto"/>
        <w:rPr>
          <w:sz w:val="20"/>
          <w:szCs w:val="20"/>
          <w:color w:val="auto"/>
        </w:rPr>
      </w:pPr>
      <w:r>
        <w:rPr>
          <w:rFonts w:ascii="Arial" w:cs="Arial" w:eastAsia="Arial" w:hAnsi="Arial"/>
          <w:sz w:val="16"/>
          <w:szCs w:val="16"/>
          <w:b w:val="1"/>
          <w:bCs w:val="1"/>
          <w:color w:val="auto"/>
        </w:rPr>
        <w:t xml:space="preserve">FURTHER RESOLVED, </w:t>
      </w:r>
      <w:r>
        <w:rPr>
          <w:rFonts w:ascii="Arial" w:cs="Arial" w:eastAsia="Arial" w:hAnsi="Arial"/>
          <w:sz w:val="16"/>
          <w:szCs w:val="16"/>
          <w:color w:val="auto"/>
        </w:rPr>
        <w:t>that the Secretary of the Corporation be, and hereby is, designated as the party responsible for making the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filings and giving the notices with respect to the Bond required by paragraph (g) of Rule 17g-1 under the 1940 Act.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as such officer of the Corporation this 8</w:t>
      </w:r>
      <w:r>
        <w:rPr>
          <w:rFonts w:ascii="Arial" w:cs="Arial" w:eastAsia="Arial" w:hAnsi="Arial"/>
          <w:sz w:val="11"/>
          <w:szCs w:val="11"/>
          <w:color w:val="auto"/>
        </w:rPr>
        <w:t>th</w:t>
      </w:r>
      <w:r>
        <w:rPr>
          <w:rFonts w:ascii="Arial" w:cs="Arial" w:eastAsia="Arial" w:hAnsi="Arial"/>
          <w:sz w:val="18"/>
          <w:szCs w:val="18"/>
          <w:color w:val="auto"/>
        </w:rPr>
        <w:t xml:space="preserve"> day of June, 2012</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480"/>
          </w:cols>
          <w:pgMar w:left="1160" w:top="274"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JOINT FIDELITY BOND AGREEMENT is dated as of March 10, 2011 by and between PennantPark Floating Rate Capital Ltd. (the “Corporation”), a Maryland corporation, PennantPark Investment Advisers, LLC (the “Adviser”), a Delaware limited liability company, and PennantPark Investment Administration, LLC (the “Administrator”), a Delaware limited liability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94" w:lineRule="exact"/>
        <w:rPr>
          <w:sz w:val="20"/>
          <w:szCs w:val="20"/>
          <w:color w:val="auto"/>
        </w:rPr>
      </w:pPr>
    </w:p>
    <w:p>
      <w:pPr>
        <w:ind w:firstLine="464"/>
        <w:spacing w:after="0" w:line="268"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31" w:lineRule="exact"/>
        <w:rPr>
          <w:rFonts w:ascii="Arial" w:cs="Arial" w:eastAsia="Arial" w:hAnsi="Arial"/>
          <w:sz w:val="18"/>
          <w:szCs w:val="18"/>
          <w:color w:val="auto"/>
        </w:rPr>
      </w:pPr>
    </w:p>
    <w:p>
      <w:pPr>
        <w:jc w:val="both"/>
        <w:ind w:firstLine="464"/>
        <w:spacing w:after="0" w:line="306"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06" w:lineRule="exact"/>
        <w:rPr>
          <w:rFonts w:ascii="Arial" w:cs="Arial" w:eastAsia="Arial" w:hAnsi="Arial"/>
          <w:sz w:val="16"/>
          <w:szCs w:val="16"/>
          <w:color w:val="auto"/>
        </w:rPr>
      </w:pPr>
    </w:p>
    <w:p>
      <w:pPr>
        <w:ind w:firstLine="464"/>
        <w:spacing w:after="0" w:line="259"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94" w:lineRule="exact"/>
        <w:rPr>
          <w:rFonts w:ascii="Arial" w:cs="Arial" w:eastAsia="Arial" w:hAnsi="Arial"/>
          <w:sz w:val="16"/>
          <w:szCs w:val="16"/>
          <w:color w:val="auto"/>
        </w:rPr>
      </w:pPr>
    </w:p>
    <w:p>
      <w:pPr>
        <w:ind w:right="500" w:firstLine="464"/>
        <w:spacing w:after="0" w:line="268"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74"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Penn</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Arthur Penn</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Aviv Efrat</w:t>
            </w:r>
          </w:p>
        </w:tc>
      </w:tr>
      <w:tr>
        <w:trPr>
          <w:trHeight w:val="21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Aviv Efrat</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 w:lineRule="exact"/>
        <w:rPr>
          <w:sz w:val="20"/>
          <w:szCs w:val="20"/>
          <w:color w:val="auto"/>
        </w:rPr>
      </w:pPr>
    </w:p>
    <w:sectPr>
      <w:pgSz w:w="11900" w:h="16838" w:orient="portrait"/>
      <w:cols w:equalWidth="0" w:num="1">
        <w:col w:w="10219"/>
      </w:cols>
      <w:pgMar w:left="2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1."/>
      <w:numFmt w:val="decimal"/>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upperLetter"/>
      <w:start w:val="1"/>
    </w:lvl>
    <w:lvl w:ilvl="1">
      <w:lvlJc w:val="left"/>
      <w:lvlText w:val="(%2)"/>
      <w:numFmt w:val="lowerLetter"/>
      <w:start w:val="1"/>
    </w:lvl>
  </w:abstractNum>
  <w:abstractNum w:abstractNumId="3">
    <w:nsid w:val="32FFF902"/>
    <w:multiLevelType w:val="hybridMultilevel"/>
    <w:lvl w:ilvl="0">
      <w:lvlJc w:val="left"/>
      <w:lvlText w:val="(%1)"/>
      <w:numFmt w:val="upperLetter"/>
      <w:start w:val="2"/>
    </w:lvl>
    <w:lvl w:ilvl="1">
      <w:lvlJc w:val="left"/>
      <w:lvlText w:val="%2"/>
      <w:numFmt w:val="lowerLetter"/>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upperLetter"/>
      <w:start w:val="1"/>
    </w:lvl>
    <w:lvl w:ilvl="1">
      <w:lvlJc w:val="left"/>
      <w:lvlText w:val="(%2)"/>
      <w:numFmt w:val="decimal"/>
      <w:start w:val="2"/>
    </w:lvl>
  </w:abstractNum>
  <w:abstractNum w:abstractNumId="6">
    <w:nsid w:val="749ABB43"/>
    <w:multiLevelType w:val="hybridMultilevel"/>
    <w:lvl w:ilvl="0">
      <w:lvlJc w:val="left"/>
      <w:lvlText w:val="(%1)"/>
      <w:numFmt w:val="upperLetter"/>
      <w:start w:val="4"/>
    </w:lvl>
    <w:lvl w:ilvl="1">
      <w:lvlJc w:val="left"/>
      <w:lvlText w:val="%2"/>
      <w:numFmt w:val="decimal"/>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decimal"/>
      <w:start w:val="1"/>
    </w:lvl>
    <w:lvl w:ilvl="1">
      <w:lvlJc w:val="left"/>
      <w:lvlText w:val="(%2)"/>
      <w:numFmt w:val="lowerLetter"/>
      <w:start w:val="1"/>
    </w:lvl>
  </w:abstractNum>
  <w:abstractNum w:abstractNumId="9">
    <w:nsid w:val="79A1DEAA"/>
    <w:multiLevelType w:val="hybridMultilevel"/>
    <w:lvl w:ilvl="0">
      <w:lvlJc w:val="left"/>
      <w:lvlText w:val="(%1)"/>
      <w:numFmt w:val="decimal"/>
      <w:start w:val="2"/>
    </w:lvl>
    <w:lvl w:ilvl="1">
      <w:lvlJc w:val="left"/>
      <w:lvlText w:val="%2"/>
      <w:numFmt w:val="lowerLetter"/>
      <w:start w:val="1"/>
    </w:lvl>
  </w:abstractNum>
  <w:abstractNum w:abstractNumId="10">
    <w:nsid w:val="75C6C33A"/>
    <w:multiLevelType w:val="hybridMultilevel"/>
    <w:lvl w:ilvl="0">
      <w:lvlJc w:val="left"/>
      <w:lvlText w:val="(%1)"/>
      <w:numFmt w:val="upperLetter"/>
      <w:start w:val="9"/>
    </w:lvl>
  </w:abstractNum>
  <w:abstractNum w:abstractNumId="11">
    <w:nsid w:val="12E685FB"/>
    <w:multiLevelType w:val="hybridMultilevel"/>
    <w:lvl w:ilvl="0">
      <w:lvlJc w:val="left"/>
      <w:lvlText w:val="%1."/>
      <w:numFmt w:val="upperLetter"/>
      <w:start w:val="1"/>
    </w:lvl>
    <w:lvl w:ilvl="1">
      <w:lvlJc w:val="left"/>
      <w:lvlText w:val="%2."/>
      <w:numFmt w:val="decimal"/>
      <w:start w:val="1"/>
    </w:lvl>
  </w:abstractNum>
  <w:abstractNum w:abstractNumId="12">
    <w:nsid w:val="70C6A529"/>
    <w:multiLevelType w:val="hybridMultilevel"/>
    <w:lvl w:ilvl="0">
      <w:lvlJc w:val="left"/>
      <w:lvlText w:val="%1."/>
      <w:numFmt w:val="upperLetter"/>
      <w:start w:val="3"/>
    </w:lvl>
  </w:abstractNum>
  <w:abstractNum w:abstractNumId="13">
    <w:nsid w:val="520EEDD1"/>
    <w:multiLevelType w:val="hybridMultilevel"/>
    <w:lvl w:ilvl="0">
      <w:lvlJc w:val="left"/>
      <w:lvlText w:val="(%1)"/>
      <w:numFmt w:val="decimal"/>
      <w:start w:val="1"/>
    </w:lvl>
  </w:abstractNum>
  <w:abstractNum w:abstractNumId="14">
    <w:nsid w:val="374A3FE6"/>
    <w:multiLevelType w:val="hybridMultilevel"/>
    <w:lvl w:ilvl="0">
      <w:lvlJc w:val="left"/>
      <w:lvlText w:val="(%1)"/>
      <w:numFmt w:val="decimal"/>
      <w:start w:val="3"/>
    </w:lvl>
  </w:abstractNum>
  <w:abstractNum w:abstractNumId="15">
    <w:nsid w:val="4F4EF005"/>
    <w:multiLevelType w:val="hybridMultilevel"/>
    <w:lvl w:ilvl="0">
      <w:lvlJc w:val="left"/>
      <w:lvlText w:val="%1."/>
      <w:numFmt w:val="upperLetter"/>
      <w:start w:val="4"/>
    </w:lvl>
  </w:abstractNum>
  <w:abstractNum w:abstractNumId="16">
    <w:nsid w:val="23F9C13C"/>
    <w:multiLevelType w:val="hybridMultilevel"/>
    <w:lvl w:ilvl="0">
      <w:lvlJc w:val="left"/>
      <w:lvlText w:val="(%1)"/>
      <w:numFmt w:val="lowerLetter"/>
      <w:start w:val="1"/>
    </w:lvl>
    <w:lvl w:ilvl="1">
      <w:lvlJc w:val="left"/>
      <w:lvlText w:val="(%2)"/>
      <w:numFmt w:val="decimal"/>
      <w:start w:val="1"/>
    </w:lvl>
  </w:abstractNum>
  <w:abstractNum w:abstractNumId="17">
    <w:nsid w:val="649BB77C"/>
    <w:multiLevelType w:val="hybridMultilevel"/>
    <w:lvl w:ilvl="0">
      <w:lvlJc w:val="left"/>
      <w:lvlText w:val="(%1)"/>
      <w:numFmt w:val="decimal"/>
      <w:start w:val="7"/>
    </w:lvl>
    <w:lvl w:ilvl="1">
      <w:lvlJc w:val="left"/>
      <w:lvlText w:val="%2)"/>
      <w:numFmt w:val="lowerLetter"/>
      <w:start w:val="1"/>
    </w:lvl>
  </w:abstractNum>
  <w:abstractNum w:abstractNumId="18">
    <w:nsid w:val="275AC794"/>
    <w:multiLevelType w:val="hybridMultilevel"/>
    <w:lvl w:ilvl="0">
      <w:lvlJc w:val="left"/>
      <w:lvlText w:val="(%1)"/>
      <w:numFmt w:val="lowerLetter"/>
      <w:start w:val="2"/>
    </w:lvl>
  </w:abstractNum>
  <w:abstractNum w:abstractNumId="19">
    <w:nsid w:val="39386575"/>
    <w:multiLevelType w:val="hybridMultilevel"/>
    <w:lvl w:ilvl="0">
      <w:lvlJc w:val="left"/>
      <w:lvlText w:val="(%1)"/>
      <w:numFmt w:val="lowerLetter"/>
      <w:start w:val="3"/>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lowerLetter"/>
      <w:start w:val="3"/>
    </w:lvl>
    <w:lvl w:ilvl="1">
      <w:lvlJc w:val="left"/>
      <w:lvlText w:val="(%2)"/>
      <w:numFmt w:val="decimal"/>
      <w:start w:val="1"/>
    </w:lvl>
  </w:abstractNum>
  <w:abstractNum w:abstractNumId="22">
    <w:nsid w:val="235BA861"/>
    <w:multiLevelType w:val="hybridMultilevel"/>
    <w:lvl w:ilvl="0">
      <w:lvlJc w:val="left"/>
      <w:lvlText w:val="(%1)"/>
      <w:numFmt w:val="lowerLetter"/>
      <w:start w:val="7"/>
    </w:lvl>
    <w:lvl w:ilvl="1">
      <w:lvlJc w:val="left"/>
      <w:lvlText w:val="(%2)"/>
      <w:numFmt w:val="upperLetter"/>
      <w:start w:val="4"/>
    </w:lvl>
  </w:abstractNum>
  <w:abstractNum w:abstractNumId="23">
    <w:nsid w:val="47398C89"/>
    <w:multiLevelType w:val="hybridMultilevel"/>
    <w:lvl w:ilvl="0">
      <w:lvlJc w:val="left"/>
      <w:lvlText w:val="%1"/>
      <w:numFmt w:val="lowerLetter"/>
      <w:start w:val="1"/>
    </w:lvl>
    <w:lvl w:ilvl="1">
      <w:lvlJc w:val="left"/>
      <w:lvlText w:val="(%2)."/>
      <w:numFmt w:val="upperLetter"/>
      <w:start w:val="9"/>
    </w:lvl>
  </w:abstractNum>
  <w:abstractNum w:abstractNumId="24">
    <w:nsid w:val="354FE9F9"/>
    <w:multiLevelType w:val="hybridMultilevel"/>
    <w:lvl w:ilvl="0">
      <w:lvlJc w:val="left"/>
      <w:lvlText w:val="(%1)"/>
      <w:numFmt w:val="lowerLetter"/>
      <w:start w:val="9"/>
    </w:lvl>
    <w:lvl w:ilvl="1">
      <w:lvlJc w:val="left"/>
      <w:lvlText w:val="%2"/>
      <w:numFmt w:val="upperLetter"/>
      <w:start w:val="1"/>
    </w:lvl>
  </w:abstractNum>
  <w:abstractNum w:abstractNumId="25">
    <w:nsid w:val="15B5AF5C"/>
    <w:multiLevelType w:val="hybridMultilevel"/>
    <w:lvl w:ilvl="0">
      <w:lvlJc w:val="left"/>
      <w:lvlText w:val="%1"/>
      <w:numFmt w:val="lowerLetter"/>
      <w:start w:val="1"/>
    </w:lvl>
    <w:lvl w:ilvl="1">
      <w:lvlJc w:val="left"/>
      <w:lvlText w:val="(%2)"/>
      <w:numFmt w:val="decimal"/>
      <w:start w:val="1"/>
    </w:lvl>
  </w:abstractNum>
  <w:abstractNum w:abstractNumId="26">
    <w:nsid w:val="741226BB"/>
    <w:multiLevelType w:val="hybridMultilevel"/>
    <w:lvl w:ilvl="0">
      <w:lvlJc w:val="left"/>
      <w:lvlText w:val="(%1)"/>
      <w:numFmt w:val="lowerLetter"/>
      <w:start w:val="11"/>
    </w:lvl>
    <w:lvl w:ilvl="1">
      <w:lvlJc w:val="left"/>
      <w:lvlText w:val="%2"/>
      <w:numFmt w:val="decimal"/>
      <w:start w:val="1"/>
    </w:lvl>
  </w:abstractNum>
  <w:abstractNum w:abstractNumId="27">
    <w:nsid w:val="D34B6A8"/>
    <w:multiLevelType w:val="hybridMultilevel"/>
    <w:lvl w:ilvl="0">
      <w:lvlJc w:val="left"/>
      <w:lvlText w:val="(%1)"/>
      <w:numFmt w:val="lowerLetter"/>
      <w:start w:val="12"/>
    </w:lvl>
  </w:abstractNum>
  <w:abstractNum w:abstractNumId="28">
    <w:nsid w:val="10233C99"/>
    <w:multiLevelType w:val="hybridMultilevel"/>
    <w:lvl w:ilvl="0">
      <w:lvlJc w:val="left"/>
      <w:lvlText w:val="(%1)"/>
      <w:numFmt w:val="decimal"/>
      <w:start w:val="7"/>
    </w:lvl>
  </w:abstractNum>
  <w:abstractNum w:abstractNumId="29">
    <w:nsid w:val="3F6AB60F"/>
    <w:multiLevelType w:val="hybridMultilevel"/>
    <w:lvl w:ilvl="0">
      <w:lvlJc w:val="left"/>
      <w:lvlText w:val="(%1)"/>
      <w:numFmt w:val="lowerLetter"/>
      <w:start w:val="1"/>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1)"/>
      <w:numFmt w:val="lowerLetter"/>
      <w:start w:val="3"/>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lowerLetter"/>
      <w:start w:val="3"/>
    </w:lvl>
  </w:abstractNum>
  <w:abstractNum w:abstractNumId="34">
    <w:nsid w:val="310C50B3"/>
    <w:multiLevelType w:val="hybridMultilevel"/>
    <w:lvl w:ilvl="0">
      <w:lvlJc w:val="left"/>
      <w:lvlText w:val="(%1)"/>
      <w:numFmt w:val="lowerLetter"/>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upperLetter"/>
      <w:start w:val="1"/>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lowerLetter"/>
      <w:start w:val="1"/>
    </w:lvl>
  </w:abstractNum>
  <w:abstractNum w:abstractNumId="40">
    <w:nsid w:val="1F48EAA1"/>
    <w:multiLevelType w:val="hybridMultilevel"/>
    <w:lvl w:ilvl="0">
      <w:lvlJc w:val="left"/>
      <w:lvlText w:val="%1."/>
      <w:numFmt w:val="upperLetter"/>
      <w:start w:val="2"/>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upperLetter"/>
      <w:start w:val="9"/>
    </w:lvl>
  </w:abstractNum>
  <w:abstractNum w:abstractNumId="43">
    <w:nsid w:val="100F8FCA"/>
    <w:multiLevelType w:val="hybridMultilevel"/>
    <w:lvl w:ilvl="0">
      <w:lvlJc w:val="left"/>
      <w:lvlText w:val="(%1)"/>
      <w:numFmt w:val="lowerLetter"/>
      <w:start w:val="1"/>
    </w:lvl>
  </w:abstractNum>
  <w:abstractNum w:abstractNumId="44">
    <w:nsid w:val="6590700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5">
    <w:nsid w:val="15014ACB"/>
    <w:multiLevelType w:val="hybridMultilevel"/>
    <w:lvl w:ilvl="0">
      <w:lvlJc w:val="left"/>
      <w:lvlText w:val="(%1)"/>
      <w:numFmt w:val="upperLetter"/>
      <w:start w:val="2"/>
    </w:lvl>
    <w:lvl w:ilvl="1">
      <w:lvlJc w:val="left"/>
      <w:lvlText w:val="(%2)"/>
      <w:numFmt w:val="decimal"/>
      <w:start w:val="1"/>
    </w:lvl>
  </w:abstractNum>
  <w:abstractNum w:abstractNumId="46">
    <w:nsid w:val="5F5E7FD0"/>
    <w:multiLevelType w:val="hybridMultilevel"/>
    <w:lvl w:ilvl="0">
      <w:lvlJc w:val="left"/>
      <w:lvlText w:val="(%1)"/>
      <w:numFmt w:val="decimal"/>
      <w:start w:val="2"/>
    </w:lvl>
  </w:abstractNum>
  <w:abstractNum w:abstractNumId="47">
    <w:nsid w:val="98A3148"/>
    <w:multiLevelType w:val="hybridMultilevel"/>
    <w:lvl w:ilvl="0">
      <w:lvlJc w:val="left"/>
      <w:lvlText w:val="(%1)"/>
      <w:numFmt w:val="upperLetter"/>
      <w:start w:val="1"/>
    </w:lvl>
    <w:lvl w:ilvl="1">
      <w:lvlJc w:val="left"/>
      <w:lvlText w:val="(%2)"/>
      <w:numFmt w:val="decimal"/>
      <w:start w:val="1"/>
    </w:lvl>
  </w:abstractNum>
  <w:abstractNum w:abstractNumId="48">
    <w:nsid w:val="799D0247"/>
    <w:multiLevelType w:val="hybridMultilevel"/>
    <w:lvl w:ilvl="0">
      <w:lvlJc w:val="left"/>
      <w:lvlText w:val="%1"/>
      <w:numFmt w:val="upperLetter"/>
      <w:start w:val="1"/>
    </w:lvl>
    <w:lvl w:ilvl="1">
      <w:lvlJc w:val="left"/>
      <w:lvlText w:val="%2"/>
      <w:numFmt w:val="decimal"/>
      <w:start w:val="1"/>
    </w:lvl>
    <w:lvl w:ilvl="2">
      <w:lvlJc w:val="left"/>
      <w:lvlText w:val="(%3)"/>
      <w:numFmt w:val="decimal"/>
      <w:start w:val="60"/>
    </w:lvl>
  </w:abstractNum>
  <w:abstractNum w:abstractNumId="49">
    <w:nsid w:val="6B94764"/>
    <w:multiLevelType w:val="hybridMultilevel"/>
    <w:lvl w:ilvl="0">
      <w:lvlJc w:val="left"/>
      <w:lvlText w:val="%1"/>
      <w:numFmt w:val="upperLetter"/>
      <w:start w:val="1"/>
    </w:lvl>
    <w:lvl w:ilvl="1">
      <w:lvlJc w:val="left"/>
      <w:lvlText w:val="%2"/>
      <w:numFmt w:val="decimal"/>
      <w:start w:val="1"/>
    </w:lvl>
    <w:lvl w:ilvl="2">
      <w:lvlJc w:val="left"/>
      <w:lvlText w:val="(%3)"/>
      <w:numFmt w:val="decimal"/>
      <w:start w:val="10"/>
    </w:lvl>
  </w:abstractNum>
  <w:abstractNum w:abstractNumId="50">
    <w:nsid w:val="42C296BD"/>
    <w:multiLevelType w:val="hybridMultilevel"/>
    <w:lvl w:ilvl="0">
      <w:lvlJc w:val="left"/>
      <w:lvlText w:val="(%1)"/>
      <w:numFmt w:val="upperLetter"/>
      <w:start w:val="2"/>
    </w:lvl>
    <w:lvl w:ilvl="1">
      <w:lvlJc w:val="left"/>
      <w:lvlText w:val="(%2)"/>
      <w:numFmt w:val="decimal"/>
      <w:start w:val="120"/>
    </w:lvl>
    <w:lvl w:ilvl="2">
      <w:lvlJc w:val="left"/>
      <w:lvlText w:val="%3"/>
      <w:numFmt w:val="decimal"/>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lowerRoman"/>
      <w:start w:val="1"/>
    </w:lvl>
    <w:lvl w:ilvl="1">
      <w:lvlJc w:val="left"/>
      <w:lvlText w:val="(%2)"/>
      <w:numFmt w:val="decimal"/>
      <w:start w:val="3"/>
    </w:lvl>
  </w:abstractNum>
  <w:abstractNum w:abstractNumId="53">
    <w:nsid w:val="661E3F1E"/>
    <w:multiLevelType w:val="hybridMultilevel"/>
    <w:lvl w:ilvl="0">
      <w:lvlJc w:val="left"/>
      <w:lvlText w:val="(%1)"/>
      <w:numFmt w:val="lowerRoman"/>
      <w:start w:val="4"/>
    </w:lvl>
    <w:lvl w:ilvl="1">
      <w:lvlJc w:val="left"/>
      <w:lvlText w:val="%2"/>
      <w:numFmt w:val="decimal"/>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1"/>
    </w:lvl>
    <w:lvl w:ilvl="1">
      <w:lvlJc w:val="left"/>
      <w:lvlText w:val="(%2)"/>
      <w:numFmt w:val="lowerLetter"/>
      <w:start w:val="1"/>
    </w:lvl>
  </w:abstractNum>
  <w:abstractNum w:abstractNumId="57">
    <w:nsid w:val="51D9C564"/>
    <w:multiLevelType w:val="hybridMultilevel"/>
    <w:lvl w:ilvl="0">
      <w:lvlJc w:val="left"/>
      <w:lvlText w:val="(%1)"/>
      <w:numFmt w:val="decimal"/>
      <w:start w:val="3"/>
    </w:lvl>
    <w:lvl w:ilvl="1">
      <w:lvlJc w:val="left"/>
      <w:lvlText w:val="%2"/>
      <w:numFmt w:val="lowerLetter"/>
      <w:start w:val="1"/>
    </w:lvl>
  </w:abstractNum>
  <w:abstractNum w:abstractNumId="58">
    <w:nsid w:val="613EFDC5"/>
    <w:multiLevelType w:val="hybridMultilevel"/>
    <w:lvl w:ilvl="0">
      <w:lvlJc w:val="left"/>
      <w:lvlText w:val="(%1)"/>
      <w:numFmt w:val="lowerRoman"/>
      <w:start w:val="1"/>
    </w:lvl>
    <w:lvl w:ilvl="1">
      <w:lvlJc w:val="left"/>
      <w:lvlText w:val="(%2)"/>
      <w:numFmt w:val="lowerLetter"/>
      <w:start w:val="1"/>
    </w:lvl>
  </w:abstractNum>
  <w:abstractNum w:abstractNumId="59">
    <w:nsid w:val="BF72B14"/>
    <w:multiLevelType w:val="hybridMultilevel"/>
    <w:lvl w:ilvl="0">
      <w:lvlJc w:val="left"/>
      <w:lvlText w:val="(%1)"/>
      <w:numFmt w:val="decimal"/>
      <w:start w:val="4"/>
    </w:lvl>
  </w:abstractNum>
  <w:abstractNum w:abstractNumId="60">
    <w:nsid w:val="11447B73"/>
    <w:multiLevelType w:val="hybridMultilevel"/>
    <w:lvl w:ilvl="0">
      <w:lvlJc w:val="left"/>
      <w:lvlText w:val="%1."/>
      <w:numFmt w:val="decimal"/>
      <w:start w:val="2"/>
    </w:lvl>
    <w:lvl w:ilvl="1">
      <w:lvlJc w:val="left"/>
      <w:lvlText w:val="(%2)"/>
      <w:numFmt w:val="lowerLetter"/>
      <w:start w:val="1"/>
    </w:lvl>
  </w:abstractNum>
  <w:abstractNum w:abstractNumId="61">
    <w:nsid w:val="42963E5A"/>
    <w:multiLevelType w:val="hybridMultilevel"/>
    <w:lvl w:ilvl="0">
      <w:lvlJc w:val="left"/>
      <w:lvlText w:val="%1."/>
      <w:numFmt w:val="decimal"/>
      <w:start w:val="3"/>
    </w:lvl>
    <w:lvl w:ilvl="1">
      <w:lvlJc w:val="left"/>
      <w:lvlText w:val="(%2)"/>
      <w:numFmt w:val="lowerLetter"/>
      <w:start w:val="1"/>
    </w:lvl>
  </w:abstractNum>
  <w:abstractNum w:abstractNumId="62">
    <w:nsid w:val="A0382C5"/>
    <w:multiLevelType w:val="hybridMultilevel"/>
    <w:lvl w:ilvl="0">
      <w:lvlJc w:val="left"/>
      <w:lvlText w:val="%1."/>
      <w:numFmt w:val="decimal"/>
      <w:start w:val="4"/>
    </w:lvl>
    <w:lvl w:ilvl="1">
      <w:lvlJc w:val="left"/>
      <w:lvlText w:val="(%2)"/>
      <w:numFmt w:val="lowerLetter"/>
      <w:start w:val="1"/>
    </w:lvl>
  </w:abstractNum>
  <w:abstractNum w:abstractNumId="63">
    <w:nsid w:val="8F2B15E"/>
    <w:multiLevelType w:val="hybridMultilevel"/>
    <w:lvl w:ilvl="0">
      <w:lvlJc w:val="left"/>
      <w:lvlText w:val="%1."/>
      <w:numFmt w:val="decimal"/>
      <w:start w:val="8"/>
    </w:lvl>
  </w:abstractNum>
  <w:abstractNum w:abstractNumId="64">
    <w:nsid w:val="1A32234B"/>
    <w:multiLevelType w:val="hybridMultilevel"/>
    <w:lvl w:ilvl="0">
      <w:lvlJc w:val="left"/>
      <w:lvlText w:val="%1."/>
      <w:numFmt w:val="decimal"/>
      <w:start w:val="9"/>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decimal"/>
      <w:start w:val="2"/>
    </w:lvl>
  </w:abstractNum>
  <w:abstractNum w:abstractNumId="67">
    <w:nsid w:val="4962813B"/>
    <w:multiLevelType w:val="hybridMultilevel"/>
    <w:lvl w:ilvl="0">
      <w:lvlJc w:val="left"/>
      <w:lvlText w:val="(%1)"/>
      <w:numFmt w:val="decimal"/>
      <w:start w:val="6"/>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0">
    <w:nsid w:val="14330624"/>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71">
    <w:nsid w:val="7FFFCA11"/>
    <w:multiLevelType w:val="hybridMultilevel"/>
    <w:lvl w:ilvl="0">
      <w:lvlJc w:val="left"/>
      <w:lvlText w:val="%1"/>
      <w:numFmt w:val="decimal"/>
      <w:start w:val="1"/>
    </w:lvl>
    <w:lvl w:ilvl="1">
      <w:lvlJc w:val="left"/>
      <w:lvlText w:val="(%2)"/>
      <w:numFmt w:val="lowerLetter"/>
      <w:start w:val="2"/>
    </w:lvl>
  </w:abstractNum>
  <w:abstractNum w:abstractNumId="72">
    <w:nsid w:val="1A27709E"/>
    <w:multiLevelType w:val="hybridMultilevel"/>
    <w:lvl w:ilvl="0">
      <w:lvlJc w:val="left"/>
      <w:lvlText w:val="(%1)"/>
      <w:numFmt w:val="decimal"/>
      <w:start w:val="3"/>
    </w:lvl>
    <w:lvl w:ilvl="1">
      <w:lvlJc w:val="left"/>
      <w:lvlText w:val="%2"/>
      <w:numFmt w:val="lowerLetter"/>
      <w:start w:val="1"/>
    </w:lvl>
  </w:abstractNum>
  <w:abstractNum w:abstractNumId="73">
    <w:nsid w:val="71EA11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4">
    <w:nsid w:val="100F59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lvl w:ilvl="3">
      <w:lvlJc w:val="left"/>
      <w:lvlText w:val="%4"/>
      <w:numFmt w:val="lowerLetter"/>
      <w:start w:val="1"/>
    </w:lvl>
  </w:abstractNum>
  <w:abstractNum w:abstractNumId="75">
    <w:nsid w:val="7FB7E0A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76">
    <w:nsid w:val="6EB5BD4"/>
    <w:multiLevelType w:val="hybridMultilevel"/>
    <w:lvl w:ilvl="0">
      <w:lvlJc w:val="left"/>
      <w:lvlText w:val="%1"/>
      <w:numFmt w:val="decimal"/>
      <w:start w:val="1"/>
    </w:lvl>
    <w:lvl w:ilvl="1">
      <w:lvlJc w:val="left"/>
      <w:lvlText w:val="(%2)"/>
      <w:numFmt w:val="lowerRoman"/>
      <w:start w:val="2"/>
    </w:lvl>
  </w:abstractNum>
  <w:abstractNum w:abstractNumId="77">
    <w:nsid w:val="6F6DD9AC"/>
    <w:multiLevelType w:val="hybridMultilevel"/>
    <w:lvl w:ilvl="0">
      <w:lvlJc w:val="left"/>
      <w:lvlText w:val="(%1)"/>
      <w:numFmt w:val="decimal"/>
      <w:start w:val="2"/>
    </w:lvl>
    <w:lvl w:ilvl="1">
      <w:lvlJc w:val="left"/>
      <w:lvlText w:val="%2"/>
      <w:numFmt w:val="lowerRoman"/>
      <w:start w:val="1"/>
    </w:lvl>
  </w:abstractNum>
  <w:abstractNum w:abstractNumId="78">
    <w:nsid w:val="94211F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9">
    <w:nsid w:val="885E1B"/>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80">
    <w:nsid w:val="76272110"/>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3">
    <w:nsid w:val="14E17E3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84">
    <w:nsid w:val="3222E7CD"/>
    <w:multiLevelType w:val="hybridMultilevel"/>
    <w:lvl w:ilvl="0">
      <w:lvlJc w:val="left"/>
      <w:lvlText w:val="%1."/>
      <w:numFmt w:val="decimal"/>
      <w:start w:val="2"/>
    </w:lvl>
    <w:lvl w:ilvl="1">
      <w:lvlJc w:val="left"/>
      <w:lvlText w:val="%2."/>
      <w:numFmt w:val="decimal"/>
      <w:start w:val="2"/>
    </w:lvl>
    <w:lvl w:ilvl="2">
      <w:lvlJc w:val="left"/>
      <w:lvlText w:val="(%3)"/>
      <w:numFmt w:val="decimal"/>
      <w:start w:val="5"/>
    </w:lvl>
  </w:abstractNum>
  <w:abstractNum w:abstractNumId="85">
    <w:nsid w:val="74DE0EE3"/>
    <w:multiLevelType w:val="hybridMultilevel"/>
    <w:lvl w:ilvl="0">
      <w:lvlJc w:val="left"/>
      <w:lvlText w:val="%1."/>
      <w:numFmt w:val="decimal"/>
      <w:start w:val="1"/>
    </w:lvl>
    <w:lvl w:ilvl="1">
      <w:lvlJc w:val="left"/>
      <w:lvlText w:val="(%2)"/>
      <w:numFmt w:val="decimal"/>
      <w:start w:val="10"/>
    </w:lvl>
  </w:abstractNum>
  <w:abstractNum w:abstractNumId="86">
    <w:nsid w:val="68EBC550"/>
    <w:multiLevelType w:val="hybridMultilevel"/>
    <w:lvl w:ilvl="0">
      <w:lvlJc w:val="left"/>
      <w:lvlText w:val="%1."/>
      <w:numFmt w:val="decimal"/>
      <w:start w:val="1"/>
    </w:lvl>
    <w:lvl w:ilvl="1">
      <w:lvlJc w:val="left"/>
      <w:lvlText w:val="%2)"/>
      <w:numFmt w:val="lowerRoman"/>
      <w:start w:val="1"/>
    </w:lvl>
  </w:abstractNum>
  <w:abstractNum w:abstractNumId="87">
    <w:nsid w:val="2DF6D648"/>
    <w:multiLevelType w:val="hybridMultilevel"/>
    <w:lvl w:ilvl="0">
      <w:lvlJc w:val="left"/>
      <w:lvlText w:val="%1."/>
      <w:numFmt w:val="decimal"/>
      <w:start w:val="2"/>
    </w:lvl>
  </w:abstractNum>
  <w:abstractNum w:abstractNumId="88">
    <w:nsid w:val="46B7D447"/>
    <w:multiLevelType w:val="hybridMultilevel"/>
    <w:lvl w:ilvl="0">
      <w:lvlJc w:val="left"/>
      <w:lvlText w:val="%1."/>
      <w:numFmt w:val="decimal"/>
      <w:start w:val="3"/>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3"/>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2019-12-09T19:44:42Z</dcterms:created>
  <dcterms:modified xsi:type="dcterms:W3CDTF">2019-12-09T19:44:42Z</dcterms:modified>
</cp:coreProperties>
</file>