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24,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December 24, 2020, PennantPark Floating Rate Capital Ltd. issued a press release, a copy of which is furnished as Exhibit 99.1to this report on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December 24,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900" w:type="dxa"/>
            <w:vAlign w:val="bottom"/>
            <w:gridSpan w:val="3"/>
          </w:tcPr>
          <w:p>
            <w:pPr>
              <w:ind w:left="18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60" w:type="dxa"/>
            <w:vAlign w:val="bottom"/>
          </w:tcPr>
          <w:p>
            <w:pPr>
              <w:spacing w:after="0"/>
              <w:rPr>
                <w:sz w:val="20"/>
                <w:szCs w:val="20"/>
                <w:color w:val="auto"/>
              </w:rPr>
            </w:pPr>
            <w:r>
              <w:rPr>
                <w:rFonts w:ascii="Arial" w:cs="Arial" w:eastAsia="Arial" w:hAnsi="Arial"/>
                <w:sz w:val="18"/>
                <w:szCs w:val="18"/>
                <w:color w:val="auto"/>
              </w:rPr>
              <w:t>Date: December 24, 2020</w:t>
            </w:r>
          </w:p>
        </w:tc>
        <w:tc>
          <w:tcPr>
            <w:tcW w:w="4900" w:type="dxa"/>
            <w:vAlign w:val="bottom"/>
            <w:gridSpan w:val="3"/>
          </w:tcPr>
          <w:p>
            <w:pPr>
              <w:ind w:left="1800"/>
              <w:spacing w:after="0"/>
              <w:rPr>
                <w:sz w:val="20"/>
                <w:szCs w:val="20"/>
                <w:color w:val="auto"/>
              </w:rPr>
            </w:pPr>
            <w:r>
              <w:rPr>
                <w:rFonts w:ascii="Arial" w:cs="Arial" w:eastAsia="Arial" w:hAnsi="Arial"/>
                <w:sz w:val="18"/>
                <w:szCs w:val="18"/>
                <w:color w:val="auto"/>
              </w:rPr>
              <w:t>By: /s/ Aviv Efrat</w:t>
            </w:r>
          </w:p>
        </w:tc>
      </w:tr>
      <w:tr>
        <w:trPr>
          <w:trHeight w:val="222"/>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PennantPark Floating Rate Capital Ltd.’s Unconsolidated Joint Venture, PennantPark Senior Secured Loan Fund I, LLC Prices $300.7 Million CLO</w:t>
      </w:r>
    </w:p>
    <w:p>
      <w:pPr>
        <w:spacing w:after="0" w:line="168"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NEW YORK, Dec. 24, 2020 (GLOBE NEWSWIRE) -- PennantPark Floating Rate Capital Ltd. (the “Company”) (NASDAQ: PFLT) (TASE: PFLT) today announced that PennantPark Senior Secured Loan Fund I, LLC, “PSSL”, through PSSL’s wholly-owned and consolidated subsidiary, PennantPark CLO II, Ltd. has priced a three-year reinvestment period, eleven-year final maturity $300.7 million debt securitization in the form of a collateralized loan obligation (“CLO”). The debt issued in the CLO (the “Debt”) is structured in the following manner:</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2180" w:type="dxa"/>
            <w:vAlign w:val="bottom"/>
          </w:tcPr>
          <w:p>
            <w:pPr>
              <w:jc w:val="right"/>
              <w:ind w:right="352"/>
              <w:spacing w:after="0"/>
              <w:rPr>
                <w:sz w:val="20"/>
                <w:szCs w:val="20"/>
                <w:color w:val="auto"/>
              </w:rPr>
            </w:pPr>
            <w:r>
              <w:rPr>
                <w:rFonts w:ascii="Arial" w:cs="Arial" w:eastAsia="Arial" w:hAnsi="Arial"/>
                <w:sz w:val="22"/>
                <w:szCs w:val="22"/>
                <w:color w:val="auto"/>
              </w:rPr>
              <w:t>Par Amount</w:t>
            </w:r>
          </w:p>
        </w:tc>
        <w:tc>
          <w:tcPr>
            <w:tcW w:w="1860" w:type="dxa"/>
            <w:vAlign w:val="bottom"/>
          </w:tcPr>
          <w:p>
            <w:pPr>
              <w:jc w:val="center"/>
              <w:spacing w:after="0"/>
              <w:rPr>
                <w:sz w:val="20"/>
                <w:szCs w:val="20"/>
                <w:color w:val="auto"/>
              </w:rPr>
            </w:pPr>
            <w:r>
              <w:rPr>
                <w:rFonts w:ascii="Arial" w:cs="Arial" w:eastAsia="Arial" w:hAnsi="Arial"/>
                <w:sz w:val="22"/>
                <w:szCs w:val="22"/>
                <w:color w:val="auto"/>
                <w:w w:val="92"/>
              </w:rPr>
              <w:t>% of Capital</w:t>
            </w:r>
          </w:p>
        </w:tc>
        <w:tc>
          <w:tcPr>
            <w:tcW w:w="186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22"/>
                <w:szCs w:val="22"/>
                <w:color w:val="auto"/>
                <w:w w:val="89"/>
              </w:rPr>
              <w:t>Expected Rating</w:t>
            </w:r>
          </w:p>
        </w:tc>
        <w:tc>
          <w:tcPr>
            <w:tcW w:w="1860" w:type="dxa"/>
            <w:vAlign w:val="bottom"/>
          </w:tcPr>
          <w:p>
            <w:pPr>
              <w:spacing w:after="0"/>
              <w:rPr>
                <w:sz w:val="21"/>
                <w:szCs w:val="21"/>
                <w:color w:val="auto"/>
              </w:rPr>
            </w:pPr>
          </w:p>
        </w:tc>
      </w:tr>
      <w:tr>
        <w:trPr>
          <w:trHeight w:val="276"/>
        </w:trPr>
        <w:tc>
          <w:tcPr>
            <w:tcW w:w="1460" w:type="dxa"/>
            <w:vAlign w:val="bottom"/>
            <w:tcBorders>
              <w:bottom w:val="single" w:sz="8" w:color="auto"/>
            </w:tcBorders>
          </w:tcPr>
          <w:p>
            <w:pPr>
              <w:ind w:left="620"/>
              <w:spacing w:after="0"/>
              <w:rPr>
                <w:sz w:val="20"/>
                <w:szCs w:val="20"/>
                <w:color w:val="auto"/>
              </w:rPr>
            </w:pPr>
            <w:r>
              <w:rPr>
                <w:rFonts w:ascii="Arial" w:cs="Arial" w:eastAsia="Arial" w:hAnsi="Arial"/>
                <w:sz w:val="22"/>
                <w:szCs w:val="22"/>
                <w:color w:val="auto"/>
              </w:rPr>
              <w:t>Class</w:t>
            </w:r>
          </w:p>
        </w:tc>
        <w:tc>
          <w:tcPr>
            <w:tcW w:w="218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 in millions)</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Structure</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Coupon</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5"/>
              </w:rPr>
              <w:t>(S&amp;P)</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5"/>
              </w:rPr>
              <w:t>Issuance Price</w:t>
            </w:r>
          </w:p>
        </w:tc>
      </w:tr>
      <w:tr>
        <w:trPr>
          <w:trHeight w:val="230"/>
        </w:trPr>
        <w:tc>
          <w:tcPr>
            <w:tcW w:w="1460" w:type="dxa"/>
            <w:vAlign w:val="bottom"/>
          </w:tcPr>
          <w:p>
            <w:pPr>
              <w:ind w:left="140"/>
              <w:spacing w:after="0" w:line="230" w:lineRule="exact"/>
              <w:rPr>
                <w:sz w:val="20"/>
                <w:szCs w:val="20"/>
                <w:color w:val="auto"/>
              </w:rPr>
            </w:pPr>
            <w:r>
              <w:rPr>
                <w:rFonts w:ascii="Arial" w:cs="Arial" w:eastAsia="Arial" w:hAnsi="Arial"/>
                <w:sz w:val="22"/>
                <w:szCs w:val="22"/>
                <w:color w:val="auto"/>
              </w:rPr>
              <w:t>A-1 Notes</w:t>
            </w:r>
          </w:p>
        </w:tc>
        <w:tc>
          <w:tcPr>
            <w:tcW w:w="2180" w:type="dxa"/>
            <w:vAlign w:val="bottom"/>
          </w:tcPr>
          <w:p>
            <w:pPr>
              <w:jc w:val="right"/>
              <w:ind w:right="612"/>
              <w:spacing w:after="0" w:line="230" w:lineRule="exact"/>
              <w:rPr>
                <w:sz w:val="20"/>
                <w:szCs w:val="20"/>
                <w:color w:val="auto"/>
              </w:rPr>
            </w:pPr>
            <w:r>
              <w:rPr>
                <w:rFonts w:ascii="Arial" w:cs="Arial" w:eastAsia="Arial" w:hAnsi="Arial"/>
                <w:sz w:val="22"/>
                <w:szCs w:val="22"/>
                <w:color w:val="auto"/>
              </w:rPr>
              <w:t>41,000,000</w:t>
            </w:r>
          </w:p>
        </w:tc>
        <w:tc>
          <w:tcPr>
            <w:tcW w:w="1860" w:type="dxa"/>
            <w:vAlign w:val="bottom"/>
          </w:tcPr>
          <w:p>
            <w:pPr>
              <w:jc w:val="center"/>
              <w:spacing w:after="0" w:line="230" w:lineRule="exact"/>
              <w:rPr>
                <w:sz w:val="20"/>
                <w:szCs w:val="20"/>
                <w:color w:val="auto"/>
              </w:rPr>
            </w:pPr>
            <w:r>
              <w:rPr>
                <w:rFonts w:ascii="Arial" w:cs="Arial" w:eastAsia="Arial" w:hAnsi="Arial"/>
                <w:sz w:val="22"/>
                <w:szCs w:val="22"/>
                <w:color w:val="auto"/>
                <w:w w:val="89"/>
              </w:rPr>
              <w:t>13.6%</w:t>
            </w:r>
          </w:p>
        </w:tc>
        <w:tc>
          <w:tcPr>
            <w:tcW w:w="1860" w:type="dxa"/>
            <w:vAlign w:val="bottom"/>
          </w:tcPr>
          <w:p>
            <w:pPr>
              <w:jc w:val="center"/>
              <w:spacing w:after="0" w:line="230" w:lineRule="exact"/>
              <w:rPr>
                <w:sz w:val="20"/>
                <w:szCs w:val="20"/>
                <w:color w:val="auto"/>
              </w:rPr>
            </w:pPr>
            <w:r>
              <w:rPr>
                <w:rFonts w:ascii="Arial" w:cs="Arial" w:eastAsia="Arial" w:hAnsi="Arial"/>
                <w:sz w:val="22"/>
                <w:szCs w:val="22"/>
                <w:color w:val="auto"/>
                <w:w w:val="95"/>
              </w:rPr>
              <w:t>3 Mo LIBOR</w:t>
            </w:r>
          </w:p>
        </w:tc>
        <w:tc>
          <w:tcPr>
            <w:tcW w:w="2020" w:type="dxa"/>
            <w:vAlign w:val="bottom"/>
          </w:tcPr>
          <w:p>
            <w:pPr>
              <w:jc w:val="center"/>
              <w:spacing w:after="0" w:line="230" w:lineRule="exact"/>
              <w:rPr>
                <w:sz w:val="20"/>
                <w:szCs w:val="20"/>
                <w:color w:val="auto"/>
              </w:rPr>
            </w:pPr>
            <w:r>
              <w:rPr>
                <w:rFonts w:ascii="Arial" w:cs="Arial" w:eastAsia="Arial" w:hAnsi="Arial"/>
                <w:sz w:val="22"/>
                <w:szCs w:val="22"/>
                <w:color w:val="auto"/>
              </w:rPr>
              <w:t>AAA</w:t>
            </w:r>
          </w:p>
        </w:tc>
        <w:tc>
          <w:tcPr>
            <w:tcW w:w="1860" w:type="dxa"/>
            <w:vAlign w:val="bottom"/>
          </w:tcPr>
          <w:p>
            <w:pPr>
              <w:jc w:val="center"/>
              <w:spacing w:after="0" w:line="230" w:lineRule="exact"/>
              <w:rPr>
                <w:sz w:val="20"/>
                <w:szCs w:val="20"/>
                <w:color w:val="auto"/>
              </w:rPr>
            </w:pPr>
            <w:r>
              <w:rPr>
                <w:rFonts w:ascii="Arial" w:cs="Arial" w:eastAsia="Arial" w:hAnsi="Arial"/>
                <w:sz w:val="22"/>
                <w:szCs w:val="22"/>
                <w:color w:val="auto"/>
                <w:w w:val="88"/>
              </w:rPr>
              <w:t>100.0%</w:t>
            </w:r>
          </w:p>
        </w:tc>
      </w:tr>
      <w:tr>
        <w:trPr>
          <w:trHeight w:val="270"/>
        </w:trPr>
        <w:tc>
          <w:tcPr>
            <w:tcW w:w="14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22"/>
                <w:szCs w:val="22"/>
                <w:color w:val="auto"/>
                <w:w w:val="88"/>
              </w:rPr>
              <w:t>+ 1.90%</w:t>
            </w:r>
          </w:p>
        </w:tc>
        <w:tc>
          <w:tcPr>
            <w:tcW w:w="20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43"/>
        </w:trPr>
        <w:tc>
          <w:tcPr>
            <w:tcW w:w="1460" w:type="dxa"/>
            <w:vAlign w:val="bottom"/>
          </w:tcPr>
          <w:p>
            <w:pPr>
              <w:ind w:left="140"/>
              <w:spacing w:after="0" w:line="243" w:lineRule="exact"/>
              <w:rPr>
                <w:sz w:val="20"/>
                <w:szCs w:val="20"/>
                <w:color w:val="auto"/>
              </w:rPr>
            </w:pPr>
            <w:r>
              <w:rPr>
                <w:rFonts w:ascii="Arial" w:cs="Arial" w:eastAsia="Arial" w:hAnsi="Arial"/>
                <w:sz w:val="22"/>
                <w:szCs w:val="22"/>
                <w:color w:val="auto"/>
              </w:rPr>
              <w:t>A-1 Loans</w:t>
            </w:r>
          </w:p>
        </w:tc>
        <w:tc>
          <w:tcPr>
            <w:tcW w:w="218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130,000,000</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89"/>
              </w:rPr>
              <w:t>43.2%</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95"/>
              </w:rPr>
              <w:t>3 Mo LIBOR</w:t>
            </w:r>
          </w:p>
        </w:tc>
        <w:tc>
          <w:tcPr>
            <w:tcW w:w="2020" w:type="dxa"/>
            <w:vAlign w:val="bottom"/>
          </w:tcPr>
          <w:p>
            <w:pPr>
              <w:jc w:val="center"/>
              <w:spacing w:after="0" w:line="243" w:lineRule="exact"/>
              <w:rPr>
                <w:sz w:val="20"/>
                <w:szCs w:val="20"/>
                <w:color w:val="auto"/>
              </w:rPr>
            </w:pPr>
            <w:r>
              <w:rPr>
                <w:rFonts w:ascii="Arial" w:cs="Arial" w:eastAsia="Arial" w:hAnsi="Arial"/>
                <w:sz w:val="22"/>
                <w:szCs w:val="22"/>
                <w:color w:val="auto"/>
              </w:rPr>
              <w:t>AAA</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88"/>
              </w:rPr>
              <w:t>100.0%</w:t>
            </w:r>
          </w:p>
        </w:tc>
      </w:tr>
      <w:tr>
        <w:trPr>
          <w:trHeight w:val="270"/>
        </w:trPr>
        <w:tc>
          <w:tcPr>
            <w:tcW w:w="14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22"/>
                <w:szCs w:val="22"/>
                <w:color w:val="auto"/>
                <w:w w:val="88"/>
              </w:rPr>
              <w:t>+ 1.90%</w:t>
            </w:r>
          </w:p>
        </w:tc>
        <w:tc>
          <w:tcPr>
            <w:tcW w:w="20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43"/>
        </w:trPr>
        <w:tc>
          <w:tcPr>
            <w:tcW w:w="1460" w:type="dxa"/>
            <w:vAlign w:val="bottom"/>
          </w:tcPr>
          <w:p>
            <w:pPr>
              <w:ind w:left="140"/>
              <w:spacing w:after="0" w:line="243" w:lineRule="exact"/>
              <w:rPr>
                <w:sz w:val="20"/>
                <w:szCs w:val="20"/>
                <w:color w:val="auto"/>
              </w:rPr>
            </w:pPr>
            <w:r>
              <w:rPr>
                <w:rFonts w:ascii="Arial" w:cs="Arial" w:eastAsia="Arial" w:hAnsi="Arial"/>
                <w:sz w:val="22"/>
                <w:szCs w:val="22"/>
                <w:color w:val="auto"/>
              </w:rPr>
              <w:t>A-2</w:t>
            </w:r>
          </w:p>
        </w:tc>
        <w:tc>
          <w:tcPr>
            <w:tcW w:w="218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6,000,000</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87"/>
              </w:rPr>
              <w:t>2.0%</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95"/>
              </w:rPr>
              <w:t>3 Mo LIBOR</w:t>
            </w:r>
          </w:p>
        </w:tc>
        <w:tc>
          <w:tcPr>
            <w:tcW w:w="2020" w:type="dxa"/>
            <w:vAlign w:val="bottom"/>
          </w:tcPr>
          <w:p>
            <w:pPr>
              <w:jc w:val="center"/>
              <w:spacing w:after="0" w:line="243" w:lineRule="exact"/>
              <w:rPr>
                <w:sz w:val="20"/>
                <w:szCs w:val="20"/>
                <w:color w:val="auto"/>
              </w:rPr>
            </w:pPr>
            <w:r>
              <w:rPr>
                <w:rFonts w:ascii="Arial" w:cs="Arial" w:eastAsia="Arial" w:hAnsi="Arial"/>
                <w:sz w:val="22"/>
                <w:szCs w:val="22"/>
                <w:color w:val="auto"/>
              </w:rPr>
              <w:t>AAA</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88"/>
              </w:rPr>
              <w:t>100.0%</w:t>
            </w:r>
          </w:p>
        </w:tc>
      </w:tr>
      <w:tr>
        <w:trPr>
          <w:trHeight w:val="270"/>
        </w:trPr>
        <w:tc>
          <w:tcPr>
            <w:tcW w:w="14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22"/>
                <w:szCs w:val="22"/>
                <w:color w:val="auto"/>
                <w:w w:val="88"/>
              </w:rPr>
              <w:t>+ 2.25%</w:t>
            </w:r>
          </w:p>
        </w:tc>
        <w:tc>
          <w:tcPr>
            <w:tcW w:w="20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43"/>
        </w:trPr>
        <w:tc>
          <w:tcPr>
            <w:tcW w:w="1460" w:type="dxa"/>
            <w:vAlign w:val="bottom"/>
          </w:tcPr>
          <w:p>
            <w:pPr>
              <w:ind w:left="140"/>
              <w:spacing w:after="0" w:line="243" w:lineRule="exact"/>
              <w:rPr>
                <w:sz w:val="20"/>
                <w:szCs w:val="20"/>
                <w:color w:val="auto"/>
              </w:rPr>
            </w:pPr>
            <w:r>
              <w:rPr>
                <w:rFonts w:ascii="Arial" w:cs="Arial" w:eastAsia="Arial" w:hAnsi="Arial"/>
                <w:sz w:val="22"/>
                <w:szCs w:val="22"/>
                <w:color w:val="auto"/>
              </w:rPr>
              <w:t>B-1</w:t>
            </w:r>
          </w:p>
        </w:tc>
        <w:tc>
          <w:tcPr>
            <w:tcW w:w="218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15,500,000</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87"/>
              </w:rPr>
              <w:t>5.2%</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95"/>
              </w:rPr>
              <w:t>3 Mo LIBOR</w:t>
            </w:r>
          </w:p>
        </w:tc>
        <w:tc>
          <w:tcPr>
            <w:tcW w:w="2020" w:type="dxa"/>
            <w:vAlign w:val="bottom"/>
          </w:tcPr>
          <w:p>
            <w:pPr>
              <w:jc w:val="center"/>
              <w:spacing w:after="0" w:line="243" w:lineRule="exact"/>
              <w:rPr>
                <w:sz w:val="20"/>
                <w:szCs w:val="20"/>
                <w:color w:val="auto"/>
              </w:rPr>
            </w:pPr>
            <w:r>
              <w:rPr>
                <w:rFonts w:ascii="Arial" w:cs="Arial" w:eastAsia="Arial" w:hAnsi="Arial"/>
                <w:sz w:val="22"/>
                <w:szCs w:val="22"/>
                <w:color w:val="auto"/>
              </w:rPr>
              <w:t>AA</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88"/>
              </w:rPr>
              <w:t>100.0%</w:t>
            </w:r>
          </w:p>
        </w:tc>
      </w:tr>
      <w:tr>
        <w:trPr>
          <w:trHeight w:val="270"/>
        </w:trPr>
        <w:tc>
          <w:tcPr>
            <w:tcW w:w="14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22"/>
                <w:szCs w:val="22"/>
                <w:color w:val="auto"/>
                <w:w w:val="88"/>
              </w:rPr>
              <w:t>+ 2.60%</w:t>
            </w:r>
          </w:p>
        </w:tc>
        <w:tc>
          <w:tcPr>
            <w:tcW w:w="20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0"/>
        </w:trPr>
        <w:tc>
          <w:tcPr>
            <w:tcW w:w="1460" w:type="dxa"/>
            <w:vAlign w:val="bottom"/>
          </w:tcPr>
          <w:p>
            <w:pPr>
              <w:ind w:left="140"/>
              <w:spacing w:after="0"/>
              <w:rPr>
                <w:sz w:val="20"/>
                <w:szCs w:val="20"/>
                <w:color w:val="auto"/>
              </w:rPr>
            </w:pPr>
            <w:r>
              <w:rPr>
                <w:rFonts w:ascii="Arial" w:cs="Arial" w:eastAsia="Arial" w:hAnsi="Arial"/>
                <w:sz w:val="22"/>
                <w:szCs w:val="22"/>
                <w:color w:val="auto"/>
              </w:rPr>
              <w:t>B-2</w:t>
            </w:r>
          </w:p>
        </w:tc>
        <w:tc>
          <w:tcPr>
            <w:tcW w:w="2180" w:type="dxa"/>
            <w:vAlign w:val="bottom"/>
          </w:tcPr>
          <w:p>
            <w:pPr>
              <w:jc w:val="right"/>
              <w:ind w:right="612"/>
              <w:spacing w:after="0"/>
              <w:rPr>
                <w:sz w:val="20"/>
                <w:szCs w:val="20"/>
                <w:color w:val="auto"/>
              </w:rPr>
            </w:pPr>
            <w:r>
              <w:rPr>
                <w:rFonts w:ascii="Arial" w:cs="Arial" w:eastAsia="Arial" w:hAnsi="Arial"/>
                <w:sz w:val="22"/>
                <w:szCs w:val="22"/>
                <w:color w:val="auto"/>
              </w:rPr>
              <w:t>8,500,000</w:t>
            </w:r>
          </w:p>
        </w:tc>
        <w:tc>
          <w:tcPr>
            <w:tcW w:w="1860" w:type="dxa"/>
            <w:vAlign w:val="bottom"/>
          </w:tcPr>
          <w:p>
            <w:pPr>
              <w:jc w:val="center"/>
              <w:spacing w:after="0"/>
              <w:rPr>
                <w:sz w:val="20"/>
                <w:szCs w:val="20"/>
                <w:color w:val="auto"/>
              </w:rPr>
            </w:pPr>
            <w:r>
              <w:rPr>
                <w:rFonts w:ascii="Arial" w:cs="Arial" w:eastAsia="Arial" w:hAnsi="Arial"/>
                <w:sz w:val="22"/>
                <w:szCs w:val="22"/>
                <w:color w:val="auto"/>
                <w:w w:val="87"/>
              </w:rPr>
              <w:t>2.8%</w:t>
            </w:r>
          </w:p>
        </w:tc>
        <w:tc>
          <w:tcPr>
            <w:tcW w:w="1860" w:type="dxa"/>
            <w:vAlign w:val="bottom"/>
          </w:tcPr>
          <w:p>
            <w:pPr>
              <w:jc w:val="center"/>
              <w:spacing w:after="0"/>
              <w:rPr>
                <w:sz w:val="20"/>
                <w:szCs w:val="20"/>
                <w:color w:val="auto"/>
              </w:rPr>
            </w:pPr>
            <w:r>
              <w:rPr>
                <w:rFonts w:ascii="Arial" w:cs="Arial" w:eastAsia="Arial" w:hAnsi="Arial"/>
                <w:sz w:val="22"/>
                <w:szCs w:val="22"/>
                <w:color w:val="auto"/>
                <w:w w:val="89"/>
              </w:rPr>
              <w:t>3.14%</w:t>
            </w:r>
          </w:p>
        </w:tc>
        <w:tc>
          <w:tcPr>
            <w:tcW w:w="2020" w:type="dxa"/>
            <w:vAlign w:val="bottom"/>
          </w:tcPr>
          <w:p>
            <w:pPr>
              <w:jc w:val="center"/>
              <w:spacing w:after="0"/>
              <w:rPr>
                <w:sz w:val="20"/>
                <w:szCs w:val="20"/>
                <w:color w:val="auto"/>
              </w:rPr>
            </w:pPr>
            <w:r>
              <w:rPr>
                <w:rFonts w:ascii="Arial" w:cs="Arial" w:eastAsia="Arial" w:hAnsi="Arial"/>
                <w:sz w:val="22"/>
                <w:szCs w:val="22"/>
                <w:color w:val="auto"/>
              </w:rPr>
              <w:t>AA</w:t>
            </w:r>
          </w:p>
        </w:tc>
        <w:tc>
          <w:tcPr>
            <w:tcW w:w="1860" w:type="dxa"/>
            <w:vAlign w:val="bottom"/>
          </w:tcPr>
          <w:p>
            <w:pPr>
              <w:jc w:val="center"/>
              <w:spacing w:after="0"/>
              <w:rPr>
                <w:sz w:val="20"/>
                <w:szCs w:val="20"/>
                <w:color w:val="auto"/>
              </w:rPr>
            </w:pPr>
            <w:r>
              <w:rPr>
                <w:rFonts w:ascii="Arial" w:cs="Arial" w:eastAsia="Arial" w:hAnsi="Arial"/>
                <w:sz w:val="22"/>
                <w:szCs w:val="22"/>
                <w:color w:val="auto"/>
                <w:w w:val="88"/>
              </w:rPr>
              <w:t>100.0%</w:t>
            </w:r>
          </w:p>
        </w:tc>
      </w:tr>
      <w:tr>
        <w:trPr>
          <w:trHeight w:val="243"/>
        </w:trPr>
        <w:tc>
          <w:tcPr>
            <w:tcW w:w="1460" w:type="dxa"/>
            <w:vAlign w:val="bottom"/>
          </w:tcPr>
          <w:p>
            <w:pPr>
              <w:ind w:left="140"/>
              <w:spacing w:after="0" w:line="243" w:lineRule="exact"/>
              <w:rPr>
                <w:sz w:val="20"/>
                <w:szCs w:val="20"/>
                <w:color w:val="auto"/>
              </w:rPr>
            </w:pPr>
            <w:r>
              <w:rPr>
                <w:rFonts w:ascii="Arial" w:cs="Arial" w:eastAsia="Arial" w:hAnsi="Arial"/>
                <w:sz w:val="22"/>
                <w:szCs w:val="22"/>
                <w:color w:val="auto"/>
              </w:rPr>
              <w:t>C</w:t>
            </w:r>
          </w:p>
        </w:tc>
        <w:tc>
          <w:tcPr>
            <w:tcW w:w="218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27,000,000</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87"/>
              </w:rPr>
              <w:t>9.0%</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95"/>
              </w:rPr>
              <w:t>3 Mo LIBOR</w:t>
            </w:r>
          </w:p>
        </w:tc>
        <w:tc>
          <w:tcPr>
            <w:tcW w:w="2020" w:type="dxa"/>
            <w:vAlign w:val="bottom"/>
          </w:tcPr>
          <w:p>
            <w:pPr>
              <w:jc w:val="center"/>
              <w:spacing w:after="0" w:line="243" w:lineRule="exact"/>
              <w:rPr>
                <w:sz w:val="20"/>
                <w:szCs w:val="20"/>
                <w:color w:val="auto"/>
              </w:rPr>
            </w:pPr>
            <w:r>
              <w:rPr>
                <w:rFonts w:ascii="Arial" w:cs="Arial" w:eastAsia="Arial" w:hAnsi="Arial"/>
                <w:sz w:val="22"/>
                <w:szCs w:val="22"/>
                <w:color w:val="auto"/>
              </w:rPr>
              <w:t>A</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88"/>
              </w:rPr>
              <w:t>100.0%</w:t>
            </w:r>
          </w:p>
        </w:tc>
      </w:tr>
      <w:tr>
        <w:trPr>
          <w:trHeight w:val="270"/>
        </w:trPr>
        <w:tc>
          <w:tcPr>
            <w:tcW w:w="14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22"/>
                <w:szCs w:val="22"/>
                <w:color w:val="auto"/>
                <w:w w:val="88"/>
              </w:rPr>
              <w:t>+ 4.25%</w:t>
            </w:r>
          </w:p>
        </w:tc>
        <w:tc>
          <w:tcPr>
            <w:tcW w:w="20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43"/>
        </w:trPr>
        <w:tc>
          <w:tcPr>
            <w:tcW w:w="1460" w:type="dxa"/>
            <w:vAlign w:val="bottom"/>
          </w:tcPr>
          <w:p>
            <w:pPr>
              <w:ind w:left="140"/>
              <w:spacing w:after="0" w:line="243" w:lineRule="exact"/>
              <w:rPr>
                <w:sz w:val="20"/>
                <w:szCs w:val="20"/>
                <w:color w:val="auto"/>
              </w:rPr>
            </w:pPr>
            <w:r>
              <w:rPr>
                <w:rFonts w:ascii="Arial" w:cs="Arial" w:eastAsia="Arial" w:hAnsi="Arial"/>
                <w:sz w:val="22"/>
                <w:szCs w:val="22"/>
                <w:color w:val="auto"/>
              </w:rPr>
              <w:t>D</w:t>
            </w:r>
          </w:p>
        </w:tc>
        <w:tc>
          <w:tcPr>
            <w:tcW w:w="2180" w:type="dxa"/>
            <w:vAlign w:val="bottom"/>
          </w:tcPr>
          <w:p>
            <w:pPr>
              <w:jc w:val="right"/>
              <w:ind w:right="612"/>
              <w:spacing w:after="0" w:line="243" w:lineRule="exact"/>
              <w:rPr>
                <w:sz w:val="20"/>
                <w:szCs w:val="20"/>
                <w:color w:val="auto"/>
              </w:rPr>
            </w:pPr>
            <w:r>
              <w:rPr>
                <w:rFonts w:ascii="Arial" w:cs="Arial" w:eastAsia="Arial" w:hAnsi="Arial"/>
                <w:sz w:val="22"/>
                <w:szCs w:val="22"/>
                <w:color w:val="auto"/>
              </w:rPr>
              <w:t>18,000,000</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87"/>
              </w:rPr>
              <w:t>6.0%</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95"/>
              </w:rPr>
              <w:t>3 Mo LIBOR</w:t>
            </w:r>
          </w:p>
        </w:tc>
        <w:tc>
          <w:tcPr>
            <w:tcW w:w="2020" w:type="dxa"/>
            <w:vAlign w:val="bottom"/>
          </w:tcPr>
          <w:p>
            <w:pPr>
              <w:jc w:val="center"/>
              <w:spacing w:after="0" w:line="243" w:lineRule="exact"/>
              <w:rPr>
                <w:sz w:val="20"/>
                <w:szCs w:val="20"/>
                <w:color w:val="auto"/>
              </w:rPr>
            </w:pPr>
            <w:r>
              <w:rPr>
                <w:rFonts w:ascii="Arial" w:cs="Arial" w:eastAsia="Arial" w:hAnsi="Arial"/>
                <w:sz w:val="22"/>
                <w:szCs w:val="22"/>
                <w:color w:val="auto"/>
                <w:w w:val="97"/>
              </w:rPr>
              <w:t>BBB-</w:t>
            </w:r>
          </w:p>
        </w:tc>
        <w:tc>
          <w:tcPr>
            <w:tcW w:w="1860" w:type="dxa"/>
            <w:vAlign w:val="bottom"/>
          </w:tcPr>
          <w:p>
            <w:pPr>
              <w:jc w:val="center"/>
              <w:spacing w:after="0" w:line="243" w:lineRule="exact"/>
              <w:rPr>
                <w:sz w:val="20"/>
                <w:szCs w:val="20"/>
                <w:color w:val="auto"/>
              </w:rPr>
            </w:pPr>
            <w:r>
              <w:rPr>
                <w:rFonts w:ascii="Arial" w:cs="Arial" w:eastAsia="Arial" w:hAnsi="Arial"/>
                <w:sz w:val="22"/>
                <w:szCs w:val="22"/>
                <w:color w:val="auto"/>
                <w:w w:val="88"/>
              </w:rPr>
              <w:t>100.0%</w:t>
            </w:r>
          </w:p>
        </w:tc>
      </w:tr>
      <w:tr>
        <w:trPr>
          <w:trHeight w:val="270"/>
        </w:trPr>
        <w:tc>
          <w:tcPr>
            <w:tcW w:w="14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22"/>
                <w:szCs w:val="22"/>
                <w:color w:val="auto"/>
                <w:w w:val="88"/>
              </w:rPr>
              <w:t>+ 6.50%</w:t>
            </w:r>
          </w:p>
        </w:tc>
        <w:tc>
          <w:tcPr>
            <w:tcW w:w="20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70"/>
        </w:trPr>
        <w:tc>
          <w:tcPr>
            <w:tcW w:w="1460" w:type="dxa"/>
            <w:vAlign w:val="bottom"/>
          </w:tcPr>
          <w:p>
            <w:pPr>
              <w:ind w:left="140"/>
              <w:spacing w:after="0"/>
              <w:rPr>
                <w:sz w:val="20"/>
                <w:szCs w:val="20"/>
                <w:color w:val="auto"/>
              </w:rPr>
            </w:pPr>
            <w:r>
              <w:rPr>
                <w:rFonts w:ascii="Arial" w:cs="Arial" w:eastAsia="Arial" w:hAnsi="Arial"/>
                <w:sz w:val="22"/>
                <w:szCs w:val="22"/>
                <w:color w:val="auto"/>
              </w:rPr>
              <w:t>E</w:t>
            </w:r>
          </w:p>
        </w:tc>
        <w:tc>
          <w:tcPr>
            <w:tcW w:w="2180" w:type="dxa"/>
            <w:vAlign w:val="bottom"/>
          </w:tcPr>
          <w:p>
            <w:pPr>
              <w:jc w:val="right"/>
              <w:ind w:right="612"/>
              <w:spacing w:after="0"/>
              <w:rPr>
                <w:sz w:val="20"/>
                <w:szCs w:val="20"/>
                <w:color w:val="auto"/>
              </w:rPr>
            </w:pPr>
            <w:r>
              <w:rPr>
                <w:rFonts w:ascii="Arial" w:cs="Arial" w:eastAsia="Arial" w:hAnsi="Arial"/>
                <w:sz w:val="22"/>
                <w:szCs w:val="22"/>
                <w:color w:val="auto"/>
              </w:rPr>
              <w:t>18,000,000</w:t>
            </w:r>
          </w:p>
        </w:tc>
        <w:tc>
          <w:tcPr>
            <w:tcW w:w="1860" w:type="dxa"/>
            <w:vAlign w:val="bottom"/>
          </w:tcPr>
          <w:p>
            <w:pPr>
              <w:jc w:val="center"/>
              <w:spacing w:after="0"/>
              <w:rPr>
                <w:sz w:val="20"/>
                <w:szCs w:val="20"/>
                <w:color w:val="auto"/>
              </w:rPr>
            </w:pPr>
            <w:r>
              <w:rPr>
                <w:rFonts w:ascii="Arial" w:cs="Arial" w:eastAsia="Arial" w:hAnsi="Arial"/>
                <w:sz w:val="22"/>
                <w:szCs w:val="22"/>
                <w:color w:val="auto"/>
                <w:w w:val="87"/>
              </w:rPr>
              <w:t>6.0%</w:t>
            </w:r>
          </w:p>
        </w:tc>
        <w:tc>
          <w:tcPr>
            <w:tcW w:w="1860" w:type="dxa"/>
            <w:vAlign w:val="bottom"/>
          </w:tcPr>
          <w:p>
            <w:pPr>
              <w:jc w:val="center"/>
              <w:spacing w:after="0"/>
              <w:rPr>
                <w:sz w:val="20"/>
                <w:szCs w:val="20"/>
                <w:color w:val="auto"/>
              </w:rPr>
            </w:pPr>
            <w:r>
              <w:rPr>
                <w:rFonts w:ascii="Arial" w:cs="Arial" w:eastAsia="Arial" w:hAnsi="Arial"/>
                <w:sz w:val="22"/>
                <w:szCs w:val="22"/>
                <w:color w:val="auto"/>
              </w:rPr>
              <w:t>NA</w:t>
            </w:r>
          </w:p>
        </w:tc>
        <w:tc>
          <w:tcPr>
            <w:tcW w:w="2020" w:type="dxa"/>
            <w:vAlign w:val="bottom"/>
          </w:tcPr>
          <w:p>
            <w:pPr>
              <w:jc w:val="center"/>
              <w:spacing w:after="0"/>
              <w:rPr>
                <w:sz w:val="20"/>
                <w:szCs w:val="20"/>
                <w:color w:val="auto"/>
              </w:rPr>
            </w:pPr>
            <w:r>
              <w:rPr>
                <w:rFonts w:ascii="Arial" w:cs="Arial" w:eastAsia="Arial" w:hAnsi="Arial"/>
                <w:sz w:val="22"/>
                <w:szCs w:val="22"/>
                <w:color w:val="auto"/>
                <w:w w:val="98"/>
              </w:rPr>
              <w:t>BB-</w:t>
            </w:r>
          </w:p>
        </w:tc>
        <w:tc>
          <w:tcPr>
            <w:tcW w:w="1860" w:type="dxa"/>
            <w:vAlign w:val="bottom"/>
          </w:tcPr>
          <w:p>
            <w:pPr>
              <w:jc w:val="center"/>
              <w:spacing w:after="0"/>
              <w:rPr>
                <w:sz w:val="20"/>
                <w:szCs w:val="20"/>
                <w:color w:val="auto"/>
              </w:rPr>
            </w:pPr>
            <w:r>
              <w:rPr>
                <w:rFonts w:ascii="Arial" w:cs="Arial" w:eastAsia="Arial" w:hAnsi="Arial"/>
                <w:sz w:val="22"/>
                <w:szCs w:val="22"/>
                <w:color w:val="auto"/>
                <w:w w:val="98"/>
              </w:rPr>
              <w:t>NA</w:t>
            </w:r>
          </w:p>
        </w:tc>
      </w:tr>
      <w:tr>
        <w:trPr>
          <w:trHeight w:val="276"/>
        </w:trPr>
        <w:tc>
          <w:tcPr>
            <w:tcW w:w="1460" w:type="dxa"/>
            <w:vAlign w:val="bottom"/>
            <w:tcBorders>
              <w:bottom w:val="single" w:sz="8" w:color="auto"/>
            </w:tcBorders>
          </w:tcPr>
          <w:p>
            <w:pPr>
              <w:ind w:left="140"/>
              <w:spacing w:after="0"/>
              <w:rPr>
                <w:sz w:val="20"/>
                <w:szCs w:val="20"/>
                <w:color w:val="auto"/>
              </w:rPr>
            </w:pPr>
            <w:r>
              <w:rPr>
                <w:rFonts w:ascii="Arial" w:cs="Arial" w:eastAsia="Arial" w:hAnsi="Arial"/>
                <w:sz w:val="22"/>
                <w:szCs w:val="22"/>
                <w:color w:val="auto"/>
              </w:rPr>
              <w:t>Sub Notes</w:t>
            </w:r>
          </w:p>
        </w:tc>
        <w:tc>
          <w:tcPr>
            <w:tcW w:w="2180" w:type="dxa"/>
            <w:vAlign w:val="bottom"/>
            <w:tcBorders>
              <w:bottom w:val="single" w:sz="8" w:color="auto"/>
            </w:tcBorders>
          </w:tcPr>
          <w:p>
            <w:pPr>
              <w:jc w:val="right"/>
              <w:ind w:right="612"/>
              <w:spacing w:after="0"/>
              <w:rPr>
                <w:sz w:val="20"/>
                <w:szCs w:val="20"/>
                <w:color w:val="auto"/>
              </w:rPr>
            </w:pPr>
            <w:r>
              <w:rPr>
                <w:rFonts w:ascii="Arial" w:cs="Arial" w:eastAsia="Arial" w:hAnsi="Arial"/>
                <w:sz w:val="22"/>
                <w:szCs w:val="22"/>
                <w:color w:val="auto"/>
              </w:rPr>
              <w:t>36,700,000</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12.2%</w:t>
            </w:r>
          </w:p>
        </w:tc>
        <w:tc>
          <w:tcPr>
            <w:tcW w:w="18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4"/>
              </w:rPr>
              <w:t>NR</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8"/>
              </w:rPr>
              <w:t>NA</w:t>
            </w:r>
          </w:p>
        </w:tc>
      </w:tr>
      <w:tr>
        <w:trPr>
          <w:trHeight w:val="270"/>
        </w:trPr>
        <w:tc>
          <w:tcPr>
            <w:tcW w:w="1460" w:type="dxa"/>
            <w:vAlign w:val="bottom"/>
          </w:tcPr>
          <w:p>
            <w:pPr>
              <w:ind w:left="140"/>
              <w:spacing w:after="0"/>
              <w:rPr>
                <w:sz w:val="20"/>
                <w:szCs w:val="20"/>
                <w:color w:val="auto"/>
              </w:rPr>
            </w:pPr>
            <w:r>
              <w:rPr>
                <w:rFonts w:ascii="Arial" w:cs="Arial" w:eastAsia="Arial" w:hAnsi="Arial"/>
                <w:sz w:val="22"/>
                <w:szCs w:val="22"/>
                <w:color w:val="auto"/>
              </w:rPr>
              <w:t>Total</w:t>
            </w:r>
          </w:p>
        </w:tc>
        <w:tc>
          <w:tcPr>
            <w:tcW w:w="2180" w:type="dxa"/>
            <w:vAlign w:val="bottom"/>
          </w:tcPr>
          <w:p>
            <w:pPr>
              <w:jc w:val="right"/>
              <w:ind w:right="612"/>
              <w:spacing w:after="0"/>
              <w:rPr>
                <w:sz w:val="20"/>
                <w:szCs w:val="20"/>
                <w:color w:val="auto"/>
              </w:rPr>
            </w:pPr>
            <w:r>
              <w:rPr>
                <w:rFonts w:ascii="Arial" w:cs="Arial" w:eastAsia="Arial" w:hAnsi="Arial"/>
                <w:sz w:val="22"/>
                <w:szCs w:val="22"/>
                <w:color w:val="auto"/>
              </w:rPr>
              <w:t>300,700,000</w:t>
            </w:r>
          </w:p>
        </w:tc>
        <w:tc>
          <w:tcPr>
            <w:tcW w:w="18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860" w:type="dxa"/>
            <w:vAlign w:val="bottom"/>
          </w:tcPr>
          <w:p>
            <w:pPr>
              <w:spacing w:after="0"/>
              <w:rPr>
                <w:sz w:val="23"/>
                <w:szCs w:val="23"/>
                <w:color w:val="auto"/>
              </w:rPr>
            </w:pPr>
          </w:p>
        </w:tc>
      </w:tr>
    </w:tbl>
    <w:p>
      <w:pPr>
        <w:spacing w:after="0" w:line="190"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PSSL will retain all the Class E Notes and Subordinated Notes through a consolidated subsidiary. The reinvestment period for the term debt securitization ends in January 2024 and the Debt is scheduled to mature in January 2032. The term debt securitization is expected to be approximately 95% funded at close. The proceeds from the Debt will be used to repay a portion of PSSL’s $325 million secured credit facility.</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The notes offered as part of the term debt securitization have not been and will not be registered under the Securities Act of 1933, as amended, or the Securities Act, or any state “blue sky” laws, and may not be offered or sold in the United States absent registration under Section 5 of the Securities Act or an applicable exemption from such registration requirements. The CLO is a form of secured financing incurred and consolidated by PSSL. This press release shall not constitute an offer to sell or a solicitation of an offer to buy nor shall there be any sale of the notes in any state or jurisdiction in which such offer, solicitation or sale would be unlawful prior to registration or qualification under the securities laws of any such state or jurisdiction.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SENIOR SECURED LOAN FUND I, LLC</w:t>
      </w:r>
    </w:p>
    <w:p>
      <w:pPr>
        <w:spacing w:after="0" w:line="206" w:lineRule="exact"/>
        <w:rPr>
          <w:sz w:val="20"/>
          <w:szCs w:val="20"/>
          <w:color w:val="auto"/>
        </w:rPr>
      </w:pPr>
    </w:p>
    <w:p>
      <w:pPr>
        <w:ind w:right="80"/>
        <w:spacing w:after="0"/>
        <w:rPr>
          <w:sz w:val="20"/>
          <w:szCs w:val="20"/>
          <w:color w:val="auto"/>
        </w:rPr>
      </w:pPr>
      <w:r>
        <w:rPr>
          <w:rFonts w:ascii="Arial" w:cs="Arial" w:eastAsia="Arial" w:hAnsi="Arial"/>
          <w:sz w:val="22"/>
          <w:szCs w:val="22"/>
          <w:color w:val="auto"/>
        </w:rPr>
        <w:t>PennantPark Senior Secured Loan Fund I LLC, is a joint venture between PennantPark Floating Rate Capital Ltd. and a subsidiary of Kemper Corporation (NYSE: KMPR), Trinity Universal Insurance Company, and primarily invests in U.S. middle-market companies whose debt is rated below investment grade.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ectPr>
          <w:pgSz w:w="11900" w:h="16838" w:orient="portrait"/>
          <w:cols w:equalWidth="0" w:num="1">
            <w:col w:w="11240"/>
          </w:cols>
          <w:pgMar w:left="320" w:top="112" w:right="339" w:bottom="0" w:gutter="0" w:footer="0" w:header="0"/>
        </w:sectPr>
      </w:pPr>
    </w:p>
    <w:bookmarkStart w:id="4" w:name="page5"/>
    <w:bookmarkEnd w:id="4"/>
    <w:p>
      <w:pPr>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18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180"/>
      </w:cols>
      <w:pgMar w:left="320" w:top="11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2020-12-28T06:09:27Z</dcterms:created>
  <dcterms:modified xsi:type="dcterms:W3CDTF">2020-12-28T06:09:27Z</dcterms:modified>
</cp:coreProperties>
</file>