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March 01, 2012</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40"/>
        <w:spacing w:after="0" w:line="250" w:lineRule="auto"/>
        <w:rPr>
          <w:sz w:val="20"/>
          <w:szCs w:val="20"/>
          <w:color w:val="auto"/>
        </w:rPr>
      </w:pPr>
      <w:r>
        <w:rPr>
          <w:rFonts w:ascii="Arial" w:cs="Arial" w:eastAsia="Arial" w:hAnsi="Arial"/>
          <w:sz w:val="22"/>
          <w:szCs w:val="22"/>
          <w:color w:val="auto"/>
        </w:rPr>
        <w:t>On March 1, 2012, PennantPark Floating Rate Capital Ltd. issued a press release announcing its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March 01, 2012</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ectPr>
          <w:pgSz w:w="11900" w:h="16874" w:orient="portrait"/>
          <w:cols w:equalWidth="0" w:num="1">
            <w:col w:w="11200"/>
          </w:cols>
          <w:pgMar w:left="320" w:top="828" w:right="379" w:bottom="0" w:gutter="0" w:footer="0" w:header="0"/>
        </w:sectPr>
      </w:pPr>
    </w:p>
    <w:bookmarkStart w:id="1" w:name="page2"/>
    <w:bookmarkEnd w:id="1"/>
    <w:p>
      <w:pPr>
        <w:ind w:right="120"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20" w:type="dxa"/>
            <w:vAlign w:val="bottom"/>
          </w:tcPr>
          <w:p>
            <w:pPr>
              <w:spacing w:after="0"/>
              <w:rPr>
                <w:sz w:val="20"/>
                <w:szCs w:val="20"/>
                <w:color w:val="auto"/>
              </w:rPr>
            </w:pPr>
            <w:r>
              <w:rPr>
                <w:rFonts w:ascii="Arial" w:cs="Arial" w:eastAsia="Arial" w:hAnsi="Arial"/>
                <w:sz w:val="22"/>
                <w:szCs w:val="22"/>
                <w:color w:val="auto"/>
              </w:rPr>
              <w:t>Dated: March 01, 2012</w:t>
            </w:r>
          </w:p>
        </w:tc>
        <w:tc>
          <w:tcPr>
            <w:tcW w:w="6800" w:type="dxa"/>
            <w:vAlign w:val="bottom"/>
            <w:gridSpan w:val="3"/>
          </w:tcPr>
          <w:p>
            <w:pPr>
              <w:ind w:left="18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20" w:type="dxa"/>
            <w:vAlign w:val="bottom"/>
          </w:tcPr>
          <w:p>
            <w:pPr>
              <w:spacing w:after="0"/>
              <w:rPr>
                <w:sz w:val="24"/>
                <w:szCs w:val="24"/>
                <w:color w:val="auto"/>
              </w:rPr>
            </w:pPr>
          </w:p>
        </w:tc>
        <w:tc>
          <w:tcPr>
            <w:tcW w:w="6800" w:type="dxa"/>
            <w:vAlign w:val="bottom"/>
            <w:gridSpan w:val="3"/>
          </w:tcPr>
          <w:p>
            <w:pPr>
              <w:ind w:left="1800"/>
              <w:spacing w:after="0"/>
              <w:rPr>
                <w:sz w:val="20"/>
                <w:szCs w:val="20"/>
                <w:color w:val="auto"/>
              </w:rPr>
            </w:pPr>
            <w:r>
              <w:rPr>
                <w:rFonts w:ascii="Arial" w:cs="Arial" w:eastAsia="Arial" w:hAnsi="Arial"/>
                <w:sz w:val="22"/>
                <w:szCs w:val="22"/>
                <w:color w:val="auto"/>
              </w:rPr>
              <w:t>By: /s/ Aviv Efrat</w:t>
            </w:r>
          </w:p>
        </w:tc>
      </w:tr>
      <w:tr>
        <w:trPr>
          <w:trHeight w:val="20"/>
        </w:trPr>
        <w:tc>
          <w:tcPr>
            <w:tcW w:w="3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20" w:type="dxa"/>
            <w:vAlign w:val="bottom"/>
          </w:tcPr>
          <w:p>
            <w:pPr>
              <w:spacing w:after="0"/>
              <w:rPr>
                <w:sz w:val="21"/>
                <w:szCs w:val="21"/>
                <w:color w:val="auto"/>
              </w:rPr>
            </w:pPr>
          </w:p>
        </w:tc>
        <w:tc>
          <w:tcPr>
            <w:tcW w:w="6800" w:type="dxa"/>
            <w:vAlign w:val="bottom"/>
            <w:gridSpan w:val="3"/>
          </w:tcPr>
          <w:p>
            <w:pPr>
              <w:ind w:left="20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20" w:type="dxa"/>
            <w:vAlign w:val="bottom"/>
          </w:tcPr>
          <w:p>
            <w:pPr>
              <w:spacing w:after="0"/>
              <w:rPr>
                <w:sz w:val="23"/>
                <w:szCs w:val="23"/>
                <w:color w:val="auto"/>
              </w:rPr>
            </w:pPr>
          </w:p>
        </w:tc>
        <w:tc>
          <w:tcPr>
            <w:tcW w:w="6800" w:type="dxa"/>
            <w:vAlign w:val="bottom"/>
            <w:gridSpan w:val="3"/>
          </w:tcPr>
          <w:p>
            <w:pPr>
              <w:ind w:left="21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0"/>
              </w:rPr>
              <w:t>March 01, 2012</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8"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Its Monthly Distribution of $0.075 per Share</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NEW YORK, NY -- (Marketwire - March 01, 2012) - PennantPark Floating Rate Capital Ltd. (the "Company") (NASDAQ: PFLT) declares its monthly distribution for March 2012 of $0.075 per share, payable on April 2, 2012 to stockholders of record as of March 22, 2012. Distributions are paid from taxable earnings and may include a return of capital and/or capital gains. The specific tax characteristics of distributions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This press release may contain "forward-looking statements."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0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2020-05-05T12:04:10Z</dcterms:created>
  <dcterms:modified xsi:type="dcterms:W3CDTF">2020-05-05T12:04:10Z</dcterms:modified>
</cp:coreProperties>
</file>