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08,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May 8, 2014, PennantPark Floating Rate Capital Ltd. issued a press release announcing financial results for the second fiscal quarter ended March 31, 2014.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ind w:right="10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08,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08, 2014</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08,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March 31, 2014</w:t>
      </w:r>
    </w:p>
    <w:p>
      <w:pPr>
        <w:spacing w:after="0" w:line="213"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NEW YORK, NY -- (Marketwired - May 08, 2014) - PennantPark Floating Rate Capital Ltd. (NASDAQ: PFLT) announced today financial results for the second fiscal quarter ended March 31, 2014.</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Quarter ended March 31, 2014</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389.2</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215.4</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14.46</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$173.2)</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173.2</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Yield on debt investments at quarter-end</w:t>
            </w: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gain incentive fee accrued but not payable per share</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0.27</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2"/>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50.4</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w:t>
            </w:r>
          </w:p>
        </w:tc>
      </w:tr>
      <w:tr>
        <w:trPr>
          <w:trHeight w:val="405"/>
        </w:trPr>
        <w:tc>
          <w:tcPr>
            <w:tcW w:w="680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48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4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4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w:t>
            </w:r>
          </w:p>
        </w:tc>
      </w:tr>
    </w:tbl>
    <w:p>
      <w:pPr>
        <w:spacing w:after="0" w:line="399" w:lineRule="exact"/>
        <w:rPr>
          <w:sz w:val="20"/>
          <w:szCs w:val="20"/>
          <w:color w:val="auto"/>
        </w:rPr>
      </w:pPr>
    </w:p>
    <w:p>
      <w:pPr>
        <w:ind w:right="60" w:firstLine="8"/>
        <w:spacing w:after="0" w:line="236"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Core net investment income is a non-GAAP financial measure. The Company believes that core net investment income provides useful information to investors and management because it reflects the Company's financial performance excluding the charges related to incentive fee on net unrealized gains accrued under GAAP but not payable unless such net unrealized gains are realized. The presentation of this additional information is not meant to be considered in isolation or as a substitute for financial results prepared in accordance with GAAP.</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9, 2014</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May 9, 2014 to discuss its financial results. All interested parties are welcome to participate. You can access the conference call by dialing (888) 576-4398 approximately 5-10 minutes prior to the call. International callers should dial (719)</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325-2361. All callers should reference PennantPark Floating Rate Capital Ltd. An archived replay of the call will be available through May 23, 2014 by calling (888) 203-1112. International callers please dial (719) 457-0820. For all phone replays, please reference conference ID #5690285.</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As of March 31, 2014, our portfolio totaled $389.2 million and consisted of $342.2 million of senior secured loans, $32.6 million of second lien secured debt, $12.7 million of subordinated debt and $1.7 million of preferred and common equity investments. Our debt portfolio consisted of 94% variable-rate investments (including 92% with a London Interbank Offered Rate, or LIBOR, or prime floor) and 6% fixed-rate investments. Overall, the portfolio had unrealized appreciation of $3.8 million. Our overall portfolio consisted of 87 companies with an average investment size of $4.5 million, had a weighted average yield on debt investments of 8.1%, and was invested 88% in senior secured loans, 8% in second lien secured debt, 3% in subordinated debt and 1% in preferred and common equity investments.</w:t>
      </w:r>
    </w:p>
    <w:p>
      <w:pPr>
        <w:spacing w:after="0" w:line="184" w:lineRule="exact"/>
        <w:rPr>
          <w:sz w:val="20"/>
          <w:szCs w:val="20"/>
          <w:color w:val="auto"/>
        </w:rPr>
      </w:pPr>
    </w:p>
    <w:p>
      <w:pPr>
        <w:ind w:right="220"/>
        <w:spacing w:after="0" w:line="234" w:lineRule="auto"/>
        <w:rPr>
          <w:sz w:val="20"/>
          <w:szCs w:val="20"/>
          <w:color w:val="auto"/>
        </w:rPr>
      </w:pPr>
      <w:r>
        <w:rPr>
          <w:rFonts w:ascii="Arial" w:cs="Arial" w:eastAsia="Arial" w:hAnsi="Arial"/>
          <w:sz w:val="22"/>
          <w:szCs w:val="22"/>
          <w:color w:val="auto"/>
        </w:rPr>
        <w:t>As of September 30, 2013, our portfolio totaled $317.8 million and consisted of $281.0 million of senior secured loans, $27.5 million of second lien secured debt and $9.3 million of subordinated debt, preferred and common equity investments. Our debt portfolio consisted of 92% variable-rate investments (including 89% with a LIBOR or prime floor) and 8% fixed-rate investments. Overall, the portfolio had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 investments.</w:t>
      </w:r>
    </w:p>
    <w:p>
      <w:pPr>
        <w:spacing w:after="0" w:line="191"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For the three months ended March 31, 2014, we invested $50.4 million in eight new and seven existing portfolio companies with a weighted average yield on debt investments of 8.3%. Sales and repayments of investments for the three months ended March 31, 2014 totaled $35.7 million. For the six months ended March 31, 2014, we invested $154.3 million in 25 new and 18 existing portfolio companies with a weighted average yield on debt investments of 7.9%. Sales and repayments of investments for the six months ended March 31, 2014 totaled $91.2 million.</w:t>
      </w:r>
    </w:p>
    <w:p>
      <w:pPr>
        <w:sectPr>
          <w:pgSz w:w="11900" w:h="16838" w:orient="portrait"/>
          <w:cols w:equalWidth="0" w:num="1">
            <w:col w:w="11240"/>
          </w:cols>
          <w:pgMar w:left="320" w:top="111" w:right="339" w:bottom="0" w:gutter="0" w:footer="0" w:header="0"/>
        </w:sectPr>
      </w:pPr>
    </w:p>
    <w:bookmarkStart w:id="3" w:name="page4"/>
    <w:bookmarkEnd w:id="3"/>
    <w:p>
      <w:pPr>
        <w:ind w:right="80"/>
        <w:spacing w:after="0" w:line="249" w:lineRule="auto"/>
        <w:rPr>
          <w:sz w:val="20"/>
          <w:szCs w:val="20"/>
          <w:color w:val="auto"/>
        </w:rPr>
      </w:pPr>
      <w:r>
        <w:rPr>
          <w:rFonts w:ascii="Arial" w:cs="Arial" w:eastAsia="Arial" w:hAnsi="Arial"/>
          <w:sz w:val="21"/>
          <w:szCs w:val="21"/>
          <w:color w:val="auto"/>
        </w:rPr>
        <w:t>For the three months ended March 31, 2013, we invested $45.1 million in 16 new and four existing portfolio companies with a weighted average yield on debt investments of 7.9%. Sales and repayments of investments for the three months ended March 31, 2013 totaled $43.9 million. For the six months ended March 31, 2013, we invested $84.0 million in 28 new and six existing portfolio companies with a weighted average yield on debt investments of 8.8%. Sales and repayments of investments for the six months ended March 31, 2013 totaled $74.2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2014 and 2013.</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Investment income for the three and six months ended March 31, 2014 was $7.6 million and $14.5 million, respectively, and was attributable to $6.3 million and $11.8 million from senior secured loan investments, and $1.3 million and $2.7 million from second lien secured debt and subordinated debt investments. This compares to investment income for the three and six months ended March 31, 2013, which was $4.1 million and $8.1 million, respectively, and was attributable to $3.6 million and $6.9 million from senior secured loan investments, and $0.5 million and $1.2 million from second lien secured debt and subordinated debt investments. The increase in investment income over the prior year was primarily due to the growth of our portfolio.</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Expenses for the three and six months ended March 31, 2014 totaled $3.9 million and $7.5 million, respectively. Base management fee for the same periods totaled $1.0 million and $1.8 million, incentive fees totaled $1.4 million (including $0.3 million on net realized gains accrued, and $0.4 million on net unrealized gains accrued but not payable) and $2.1 million (including $0.7 million on net realized gains accrued, and $0.6 million on net unrealized gains accrued but not payable), our senior secured revolving credit facility, or the Credit Facility, expenses totaled $1.0 million and $2.4 million (including $0.7 million of Credit Facility amendment expenses), general and administrative expenses totaled $0.4 million and $1.0 million and excise taxes were $0.1 million and $0.2 million, respectively. This compares to expenses for the three and six months ended March 31, 2013, which totaled $2.5 million and $4.4 million, respectively. Base management fee for the same periods totaled $0.5 million and $0.9 million, incentive fees totaled $0.6 million and $1.0 million (including $0.3 million on net unrealized gains accrued but not payable), Credit Facility expenses totaled $0.5 million and $1.0 million (excluding $0.5 million of Credit Facility amendment expenses), general and administrative expenses totaled $0.4 million and $0.9 million and excise taxes were $0.1 million, respectively. The increase in base management fee, incentive fee and Credit Facility expenses was due to the growth of our portfolio and expanding our borrowing capacity under our Credit Facility.</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Net investment income totaled $3.7 million and $7.0 million, or $0.25 and $0.47 per share, for the three and six months ended March 31, 2014, respectively. Net investment income totaled $1.7 million and $3.7 million, or $0.24 and $0.54 per share, for the three and six months ended March 31, 2013, respectively. The increase in net investment income was due to a larger portfolio, which was partially offset by amendment costs. For the three months ended March 31, 2014, net investment income per share increased due to changes in yield environment over the prior year, whereas, for the six months ended March 31, 2014, net investment income per share decreased over the prior year as a result of both changes in yield environment and share issuances of common stock during 2013.</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Sales and repayments of investments for the three and six months ended March 31, 2014 totaled $35.7 million and $91.2 million and net realized gains totaled $0.5 million and $1.1 million, respectively. Sales and repayments of investments totaled $43.9 million and $74.2 million and realized gains totaled $1.1 million and $1.5 million for the three and six months ended March 31, 2013, respectively. The decrease in realized gains was driven by changes in market conditions for our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For the three and six months ended March 31, 2014, we reported net unrealized appreciation on investments of $3.0 million and $5.3 million, respectively. For the three and six months ended March 31, 2013, we reported net unrealized appreciation on investments of $0.4 million and $0.1 million, respectively. As of March 31, 2014 and September 30, 2013, net unrealized appreciation (depreciation) on investments totaled $3.8 million and $(1.5) million, respectively. The change compared to last year was the result of changes in market values.</w:t>
      </w:r>
    </w:p>
    <w:p>
      <w:pPr>
        <w:spacing w:after="0" w:line="187"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For each of the three and six months ended March 31, 2014, our Credit Facility had an unrealized appreciation of zero. For the three and six months ended March 31, 2013, our Credit Facility had an unrealized appreciation of zero and $0.4 million, respectively. As of March 31, 2014 and September 30, 2013, net unrealized appreciation on our Credit Facility totaled zero. The change compared to last year was due to changes in the capital markets.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460"/>
        <w:spacing w:after="0" w:line="328" w:lineRule="auto"/>
        <w:rPr>
          <w:sz w:val="20"/>
          <w:szCs w:val="20"/>
          <w:color w:val="auto"/>
        </w:rPr>
      </w:pPr>
      <w:r>
        <w:rPr>
          <w:rFonts w:ascii="Arial" w:cs="Arial" w:eastAsia="Arial" w:hAnsi="Arial"/>
          <w:sz w:val="19"/>
          <w:szCs w:val="19"/>
          <w:color w:val="auto"/>
        </w:rPr>
        <w:t>Net increase in net assets resulting from operations totaled $7.2 million and $13.3 million, or $0.49 and $0.89 per share, respectively, for the three and six months ended March 31, 2014. This compares to a net increase in net assets resulting from</w:t>
      </w:r>
    </w:p>
    <w:p>
      <w:pPr>
        <w:sectPr>
          <w:pgSz w:w="11900" w:h="16838" w:orient="portrait"/>
          <w:cols w:equalWidth="0" w:num="1">
            <w:col w:w="11220"/>
          </w:cols>
          <w:pgMar w:left="320" w:top="118" w:right="359" w:bottom="0" w:gutter="0" w:footer="0" w:header="0"/>
        </w:sectPr>
      </w:pPr>
    </w:p>
    <w:bookmarkStart w:id="4" w:name="page5"/>
    <w:bookmarkEnd w:id="4"/>
    <w:p>
      <w:pPr>
        <w:ind w:right="260"/>
        <w:spacing w:after="0" w:line="329" w:lineRule="auto"/>
        <w:rPr>
          <w:sz w:val="20"/>
          <w:szCs w:val="20"/>
          <w:color w:val="auto"/>
        </w:rPr>
      </w:pPr>
      <w:r>
        <w:rPr>
          <w:rFonts w:ascii="Arial" w:cs="Arial" w:eastAsia="Arial" w:hAnsi="Arial"/>
          <w:sz w:val="19"/>
          <w:szCs w:val="19"/>
          <w:color w:val="auto"/>
        </w:rPr>
        <w:t>operations which totaled $3.2 million and $5.0 million, or $0.45 and $0.72 per share, respectively, for the three and six months ended March 31, 2013. We continue to find attractive investment opportunities to grow net assets from operations.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As of March 31, 2014 and September 30, 2013, PennantPark Floating Rate Funding I, LLC's, or Funding I, had $173.2 million and $99.6 million of outstanding borrowings under the Credit Facility, respectively, and carried an interest rate of 2.16% and 2.18%, respectively, excluding the 0.375% undrawn commitment fee.</w:t>
      </w:r>
    </w:p>
    <w:p>
      <w:pPr>
        <w:spacing w:after="0" w:line="186"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The annualized weighted average cost of debt for the six months ended March 31, 2014 and 2013, inclusive of the fee on the undrawn commitment on the Credit Facility but excluding amendment costs, was 2.39% and 2.63%, respectively.</w:t>
      </w:r>
    </w:p>
    <w:p>
      <w:pPr>
        <w:spacing w:after="0" w:line="10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Our operating activities used cash of $65.1 million for the six months ended March 31, 2014, and our financing activities provided cash of $65.6 million for the same period. Our operating activities used cash primarily for our investment activities and our financing activities provided cash primarily from net draws under the Credit Facility.</w:t>
      </w:r>
    </w:p>
    <w:p>
      <w:pPr>
        <w:spacing w:after="0" w:line="18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Our operating activities provided cash of $4.0 million for the six months ended March 31, 2013, and our financing activities used cash of $5.1 million for the same period. Our operating activities provided cash primarily from our investment activity that offset our financing activities, which used cash primarily to pay the deferred sales load and net repayments under the Credit Facility that was partially financed by the proceeds of our offering.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During the three and six months ended March 31, 2014, we declared to stockholders distributions of $0.270 and $0.538 per share, respectively, for total distributions of $4.0 million and $8.0 million, respectively. For the same periods in the prior year, we declared distributions of $0.255 and $0.503 per share, respectively, for total distributions of $1.7 million and $3.4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396"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30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March 31, 2014</w:t>
            </w:r>
          </w:p>
        </w:tc>
        <w:tc>
          <w:tcPr>
            <w:tcW w:w="20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5"/>
              </w:rPr>
              <w:t>September 30, 2013</w:t>
            </w:r>
          </w:p>
        </w:tc>
      </w:tr>
      <w:tr>
        <w:trPr>
          <w:trHeight w:val="203"/>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(unaudited)</w:t>
            </w: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(cost-$385,423,226</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$319,283,468, respectively)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389,208,433</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317,803,894</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5,080,140</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4,578,249</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1,833,038</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2,140,802</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6,034,574</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3,659,185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534,298</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619,737</w:t>
            </w:r>
          </w:p>
        </w:tc>
      </w:tr>
      <w:tr>
        <w:trPr>
          <w:trHeight w:val="203"/>
        </w:trPr>
        <w:tc>
          <w:tcPr>
            <w:tcW w:w="38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402,690,483</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328,801,867</w:t>
            </w:r>
          </w:p>
        </w:tc>
      </w:tr>
      <w:tr>
        <w:trPr>
          <w:trHeight w:val="203"/>
        </w:trPr>
        <w:tc>
          <w:tcPr>
            <w:tcW w:w="38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1,340,825</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1,303,580</w:t>
            </w:r>
          </w:p>
        </w:tc>
      </w:tr>
      <w:tr>
        <w:trPr>
          <w:trHeight w:val="202"/>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6,887,632</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14,021,588</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934,555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$173,200,000 and $99,600,000,</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173,200,000</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99,600,000</w:t>
            </w:r>
          </w:p>
        </w:tc>
      </w:tr>
      <w:tr>
        <w:trPr>
          <w:trHeight w:val="202"/>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324,403</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189,934</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952,949</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731,635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payable</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2,241,511</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1,164,090</w:t>
            </w:r>
          </w:p>
        </w:tc>
      </w:tr>
      <w:tr>
        <w:trPr>
          <w:trHeight w:val="202"/>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2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390,396</w:t>
            </w:r>
          </w:p>
        </w:tc>
        <w:tc>
          <w:tcPr>
            <w:tcW w:w="5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790,091</w:t>
            </w:r>
          </w:p>
        </w:tc>
      </w:tr>
    </w:tbl>
    <w:p>
      <w:pPr>
        <w:sectPr>
          <w:pgSz w:w="11900" w:h="16838" w:orient="portrait"/>
          <w:cols w:equalWidth="0" w:num="1">
            <w:col w:w="11220"/>
          </w:cols>
          <w:pgMar w:left="320" w:top="118"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187,337,716</w:t>
            </w:r>
          </w:p>
        </w:tc>
        <w:tc>
          <w:tcPr>
            <w:tcW w:w="10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118,735,473</w:t>
            </w:r>
          </w:p>
        </w:tc>
      </w:tr>
      <w:tr>
        <w:trPr>
          <w:trHeight w:val="203"/>
        </w:trPr>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stock, 14,898,056 shares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issued and outstanding.</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Par value $0.001 per share and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39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14,898</w:t>
            </w:r>
          </w:p>
        </w:tc>
        <w:tc>
          <w:tcPr>
            <w:tcW w:w="10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14,898</w:t>
            </w: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Paid-in capital in excess of par</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value</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207,481,368</w:t>
            </w:r>
          </w:p>
        </w:tc>
        <w:tc>
          <w:tcPr>
            <w:tcW w:w="10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207,481,368</w:t>
            </w: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(Distributions in excess of)</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9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9"/>
              </w:rPr>
              <w:t>Undistributed net investment income</w:t>
            </w:r>
          </w:p>
        </w:tc>
        <w:tc>
          <w:tcPr>
            <w:tcW w:w="220" w:type="dxa"/>
            <w:vAlign w:val="bottom"/>
          </w:tcPr>
          <w:p>
            <w:pPr>
              <w:spacing w:after="0"/>
              <w:rPr>
                <w:sz w:val="17"/>
                <w:szCs w:val="17"/>
                <w:color w:val="auto"/>
              </w:rPr>
            </w:pPr>
          </w:p>
        </w:tc>
        <w:tc>
          <w:tcPr>
            <w:tcW w:w="262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(580,496)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474,766</w:t>
            </w: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Accumulated net realized gain on</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4,651,790</w:t>
            </w:r>
          </w:p>
        </w:tc>
        <w:tc>
          <w:tcPr>
            <w:tcW w:w="10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3,574,936</w:t>
            </w: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appreciation</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9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(depreciation) on investments</w:t>
            </w:r>
          </w:p>
        </w:tc>
        <w:tc>
          <w:tcPr>
            <w:tcW w:w="22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3,785,207</w:t>
            </w:r>
          </w:p>
        </w:tc>
        <w:tc>
          <w:tcPr>
            <w:tcW w:w="10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(1,479,574)</w:t>
            </w:r>
          </w:p>
        </w:tc>
      </w:tr>
      <w:tr>
        <w:trPr>
          <w:trHeight w:val="203"/>
        </w:trPr>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26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215,352,767</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210,066,394</w:t>
            </w:r>
          </w:p>
        </w:tc>
      </w:tr>
      <w:tr>
        <w:trPr>
          <w:trHeight w:val="203"/>
        </w:trPr>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402,690,483</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328,801,867</w:t>
            </w:r>
          </w:p>
        </w:tc>
      </w:tr>
      <w:tr>
        <w:trPr>
          <w:trHeight w:val="203"/>
        </w:trPr>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Net asset value per share</w:t>
            </w:r>
          </w:p>
        </w:tc>
        <w:tc>
          <w:tcPr>
            <w:tcW w:w="126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14.46</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14.10</w:t>
            </w:r>
          </w:p>
        </w:tc>
      </w:tr>
      <w:tr>
        <w:trPr>
          <w:trHeight w:val="203"/>
        </w:trPr>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740" w:type="dxa"/>
            <w:vAlign w:val="bottom"/>
            <w:gridSpan w:val="7"/>
          </w:tcPr>
          <w:p>
            <w:pPr>
              <w:jc w:val="center"/>
              <w:ind w:left="1072"/>
              <w:spacing w:after="0"/>
              <w:rPr>
                <w:sz w:val="20"/>
                <w:szCs w:val="20"/>
                <w:color w:val="auto"/>
              </w:rPr>
            </w:pPr>
            <w:r>
              <w:rPr>
                <w:rFonts w:ascii="Courier New" w:cs="Courier New" w:eastAsia="Courier New" w:hAnsi="Courier New"/>
                <w:sz w:val="18"/>
                <w:szCs w:val="18"/>
                <w:color w:val="auto"/>
                <w:w w:val="97"/>
              </w:rPr>
              <w:t>PENNANTPARK FLOATING RATE CAPITAL LTD. AND SUBSIDIARY</w:t>
            </w:r>
          </w:p>
        </w:tc>
        <w:tc>
          <w:tcPr>
            <w:tcW w:w="128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4740" w:type="dxa"/>
            <w:vAlign w:val="bottom"/>
            <w:gridSpan w:val="6"/>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28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20" w:type="dxa"/>
            <w:vAlign w:val="bottom"/>
            <w:gridSpan w:val="3"/>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6020" w:type="dxa"/>
            <w:vAlign w:val="bottom"/>
            <w:gridSpan w:val="7"/>
          </w:tcPr>
          <w:p>
            <w:pPr>
              <w:ind w:left="120"/>
              <w:spacing w:after="0"/>
              <w:rPr>
                <w:sz w:val="20"/>
                <w:szCs w:val="20"/>
                <w:color w:val="auto"/>
              </w:rPr>
            </w:pPr>
            <w:r>
              <w:rPr>
                <w:rFonts w:ascii="Courier New" w:cs="Courier New" w:eastAsia="Courier New" w:hAnsi="Courier New"/>
                <w:sz w:val="18"/>
                <w:szCs w:val="18"/>
                <w:color w:val="auto"/>
                <w:w w:val="98"/>
              </w:rPr>
              <w:t>Three Months Ended March 31, Six Months Ended March 31,</w:t>
            </w:r>
          </w:p>
        </w:tc>
      </w:tr>
      <w:tr>
        <w:trPr>
          <w:trHeight w:val="203"/>
        </w:trPr>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2014</w:t>
            </w:r>
          </w:p>
        </w:tc>
        <w:tc>
          <w:tcPr>
            <w:tcW w:w="2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2013</w:t>
            </w:r>
          </w:p>
        </w:tc>
        <w:tc>
          <w:tcPr>
            <w:tcW w:w="168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2014</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2000" w:type="dxa"/>
            <w:vAlign w:val="bottom"/>
          </w:tcPr>
          <w:p>
            <w:pPr>
              <w:spacing w:after="0"/>
              <w:rPr>
                <w:sz w:val="17"/>
                <w:szCs w:val="17"/>
                <w:color w:val="auto"/>
              </w:rPr>
            </w:pPr>
          </w:p>
        </w:tc>
        <w:tc>
          <w:tcPr>
            <w:tcW w:w="602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Non-controlled,</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7,529,198 $</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3,976,016</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$ 14,283,445 $</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7,614,243</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94,278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163,861</w:t>
            </w:r>
          </w:p>
        </w:tc>
        <w:tc>
          <w:tcPr>
            <w:tcW w:w="6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183,924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488,307</w:t>
            </w:r>
          </w:p>
        </w:tc>
      </w:tr>
      <w:tr>
        <w:trPr>
          <w:trHeight w:val="203"/>
        </w:trPr>
        <w:tc>
          <w:tcPr>
            <w:tcW w:w="2000" w:type="dxa"/>
            <w:vAlign w:val="bottom"/>
          </w:tcPr>
          <w:p>
            <w:pPr>
              <w:spacing w:after="0"/>
              <w:rPr>
                <w:sz w:val="17"/>
                <w:szCs w:val="17"/>
                <w:color w:val="auto"/>
              </w:rPr>
            </w:pPr>
          </w:p>
        </w:tc>
        <w:tc>
          <w:tcPr>
            <w:tcW w:w="602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7,623,476</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4,139,877</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14,467,369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8,102,550</w:t>
            </w:r>
          </w:p>
        </w:tc>
      </w:tr>
      <w:tr>
        <w:trPr>
          <w:trHeight w:val="203"/>
        </w:trPr>
        <w:tc>
          <w:tcPr>
            <w:tcW w:w="2000" w:type="dxa"/>
            <w:vAlign w:val="bottom"/>
          </w:tcPr>
          <w:p>
            <w:pPr>
              <w:spacing w:after="0"/>
              <w:rPr>
                <w:sz w:val="17"/>
                <w:szCs w:val="17"/>
                <w:color w:val="auto"/>
              </w:rPr>
            </w:pPr>
          </w:p>
        </w:tc>
        <w:tc>
          <w:tcPr>
            <w:tcW w:w="602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952,949</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456,637</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1,834,752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915,623</w:t>
            </w:r>
          </w:p>
        </w:tc>
      </w:tr>
      <w:tr>
        <w:trPr>
          <w:trHeight w:val="202"/>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Performance-based</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1,417,315</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563,191</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2,100,465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980,220</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on the</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963,688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495,395</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1,700,125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966,463</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201,000</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153,679</w:t>
            </w:r>
          </w:p>
        </w:tc>
        <w:tc>
          <w:tcPr>
            <w:tcW w:w="6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402,000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308,824</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Other general and</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234,014</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271,709</w:t>
            </w:r>
          </w:p>
        </w:tc>
        <w:tc>
          <w:tcPr>
            <w:tcW w:w="6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524,654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639,209</w:t>
            </w:r>
          </w:p>
        </w:tc>
      </w:tr>
      <w:tr>
        <w:trPr>
          <w:trHeight w:val="203"/>
        </w:trPr>
        <w:tc>
          <w:tcPr>
            <w:tcW w:w="2000" w:type="dxa"/>
            <w:vAlign w:val="bottom"/>
          </w:tcPr>
          <w:p>
            <w:pPr>
              <w:spacing w:after="0"/>
              <w:rPr>
                <w:sz w:val="17"/>
                <w:szCs w:val="17"/>
                <w:color w:val="auto"/>
              </w:rPr>
            </w:pPr>
          </w:p>
        </w:tc>
        <w:tc>
          <w:tcPr>
            <w:tcW w:w="602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excise tax and</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3,768,966</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1,940,611</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6,561,996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3,810,339</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130,000</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33,341</w:t>
            </w:r>
          </w:p>
        </w:tc>
        <w:tc>
          <w:tcPr>
            <w:tcW w:w="6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240,000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67,413</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6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712,930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500,000</w:t>
            </w:r>
          </w:p>
        </w:tc>
      </w:tr>
      <w:tr>
        <w:trPr>
          <w:trHeight w:val="203"/>
        </w:trPr>
        <w:tc>
          <w:tcPr>
            <w:tcW w:w="2000" w:type="dxa"/>
            <w:vAlign w:val="bottom"/>
          </w:tcPr>
          <w:p>
            <w:pPr>
              <w:spacing w:after="0"/>
              <w:rPr>
                <w:sz w:val="17"/>
                <w:szCs w:val="17"/>
                <w:color w:val="auto"/>
              </w:rPr>
            </w:pPr>
          </w:p>
        </w:tc>
        <w:tc>
          <w:tcPr>
            <w:tcW w:w="602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3,898,966</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2,473,952</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7,514,926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4,377,752</w:t>
            </w:r>
          </w:p>
        </w:tc>
      </w:tr>
      <w:tr>
        <w:trPr>
          <w:trHeight w:val="202"/>
        </w:trPr>
        <w:tc>
          <w:tcPr>
            <w:tcW w:w="2000" w:type="dxa"/>
            <w:vAlign w:val="bottom"/>
          </w:tcPr>
          <w:p>
            <w:pPr>
              <w:spacing w:after="0"/>
              <w:rPr>
                <w:sz w:val="17"/>
                <w:szCs w:val="17"/>
                <w:color w:val="auto"/>
              </w:rPr>
            </w:pPr>
          </w:p>
        </w:tc>
        <w:tc>
          <w:tcPr>
            <w:tcW w:w="602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2"/>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3,724,510</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1,665,925</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6,952,443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3,724,798</w:t>
            </w:r>
          </w:p>
        </w:tc>
      </w:tr>
      <w:tr>
        <w:trPr>
          <w:trHeight w:val="203"/>
        </w:trPr>
        <w:tc>
          <w:tcPr>
            <w:tcW w:w="2000" w:type="dxa"/>
            <w:vAlign w:val="bottom"/>
          </w:tcPr>
          <w:p>
            <w:pPr>
              <w:spacing w:after="0"/>
              <w:rPr>
                <w:sz w:val="17"/>
                <w:szCs w:val="17"/>
                <w:color w:val="auto"/>
              </w:rPr>
            </w:pPr>
          </w:p>
        </w:tc>
        <w:tc>
          <w:tcPr>
            <w:tcW w:w="602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2"/>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unrealized gain on</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on non-controlled,</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6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482,797</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1,104,627</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1,076,854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1,547,470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ind w:left="120"/>
              <w:spacing w:after="0"/>
              <w:rPr>
                <w:sz w:val="20"/>
                <w:szCs w:val="20"/>
                <w:color w:val="auto"/>
              </w:rPr>
            </w:pPr>
            <w:r>
              <w:rPr>
                <w:rFonts w:ascii="Courier New" w:cs="Courier New" w:eastAsia="Courier New" w:hAnsi="Courier New"/>
                <w:sz w:val="18"/>
                <w:szCs w:val="18"/>
                <w:color w:val="auto"/>
              </w:rPr>
              <w:t>unrealized</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3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3,029,990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435,183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5,264,781</w:t>
            </w:r>
          </w:p>
        </w:tc>
        <w:tc>
          <w:tcPr>
            <w:tcW w:w="3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76,398</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3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(377,500)</w:t>
            </w:r>
          </w:p>
        </w:tc>
      </w:tr>
      <w:tr>
        <w:trPr>
          <w:trHeight w:val="203"/>
        </w:trPr>
        <w:tc>
          <w:tcPr>
            <w:tcW w:w="2060" w:type="dxa"/>
            <w:vAlign w:val="bottom"/>
          </w:tcPr>
          <w:p>
            <w:pPr>
              <w:spacing w:after="0"/>
              <w:rPr>
                <w:sz w:val="17"/>
                <w:szCs w:val="17"/>
                <w:color w:val="auto"/>
              </w:rPr>
            </w:pP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3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3,029,990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435,183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5,264,781</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(301,102)</w:t>
            </w:r>
          </w:p>
        </w:tc>
      </w:tr>
      <w:tr>
        <w:trPr>
          <w:trHeight w:val="203"/>
        </w:trPr>
        <w:tc>
          <w:tcPr>
            <w:tcW w:w="2060" w:type="dxa"/>
            <w:vAlign w:val="bottom"/>
          </w:tcPr>
          <w:p>
            <w:pPr>
              <w:spacing w:after="0"/>
              <w:rPr>
                <w:sz w:val="17"/>
                <w:szCs w:val="17"/>
                <w:color w:val="auto"/>
              </w:rPr>
            </w:pP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investments</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Credit</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3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3,512,787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1,539,810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6,341,635</w:t>
            </w:r>
          </w:p>
        </w:tc>
        <w:tc>
          <w:tcPr>
            <w:tcW w:w="3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1,246,368</w:t>
            </w:r>
          </w:p>
        </w:tc>
      </w:tr>
      <w:tr>
        <w:trPr>
          <w:trHeight w:val="203"/>
        </w:trPr>
        <w:tc>
          <w:tcPr>
            <w:tcW w:w="2060" w:type="dxa"/>
            <w:vAlign w:val="bottom"/>
          </w:tcPr>
          <w:p>
            <w:pPr>
              <w:spacing w:after="0"/>
              <w:rPr>
                <w:sz w:val="17"/>
                <w:szCs w:val="17"/>
                <w:color w:val="auto"/>
              </w:rPr>
            </w:pP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increase in net</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7,237,297 $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3,205,735 $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13,294,078</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4,971,166</w:t>
            </w:r>
          </w:p>
        </w:tc>
      </w:tr>
      <w:tr>
        <w:trPr>
          <w:trHeight w:val="203"/>
        </w:trPr>
        <w:tc>
          <w:tcPr>
            <w:tcW w:w="2060" w:type="dxa"/>
            <w:vAlign w:val="bottom"/>
          </w:tcPr>
          <w:p>
            <w:pPr>
              <w:spacing w:after="0"/>
              <w:rPr>
                <w:sz w:val="17"/>
                <w:szCs w:val="17"/>
                <w:color w:val="auto"/>
              </w:rPr>
            </w:pP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 Net</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net</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0.49 $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0.89</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0.72</w:t>
            </w:r>
          </w:p>
        </w:tc>
      </w:tr>
      <w:tr>
        <w:trPr>
          <w:trHeight w:val="203"/>
        </w:trPr>
        <w:tc>
          <w:tcPr>
            <w:tcW w:w="2060" w:type="dxa"/>
            <w:vAlign w:val="bottom"/>
          </w:tcPr>
          <w:p>
            <w:pPr>
              <w:spacing w:after="0"/>
              <w:rPr>
                <w:sz w:val="17"/>
                <w:szCs w:val="17"/>
                <w:color w:val="auto"/>
              </w:rPr>
            </w:pP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 Net</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0.25 $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0.47</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0.54</w:t>
            </w:r>
          </w:p>
        </w:tc>
      </w:tr>
      <w:tr>
        <w:trPr>
          <w:trHeight w:val="203"/>
        </w:trPr>
        <w:tc>
          <w:tcPr>
            <w:tcW w:w="2060" w:type="dxa"/>
            <w:vAlign w:val="bottom"/>
          </w:tcPr>
          <w:p>
            <w:pPr>
              <w:spacing w:after="0"/>
              <w:rPr>
                <w:sz w:val="17"/>
                <w:szCs w:val="17"/>
                <w:color w:val="auto"/>
              </w:rPr>
            </w:pP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 Net</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net</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0.49 $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0.89</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0.71</w:t>
            </w:r>
          </w:p>
        </w:tc>
      </w:tr>
      <w:tr>
        <w:trPr>
          <w:trHeight w:val="203"/>
        </w:trPr>
        <w:tc>
          <w:tcPr>
            <w:tcW w:w="2060" w:type="dxa"/>
            <w:vAlign w:val="bottom"/>
          </w:tcPr>
          <w:p>
            <w:pPr>
              <w:spacing w:after="0"/>
              <w:rPr>
                <w:sz w:val="17"/>
                <w:szCs w:val="17"/>
                <w:color w:val="auto"/>
              </w:rPr>
            </w:pP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 Net</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0.25 $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0.47</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0.53</w:t>
            </w:r>
          </w:p>
        </w:tc>
      </w:tr>
      <w:tr>
        <w:trPr>
          <w:trHeight w:val="203"/>
        </w:trPr>
        <w:tc>
          <w:tcPr>
            <w:tcW w:w="2060" w:type="dxa"/>
            <w:vAlign w:val="bottom"/>
          </w:tcPr>
          <w:p>
            <w:pPr>
              <w:spacing w:after="0"/>
              <w:rPr>
                <w:sz w:val="17"/>
                <w:szCs w:val="17"/>
                <w:color w:val="auto"/>
              </w:rPr>
            </w:pP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jc w:val="both"/>
        <w:ind w:right="100"/>
        <w:spacing w:after="0" w:line="26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p>
      <w:pPr>
        <w:sectPr>
          <w:pgSz w:w="11900" w:h="16838" w:orient="portrait"/>
          <w:cols w:equalWidth="0" w:num="1">
            <w:col w:w="11200"/>
          </w:cols>
          <w:pgMar w:left="320" w:top="136" w:right="379" w:bottom="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2020-05-05T12:04:20Z</dcterms:created>
  <dcterms:modified xsi:type="dcterms:W3CDTF">2020-05-05T12:04:20Z</dcterms:modified>
</cp:coreProperties>
</file>