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10, 2025, PennantPark Floating Rate Capital Ltd., or the Company, issued a press release announcing its financial results for the first fiscal quarter ended December 31, 2024. A copy of the press release is furnished as Exhibit 99.1 to this report pursuant to Item 2.02 on Form 8-K and Regulation FD.</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February 10,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2025</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Financial Results for the First Quarter Ended December 31, 2024</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MIAMI, Feb. 10, 2025 (GLOBE NEWSWIRE) -- PennantPark Floating Rate Capital Ltd. (NYSE: PFLT) announced today its financial results for the first quarter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December 31, 2024 (Unaudited)</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5"/>
        </w:trPr>
        <w:tc>
          <w:tcPr>
            <w:tcW w:w="742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2,193.9</w:t>
            </w:r>
          </w:p>
        </w:tc>
      </w:tr>
      <w:tr>
        <w:trPr>
          <w:trHeight w:val="270"/>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assets</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962.7</w:t>
            </w:r>
          </w:p>
        </w:tc>
      </w:tr>
      <w:tr>
        <w:trPr>
          <w:trHeight w:val="270"/>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11.34</w:t>
            </w:r>
          </w:p>
        </w:tc>
      </w:tr>
      <w:tr>
        <w:trPr>
          <w:trHeight w:val="279"/>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Quarterly increase in GAAP net asset value per share</w:t>
            </w:r>
          </w:p>
        </w:tc>
        <w:tc>
          <w:tcPr>
            <w:tcW w:w="2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w:t>
            </w:r>
          </w:p>
        </w:tc>
      </w:tr>
      <w:tr>
        <w:trPr>
          <w:trHeight w:val="324"/>
        </w:trPr>
        <w:tc>
          <w:tcPr>
            <w:tcW w:w="7420" w:type="dxa"/>
            <w:vAlign w:val="bottom"/>
          </w:tcPr>
          <w:p>
            <w:pPr>
              <w:ind w:left="20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11.34</w:t>
            </w:r>
          </w:p>
        </w:tc>
      </w:tr>
      <w:tr>
        <w:trPr>
          <w:trHeight w:val="475"/>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Quarterly increase in adjusted net asset value per share </w:t>
            </w:r>
            <w:r>
              <w:rPr>
                <w:rFonts w:ascii="Times New Roman" w:cs="Times New Roman" w:eastAsia="Times New Roman" w:hAnsi="Times New Roman"/>
                <w:sz w:val="35"/>
                <w:szCs w:val="35"/>
                <w:color w:val="auto"/>
                <w:vertAlign w:val="superscript"/>
              </w:rPr>
              <w:t>(2)</w:t>
            </w:r>
          </w:p>
        </w:tc>
        <w:tc>
          <w:tcPr>
            <w:tcW w:w="2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w:t>
            </w:r>
          </w:p>
        </w:tc>
      </w:tr>
      <w:tr>
        <w:trPr>
          <w:trHeight w:val="38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608.8</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284.2</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2036-R Asset Backed Debt</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265.3</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2026 Notes</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184.0</w:t>
            </w: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Regulatory debt to equity</w:t>
            </w:r>
          </w:p>
        </w:tc>
        <w:tc>
          <w:tcPr>
            <w:tcW w:w="264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1.40x</w:t>
            </w:r>
          </w:p>
        </w:tc>
      </w:tr>
      <w:tr>
        <w:trPr>
          <w:trHeight w:val="282"/>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yield on debt investments at quarter-end</w:t>
            </w:r>
          </w:p>
        </w:tc>
        <w:tc>
          <w:tcPr>
            <w:tcW w:w="2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528"/>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30.0</w:t>
            </w:r>
          </w:p>
        </w:tc>
      </w:tr>
      <w:tr>
        <w:trPr>
          <w:trHeight w:val="279"/>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Net investment income per share (GAAP)</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0.37</w:t>
            </w:r>
          </w:p>
        </w:tc>
      </w:tr>
      <w:tr>
        <w:trPr>
          <w:trHeight w:val="315"/>
        </w:trPr>
        <w:tc>
          <w:tcPr>
            <w:tcW w:w="7420" w:type="dxa"/>
            <w:vAlign w:val="bottom"/>
          </w:tcPr>
          <w:p>
            <w:pPr>
              <w:ind w:left="200"/>
              <w:spacing w:after="0" w:line="314" w:lineRule="exact"/>
              <w:rPr>
                <w:sz w:val="20"/>
                <w:szCs w:val="20"/>
                <w:color w:val="auto"/>
              </w:rPr>
            </w:pPr>
            <w:r>
              <w:rPr>
                <w:rFonts w:ascii="Times New Roman" w:cs="Times New Roman" w:eastAsia="Times New Roman" w:hAnsi="Times New Roman"/>
                <w:sz w:val="22"/>
                <w:szCs w:val="22"/>
                <w:color w:val="auto"/>
              </w:rPr>
              <w:t xml:space="preserve">Core net investment income per share </w:t>
            </w:r>
            <w:r>
              <w:rPr>
                <w:rFonts w:ascii="Times New Roman" w:cs="Times New Roman" w:eastAsia="Times New Roman" w:hAnsi="Times New Roman"/>
                <w:sz w:val="35"/>
                <w:szCs w:val="35"/>
                <w:color w:val="auto"/>
                <w:vertAlign w:val="superscript"/>
              </w:rPr>
              <w:t>(3)</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0.33</w:t>
            </w:r>
          </w:p>
        </w:tc>
      </w:tr>
      <w:tr>
        <w:trPr>
          <w:trHeight w:val="282"/>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0.31</w:t>
            </w:r>
          </w:p>
        </w:tc>
      </w:tr>
      <w:tr>
        <w:trPr>
          <w:trHeight w:val="528"/>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606.9</w:t>
            </w:r>
          </w:p>
        </w:tc>
      </w:tr>
      <w:tr>
        <w:trPr>
          <w:trHeight w:val="282"/>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401.3</w:t>
            </w:r>
          </w:p>
        </w:tc>
      </w:tr>
      <w:tr>
        <w:trPr>
          <w:trHeight w:val="528"/>
        </w:trPr>
        <w:tc>
          <w:tcPr>
            <w:tcW w:w="7420" w:type="dxa"/>
            <w:vAlign w:val="bottom"/>
          </w:tcPr>
          <w:p>
            <w:pPr>
              <w:spacing w:after="0"/>
              <w:rPr>
                <w:sz w:val="20"/>
                <w:szCs w:val="20"/>
                <w:color w:val="auto"/>
              </w:rPr>
            </w:pPr>
            <w:r>
              <w:rPr>
                <w:rFonts w:ascii="Times New Roman" w:cs="Times New Roman" w:eastAsia="Times New Roman" w:hAnsi="Times New Roman"/>
                <w:sz w:val="22"/>
                <w:szCs w:val="22"/>
                <w:color w:val="auto"/>
              </w:rPr>
              <w:t>PSSL Portfolio data:</w:t>
            </w:r>
          </w:p>
        </w:tc>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PSSL investment portfolio</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1,046.2</w:t>
            </w:r>
          </w:p>
        </w:tc>
      </w:tr>
      <w:tr>
        <w:trPr>
          <w:trHeight w:val="270"/>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Purchases of investments</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224.9</w:t>
            </w:r>
          </w:p>
        </w:tc>
      </w:tr>
      <w:tr>
        <w:trPr>
          <w:trHeight w:val="282"/>
        </w:trPr>
        <w:tc>
          <w:tcPr>
            <w:tcW w:w="7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86.6</w:t>
            </w:r>
          </w:p>
        </w:tc>
      </w:tr>
    </w:tbl>
    <w:p>
      <w:pPr>
        <w:spacing w:after="0" w:line="200" w:lineRule="exact"/>
        <w:rPr>
          <w:sz w:val="20"/>
          <w:szCs w:val="20"/>
          <w:color w:val="auto"/>
        </w:rPr>
      </w:pPr>
    </w:p>
    <w:p>
      <w:pPr>
        <w:spacing w:after="0" w:line="260" w:lineRule="exact"/>
        <w:rPr>
          <w:sz w:val="20"/>
          <w:szCs w:val="20"/>
          <w:color w:val="auto"/>
        </w:rPr>
      </w:pPr>
    </w:p>
    <w:p>
      <w:pPr>
        <w:ind w:left="540" w:right="120" w:hanging="208"/>
        <w:spacing w:after="0" w:line="241"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investments in PennantPark Senior Secured Loan Fund I LLC, or PSSL, an unconsolidated joint venture, totaling $286.6 million, at fair value.</w:t>
      </w:r>
    </w:p>
    <w:p>
      <w:pPr>
        <w:spacing w:after="0" w:line="1" w:lineRule="exact"/>
        <w:rPr>
          <w:rFonts w:ascii="Times New Roman" w:cs="Times New Roman" w:eastAsia="Times New Roman" w:hAnsi="Times New Roman"/>
          <w:sz w:val="22"/>
          <w:szCs w:val="22"/>
          <w:color w:val="auto"/>
        </w:rPr>
      </w:pPr>
    </w:p>
    <w:p>
      <w:pPr>
        <w:ind w:left="540" w:right="160" w:hanging="208"/>
        <w:spacing w:after="0" w:line="230"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the unrealized amounts on the Credit Facility. The presentation of this additional information is not meant to be considered in isolation or as a substitute for financial results prepared in accordance with GAAP.</w:t>
      </w:r>
    </w:p>
    <w:p>
      <w:pPr>
        <w:spacing w:after="0" w:line="2" w:lineRule="exact"/>
        <w:rPr>
          <w:rFonts w:ascii="Times New Roman" w:cs="Times New Roman" w:eastAsia="Times New Roman" w:hAnsi="Times New Roman"/>
          <w:sz w:val="22"/>
          <w:szCs w:val="22"/>
          <w:color w:val="auto"/>
        </w:rPr>
      </w:pPr>
    </w:p>
    <w:p>
      <w:pPr>
        <w:ind w:left="540" w:right="20" w:hanging="208"/>
        <w:spacing w:after="0" w:line="232" w:lineRule="auto"/>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2024, Core NII excluded: i) $3.8m of accelerated amortization income from the early repayment of a loan and ii) $0.8m of incentive fee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9:00 A.M. ET ON FEBRUARY 11, 2025</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Company will also host a conference call at 9:00 a.m. (Eastern Time) on Tuesday February 11, 2025 to discuss its financial results. All interested parties are welcome to participate. You can access the conference call by dialing toll-free (888) 394-8218 approximately 5-10 minutes prior to the call. International callers should dial (929) 477-0402. All callers should reference</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conference ID #1777320 or PennantPark Floating Rate Capital Ltd. An archived replay will also be available on a webcast link located on the Quarterly Earnings page in the Investor section of PennantPark’s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to have another quarter of solid performance from both an NAV and net investment income perspective. We are actively investing in this excellent vintage of new core middle market loans,” said Art Penn, Chairman and CEO. “Through the growing balance sheets of PFLT and our PSSL joint venture, we are driving meaningfully increased income.”</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December 31, 2024, our portfolio totaled $2,193.9 million, and consisted of $1,963.8 million of first lien secured debt (including $237.7 million in PSSL), $3.4 million of subordinated debt and $226.7 million of preferred and common equity (including $48.9 million in PSSL). Our debt portfolio consisted of approximately 100% variable-rate investments. As of December 31, 2024, we had two portfolio companies on non-accrual, representing 0.4% and 0.1% of our overall portfolio on a cost and fair value basis, respectively. As of December 31, 2024, the portfolio had net unrealized depreciation of $40.4 million. Our overall portfolio consisted of 159 companies with an average investment size of $13.8 million and had a weighted average yield on debt investments of 10.6%.</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September 30, 2024, our portfolio totaled $1,983.5 million and consisted of $1,746.7 million of first lien secured debt (including $237.7 million in PSSL), $2.7 million of second lien secured debt and subordinated debt and $234.1 million of preferred and common equity (including $56.5 million in PSSL). Our debt portfolio consisted of approximately 100% variable-rate investments. As of September 30, 2024, we had two portfolio companies on non-accrual, representing 0.4% and 0.2% of our overall portfolio on a cost and fair value basis, respectively. As of September 30, 2024, the portfolio had net unrealized depreciation of $11.4 million. Our overall portfolio consisted of 158 companies with an average investment size of $12.6 million, and a weighted average yield on debt investments of 11.5%.</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2024, we invested $606.9 million in 11 new and 58 existing portfolio companies at a weighted average yield on debt investments of 10.3%. Sales and repayments of investments for the same period totaled $401.3 million including $187.7 million of sales to PSSL. For the three months ended December 31, 2023, we invested $302.6 million in 13 new and 34 existing portfolio companies with a weighted average yield on debt investments of 11.9%. Sales and repayments of investments for the same period totaled $103.8 million, including $62.7 million of sales to PSSL.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Secured Loan Fund I LLC</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and its joint venture partner jointly agreed to invest an additional $100 million of capital in PSSL. In conjunction with increased leverage capacity at PSSL, the $100 million investment will expand the joint venture's total investment capacity to $1.5 billion, representing a nearly $500 million increase.</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As of December 31, 2024, PSSL’s portfolio totaled $1,046.2 million, consisted of 118 companies with an average investment size of $8.9 million and had a weighted average yield on debt investments of 10.8%. As of September 30, 2024, PSSL’s portfolio totaled $913.3 million, consisted of 109 companies with an average investment size of $8.4 million and had a weighted average yield on debt investments of 11.4%.</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months ended December 31, 2024, PSSL invested $224.9 million (including $187.7 million purchase from the Company) in 17 new and eight existing portfolio companies with a weighted average yield on debt investments of 10.3%. PSSL’s sales and repayments of investments for the same period totaled $86.6 million. For the three months ended December 31, 2023, PSSL invested $75.7 million (including $62.7 million purchased from the Company) in four new and nine existing portfolio companies with a weighted average yield on debt investments of 12.3%. PSSL’s sales and repayments of investments for the same period totaled $27.7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ended December 31,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investment income was $67.0 million, which was attributable to $61.0 million from first lien secured debt and $6.0 million from other investments. For the three months ended December 31, 2023, investment income was $38.0 million, which was attributable to $33.2 million from first lien secured debt and $4.8 million from other investments. The increase in investment income was primarily due to the increase in the size of the debt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three months ended December 31, 2024, expenses totaled $37.0 million and were comprised of: $22.4 million of debt related interest and expenses, $5.3 million of base management fees, $7.5 million of performance-based incentive fees, $1.7 million of general and administrative expenses and $0.2 million of taxes. For the three months ended December 31, 2023, expenses totaled $18.5 million and were comprised of: $8.9 million of debt related interest and expenses, $3.0 million of base management fees, $4.9 million of performance-based incentive fees, $1.6 million of general and administrative expenses and $0.2 million of taxes. The increase in expenses was primarily due to the increase in interest expense from increased borrowings and an increase in base management fees and incentive fee as a result of the increase in our investment portfolio.</w:t>
      </w:r>
    </w:p>
    <w:p>
      <w:pPr>
        <w:sectPr>
          <w:pgSz w:w="11900" w:h="16838" w:orient="portrait"/>
          <w:cols w:equalWidth="0" w:num="1">
            <w:col w:w="11240"/>
          </w:cols>
          <w:pgMar w:left="320" w:top="112"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and 2023, net investment income totaled $30.0 million or $0.37 per share, and $19.4 million or $0.33 per share, respectively. The increase in net investment income was primarily due to an increase in investment income partially offset by an increase in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and 2023, net realized gains (losses) totaled $26.7 million and $(3.1) million, respectively. The change in net realized gains (losses) was primarily due to changes in the market conditions of our investments and the values at which they were realized.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Debt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2024 and 2023, we reported net change in unrealized appreciation (depreciation) on investments of $(29.0) million and $6.2 million, respectively. As of December 31, 2024 and September 30, 2024, our net unrealized appreciation (depreciation) on investments totaled $(40.4) million and $(11.4) million, respectively. The net change in unrealized appreciation (depreciation) on our investments was primarily due to the operating performance of the portfolio companies within our portfolio and changes in the capital market conditions of our investments and realization of investments.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and 2023, our Credit Facility had a net change in unrealized appreciation (depreciation) of $0.1 million and of less than ($0.1) million, respectively. As of December 31, 2024 and September 30, 2024, the net unrealized appreciation (depreciation) on the Credit Facility totaled approximately $0.1 million and zero, respectively. The net change in net unrealized (appreciation) or depreciation was primarily due to changes in the capital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and 2023, net increase (decrease) in net assets resulting from operations totaled $28.3 million or $0.35 per share and $22.5 million, or $0.38 per share, respectively. The net increase or (decrease) from operations was primarily due to operating performance of our portfolio and changes in capital market conditions of our investments along with change in size and cost yield of our debt portfolio and costs of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multi-currency Credit Facility with affiliates of Truist Bank, or the Lenders, was upsized during the quarter to $736 million (increased from $636 million in December 2024).</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three months ended December 31, 2024 and 2023, the annualized weighted average cost of debt, inclusive of the fee on the undrawn commitment on the Credit Facility, amendment costs and debt issuance costs, was 7.0% and 6.8%, respectively. As of December 31, 2024 and September 30, 2024, we had $127.1 million and $192.1 million of unused borrowing capacity under the Credit Facility, respectively, subject to leverage and borrowing base restrictions.</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2024 and September 30, 2024, we had cash equivalents of $102.3 million and $112.1 million, respectively, available for investing and general corporate purposes. We believe our liquidity and capital resources are sufficient to take advantage of market opportunities.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2024, our operating activities used cash of $232.7 million and our financing activities provided cash of $222.9 million. Our operating activities used cash primarily due to our investment activities and our financing activities provided cash primarily from proceeds from the ATM program and borrowings under the Credit Facility.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For the three months ended December 31, 2023, our operating activities used cash of $181.9 million and our financing activities provided cash of $157.2 million. Our operating activities used cash primarily due to our investment activities and our financing activities provided cash primarily due to borrowings under the Credit Facility partially offset by the repayment of the 2023 Notes.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ended December 31, 2024 we declared distributions of $0.3075 per share for total distributions of $25.2 million. During the three months ended December 31, 2023, we declared distributions of $0.3075 per share for total distributions of $18.1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ectPr>
          <w:pgSz w:w="11900" w:h="16838" w:orient="portrait"/>
          <w:cols w:equalWidth="0" w:num="1">
            <w:col w:w="11240"/>
          </w:cols>
          <w:pgMar w:left="320" w:top="108" w:right="339" w:bottom="0" w:gutter="0" w:footer="0" w:header="0"/>
        </w:sectPr>
      </w:pPr>
    </w:p>
    <w:bookmarkStart w:id="6" w:name="page7"/>
    <w:bookmarkEnd w:id="6"/>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February 2025, the Company priced a new securitization financing that is expected to close by early March. The new financing is a $361 million term debt securitization transaction with a weighted average spread of 1.59%, a four-year reinvestment period and a 12-year final maturity. The weighted average spread of 1.59% is a decrease of 30 basis points from an existing securitization financing that we refinanced in July 2024.</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Securitization financing continues to be a good match for our lower risk first lien assets. We believe securitizations are attractive financing structures as they have a 12 year stated maturity and generally have 4 to 5 year reinvestment periods. The securitization financings are governed by an indenture similar to other bond instruments which prescribes how the securitization deals with credit deterioration, which means there is no risk of unpredictable behavior from the counterparties. In addition, securitizations are non mark to market financings regardless of broader market volatility. The only time an asset gets marked to market would be if there are defaults or if we experience CCC downgrades that would cause an excess CCC concentration, whereby only the excess CCC collateral is marked to market. The securitizations provide an attractive cost of capital that is well matched to the portfolio and provide a downside mitigation tool given the stable and consistent long-term nature of the financing.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Quarterly Report on Form 10-Q filed with the SEC, and stockholders may find such report on its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 CONSOLIDATED STATEMENTS OF ASSETS AND LIABILITIES (in thousands, except per share data)</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160" w:type="dxa"/>
            <w:vAlign w:val="bottom"/>
          </w:tcPr>
          <w:p>
            <w:pPr>
              <w:spacing w:after="0"/>
              <w:rPr>
                <w:sz w:val="21"/>
                <w:szCs w:val="21"/>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December 31,</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86"/>
        </w:trPr>
        <w:tc>
          <w:tcPr>
            <w:tcW w:w="8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5"/>
              </w:rPr>
              <w:t>2024</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Pr>
          <w:p>
            <w:pPr>
              <w:spacing w:after="0"/>
              <w:rPr>
                <w:sz w:val="23"/>
                <w:szCs w:val="23"/>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(unaudited)</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(amortized cost— $1,894,793 and $1,622,669,</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1,907,349</w:t>
            </w:r>
          </w:p>
        </w:tc>
        <w:tc>
          <w:tcPr>
            <w:tcW w:w="20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1,632,269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(amortized cost— $339,500 and $372,271,</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286,561</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351,235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16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Total investments (amortized cost— $2,234,293 and $1,994,940, respectively)</w:t>
            </w:r>
          </w:p>
        </w:tc>
        <w:tc>
          <w:tcPr>
            <w:tcW w:w="140" w:type="dxa"/>
            <w:vAlign w:val="bottom"/>
          </w:tcPr>
          <w:p>
            <w:pPr>
              <w:spacing w:after="0"/>
              <w:rPr>
                <w:sz w:val="21"/>
                <w:szCs w:val="21"/>
                <w:color w:val="auto"/>
              </w:rPr>
            </w:pPr>
          </w:p>
        </w:tc>
        <w:tc>
          <w:tcPr>
            <w:tcW w:w="12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2,193,910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1,983,504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 $102,273 and $112,046,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102,262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112,050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13,024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Receivables from investments sold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29,090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receivable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Due from affiliate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5,026</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2,344,201</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2,108,845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Credit Facility payable, at fair value (cost— $608,855 and $443,855, respectively)</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608,791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443,880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2026 Notes payable, net (par—$185,000)</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184,026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183,832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2036 Asset-Backed Debt, net (par—$287,000)</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284,222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284,086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2036-R Asset-Backed Debt, net (par-$266,000)</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265,268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265,235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investments purchased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13,318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8,698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5,264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4,588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Incentive fee payable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Accounts payable and accrued expenses</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2,920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liability</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1,080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1,381,550</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1,231,551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Net assets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84,855,896 and 77,579,896 shares issued and outstanding, respectively</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Par value $0.001 per share and 200,000,000 shares authorized</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1,058,949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976,744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deficit</w:t>
            </w:r>
          </w:p>
        </w:tc>
        <w:tc>
          <w:tcPr>
            <w:tcW w:w="14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(96,383)</w:t>
            </w: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(99,528)</w:t>
            </w:r>
          </w:p>
        </w:tc>
        <w:tc>
          <w:tcPr>
            <w:tcW w:w="0" w:type="dxa"/>
            <w:vAlign w:val="bottom"/>
          </w:tcPr>
          <w:p>
            <w:pPr>
              <w:spacing w:after="0"/>
              <w:rPr>
                <w:sz w:val="1"/>
                <w:szCs w:val="1"/>
                <w:color w:val="auto"/>
              </w:rPr>
            </w:pPr>
          </w:p>
        </w:tc>
      </w:tr>
      <w:tr>
        <w:trPr>
          <w:trHeight w:val="265"/>
        </w:trPr>
        <w:tc>
          <w:tcPr>
            <w:tcW w:w="81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962,651</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877,294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2,344,201</w:t>
            </w:r>
          </w:p>
        </w:tc>
        <w:tc>
          <w:tcPr>
            <w:tcW w:w="2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2,108,845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50" w:orient="portrait"/>
          <w:cols w:equalWidth="0" w:num="1">
            <w:col w:w="11240"/>
          </w:cols>
          <w:pgMar w:left="320" w:top="108" w:right="339" w:bottom="0" w:gutter="0" w:footer="0" w:header="0"/>
        </w:sectPr>
      </w:pPr>
    </w:p>
    <w:bookmarkStart w:id="7" w:name="page8"/>
    <w:bookmarkEnd w:id="7"/>
    <w:p>
      <w:pPr>
        <w:ind w:left="20"/>
        <w:spacing w:after="0"/>
        <w:tabs>
          <w:tab w:leader="none" w:pos="8180" w:val="left"/>
          <w:tab w:leader="none" w:pos="9040" w:val="left"/>
          <w:tab w:leader="none" w:pos="9760" w:val="left"/>
          <w:tab w:leader="none" w:pos="10620" w:val="left"/>
        </w:tabs>
        <w:rPr>
          <w:sz w:val="20"/>
          <w:szCs w:val="20"/>
          <w:color w:val="auto"/>
        </w:rPr>
      </w:pPr>
      <w:r>
        <w:rPr>
          <w:rFonts w:ascii="Times New Roman" w:cs="Times New Roman" w:eastAsia="Times New Roman" w:hAnsi="Times New Roman"/>
          <w:sz w:val="22"/>
          <w:szCs w:val="22"/>
          <w:b w:val="1"/>
          <w:bCs w:val="1"/>
          <w:color w:val="auto"/>
        </w:rPr>
        <w:t>Net asset value per share</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11.34</w:t>
        <w:tab/>
        <w:t>$</w:t>
      </w:r>
      <w:r>
        <w:rPr>
          <w:sz w:val="20"/>
          <w:szCs w:val="20"/>
          <w:color w:val="auto"/>
        </w:rPr>
        <w:tab/>
      </w:r>
      <w:r>
        <w:rPr>
          <w:rFonts w:ascii="Times New Roman" w:cs="Times New Roman" w:eastAsia="Times New Roman" w:hAnsi="Times New Roman"/>
          <w:sz w:val="21"/>
          <w:szCs w:val="21"/>
          <w:color w:val="auto"/>
        </w:rPr>
        <w:t>11.31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22860</wp:posOffset>
            </wp:positionV>
            <wp:extent cx="186880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59"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22"/>
          <w:szCs w:val="22"/>
          <w:b w:val="1"/>
          <w:bCs w:val="1"/>
          <w:color w:val="auto"/>
        </w:rPr>
        <w:t>Three Months Ended</w:t>
      </w:r>
    </w:p>
    <w:p>
      <w:pPr>
        <w:spacing w:after="0" w:line="1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22"/>
          <w:szCs w:val="22"/>
          <w:b w:val="1"/>
          <w:bCs w:val="1"/>
          <w:color w:val="auto"/>
        </w:rPr>
        <w:t>December 31,</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2023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1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47,463</w:t>
            </w:r>
          </w:p>
        </w:tc>
        <w:tc>
          <w:tcPr>
            <w:tcW w:w="2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12,808</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Dividend</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4,375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67,009</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37,973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22,361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8,942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Performance-based incentive fee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Base management fee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5,264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2,951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988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16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b w:val="1"/>
                <w:bCs w:val="1"/>
                <w:color w:val="auto"/>
              </w:rPr>
              <w:t>Expenses before provision for taxes and financing costs</w:t>
            </w: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36,817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18,370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net investment income</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Total expenses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37,042</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18,524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29,967</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19,449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 and debt:</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gain (loss) on:</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(3,089)</w:t>
            </w: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25,493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realized gain on investments</w:t>
            </w:r>
          </w:p>
        </w:tc>
        <w:tc>
          <w:tcPr>
            <w:tcW w:w="3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(73)</w:t>
            </w:r>
          </w:p>
        </w:tc>
        <w:tc>
          <w:tcPr>
            <w:tcW w:w="3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200"/>
              <w:spacing w:after="0" w:line="251" w:lineRule="exact"/>
              <w:rPr>
                <w:sz w:val="20"/>
                <w:szCs w:val="20"/>
                <w:color w:val="auto"/>
              </w:rPr>
            </w:pPr>
            <w:r>
              <w:rPr>
                <w:rFonts w:ascii="Times New Roman" w:cs="Times New Roman" w:eastAsia="Times New Roman" w:hAnsi="Times New Roman"/>
                <w:sz w:val="22"/>
                <w:szCs w:val="22"/>
                <w:b w:val="1"/>
                <w:bCs w:val="1"/>
                <w:color w:val="auto"/>
              </w:rPr>
              <w:t>Net realized gain (loss) on investments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26,601</w:t>
            </w:r>
          </w:p>
        </w:tc>
        <w:tc>
          <w:tcPr>
            <w:tcW w:w="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line="251" w:lineRule="exact"/>
              <w:rPr>
                <w:sz w:val="20"/>
                <w:szCs w:val="20"/>
                <w:color w:val="auto"/>
              </w:rPr>
            </w:pPr>
            <w:r>
              <w:rPr>
                <w:rFonts w:ascii="Times New Roman" w:cs="Times New Roman" w:eastAsia="Times New Roman" w:hAnsi="Times New Roman"/>
                <w:sz w:val="22"/>
                <w:szCs w:val="22"/>
                <w:color w:val="auto"/>
              </w:rPr>
              <w:t>(3,089)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2,943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Controlled and non-controlled, affiliated investments</w:t>
            </w:r>
          </w:p>
        </w:tc>
        <w:tc>
          <w:tcPr>
            <w:tcW w:w="3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(31,904)</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Provision for taxes on unrealized appreciation (depreciation) on investments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65"/>
        </w:trPr>
        <w:tc>
          <w:tcPr>
            <w:tcW w:w="81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Net change in unrealized appreciation (depreciation) on investments and debt</w:t>
            </w: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(28,239)</w:t>
            </w:r>
          </w:p>
        </w:tc>
        <w:tc>
          <w:tcPr>
            <w:tcW w:w="20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6,109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realized and unrealized gain (loss) from investments and debt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(1,638)</w:t>
            </w:r>
          </w:p>
        </w:tc>
        <w:tc>
          <w:tcPr>
            <w:tcW w:w="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28,329</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22,469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Net increase (decrease) in net assets resulting from operations per common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60" w:type="dxa"/>
            <w:vAlign w:val="bottom"/>
            <w:vMerge w:val="continue"/>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0.35</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160" w:type="dxa"/>
            <w:vAlign w:val="bottom"/>
            <w:vMerge w:val="continue"/>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0.37</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FLOATING RATE CAPITAL LTD.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PennantPark Investment Advisers, LLC is a leading middle-market credit platform, managing $9.4 billion of investable capital, including potential leverage. Since its inception in 2007, PennantPark Investment Advisers, LLC has provided investors access to</w:t>
      </w:r>
    </w:p>
    <w:p>
      <w:pPr>
        <w:sectPr>
          <w:pgSz w:w="11900" w:h="16838" w:orient="portrait"/>
          <w:cols w:equalWidth="0" w:num="1">
            <w:col w:w="11240"/>
          </w:cols>
          <w:pgMar w:left="320" w:top="108" w:right="339" w:bottom="0"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 AND OTHER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CONTACT: Richard T. Allorto, Jr.</w:t>
      </w:r>
    </w:p>
    <w:p>
      <w:pPr>
        <w:spacing w:after="0" w:line="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7" w:lineRule="exact"/>
        <w:rPr>
          <w:sz w:val="20"/>
          <w:szCs w:val="20"/>
          <w:color w:val="auto"/>
        </w:rPr>
      </w:pPr>
    </w:p>
    <w:p>
      <w:pPr>
        <w:ind w:left="1160" w:right="8080" w:hanging="5"/>
        <w:spacing w:after="0" w:line="296" w:lineRule="auto"/>
        <w:tabs>
          <w:tab w:leader="none" w:pos="168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2025-02-10T15:17:52Z</dcterms:created>
  <dcterms:modified xsi:type="dcterms:W3CDTF">2025-02-10T15:17:52Z</dcterms:modified>
</cp:coreProperties>
</file>