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333-235532</w:t>
      </w:r>
    </w:p>
    <w:p>
      <w:pPr>
        <w:spacing w:after="0" w:line="139" w:lineRule="exact"/>
        <w:rPr>
          <w:sz w:val="24"/>
          <w:szCs w:val="24"/>
          <w:color w:val="auto"/>
        </w:rPr>
      </w:pPr>
    </w:p>
    <w:p>
      <w:pPr>
        <w:ind w:left="120"/>
        <w:spacing w:after="0" w:line="343" w:lineRule="auto"/>
        <w:rPr>
          <w:sz w:val="20"/>
          <w:szCs w:val="20"/>
          <w:color w:val="auto"/>
        </w:rPr>
      </w:pPr>
      <w:r>
        <w:rPr>
          <w:rFonts w:ascii="Arial" w:cs="Arial" w:eastAsia="Arial" w:hAnsi="Arial"/>
          <w:sz w:val="15"/>
          <w:szCs w:val="15"/>
          <w:b w:val="1"/>
          <w:bCs w:val="1"/>
          <w:color w:val="FF4338"/>
        </w:rPr>
        <w:t>The information in this preliminary prospectus supplement is not complete and may be changed. A registration statement relating to these securities has been filed with and declared effective by the Securities and Exchange Commission. This preliminary prospectus supplement is not an offer to sell these securities and is not soliciting an offer to buy these securities in any jurisdiction where the offer or sale is not permitted.</w:t>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FF4338"/>
        </w:rPr>
        <w:t>Subject to Completion, dated October 6, 2021</w:t>
      </w:r>
    </w:p>
    <w:p>
      <w:pPr>
        <w:spacing w:after="0" w:line="87"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Preliminary Prospectus Supplement</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To the Prospectus dated January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58420</wp:posOffset>
            </wp:positionV>
            <wp:extent cx="221996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120" w:type="dxa"/>
        <w:tblCellMar>
          <w:top w:w="0" w:type="dxa"/>
          <w:left w:w="0" w:type="dxa"/>
          <w:bottom w:w="0" w:type="dxa"/>
          <w:right w:w="0" w:type="dxa"/>
        </w:tblCellMar>
      </w:tblPr>
      <w:tr>
        <w:trPr>
          <w:trHeight w:val="421"/>
        </w:trPr>
        <w:tc>
          <w:tcPr>
            <w:tcW w:w="3760" w:type="dxa"/>
            <w:vAlign w:val="bottom"/>
          </w:tcPr>
          <w:p>
            <w:pPr>
              <w:spacing w:after="0"/>
              <w:rPr>
                <w:sz w:val="24"/>
                <w:szCs w:val="24"/>
                <w:color w:val="auto"/>
              </w:rPr>
            </w:pPr>
          </w:p>
        </w:tc>
        <w:tc>
          <w:tcPr>
            <w:tcW w:w="2900" w:type="dxa"/>
            <w:vAlign w:val="bottom"/>
            <w:gridSpan w:val="2"/>
          </w:tcPr>
          <w:p>
            <w:pPr>
              <w:jc w:val="right"/>
              <w:ind w:right="1720"/>
              <w:spacing w:after="0"/>
              <w:rPr>
                <w:sz w:val="20"/>
                <w:szCs w:val="20"/>
                <w:color w:val="auto"/>
              </w:rPr>
            </w:pPr>
            <w:r>
              <w:rPr>
                <w:rFonts w:ascii="Arial" w:cs="Arial" w:eastAsia="Arial" w:hAnsi="Arial"/>
                <w:sz w:val="32"/>
                <w:szCs w:val="32"/>
                <w:b w:val="1"/>
                <w:bCs w:val="1"/>
                <w:color w:val="auto"/>
              </w:rPr>
              <w:t>$</w:t>
            </w:r>
          </w:p>
        </w:tc>
        <w:tc>
          <w:tcPr>
            <w:tcW w:w="3960" w:type="dxa"/>
            <w:vAlign w:val="bottom"/>
          </w:tcPr>
          <w:p>
            <w:pPr>
              <w:spacing w:after="0"/>
              <w:rPr>
                <w:sz w:val="24"/>
                <w:szCs w:val="24"/>
                <w:color w:val="auto"/>
              </w:rPr>
            </w:pPr>
          </w:p>
        </w:tc>
      </w:tr>
      <w:tr>
        <w:trPr>
          <w:trHeight w:val="358"/>
        </w:trPr>
        <w:tc>
          <w:tcPr>
            <w:tcW w:w="3760" w:type="dxa"/>
            <w:vAlign w:val="bottom"/>
          </w:tcPr>
          <w:p>
            <w:pPr>
              <w:spacing w:after="0"/>
              <w:rPr>
                <w:sz w:val="24"/>
                <w:szCs w:val="24"/>
                <w:color w:val="auto"/>
              </w:rPr>
            </w:pPr>
          </w:p>
        </w:tc>
        <w:tc>
          <w:tcPr>
            <w:tcW w:w="6860" w:type="dxa"/>
            <w:vAlign w:val="bottom"/>
            <w:gridSpan w:val="3"/>
          </w:tcPr>
          <w:p>
            <w:pPr>
              <w:ind w:left="560"/>
              <w:spacing w:after="0"/>
              <w:rPr>
                <w:sz w:val="20"/>
                <w:szCs w:val="20"/>
                <w:color w:val="auto"/>
              </w:rPr>
            </w:pPr>
            <w:r>
              <w:rPr>
                <w:rFonts w:ascii="Arial" w:cs="Arial" w:eastAsia="Arial" w:hAnsi="Arial"/>
                <w:sz w:val="25"/>
                <w:szCs w:val="25"/>
                <w:b w:val="1"/>
                <w:bCs w:val="1"/>
                <w:color w:val="auto"/>
              </w:rPr>
              <w:t>4.25% Notes due 2026</w:t>
            </w:r>
          </w:p>
        </w:tc>
      </w:tr>
      <w:tr>
        <w:trPr>
          <w:trHeight w:val="181"/>
        </w:trPr>
        <w:tc>
          <w:tcPr>
            <w:tcW w:w="3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3960" w:type="dxa"/>
            <w:vAlign w:val="bottom"/>
          </w:tcPr>
          <w:p>
            <w:pPr>
              <w:spacing w:after="0"/>
              <w:rPr>
                <w:sz w:val="15"/>
                <w:szCs w:val="15"/>
                <w:color w:val="auto"/>
              </w:rPr>
            </w:pPr>
          </w:p>
        </w:tc>
      </w:tr>
      <w:tr>
        <w:trPr>
          <w:trHeight w:val="203"/>
        </w:trPr>
        <w:tc>
          <w:tcPr>
            <w:tcW w:w="3760" w:type="dxa"/>
            <w:vAlign w:val="bottom"/>
          </w:tcPr>
          <w:p>
            <w:pPr>
              <w:spacing w:after="0"/>
              <w:rPr>
                <w:sz w:val="20"/>
                <w:szCs w:val="20"/>
                <w:color w:val="auto"/>
              </w:rPr>
            </w:pPr>
            <w:r>
              <w:rPr>
                <w:rFonts w:ascii="Arial" w:cs="Arial" w:eastAsia="Arial" w:hAnsi="Arial"/>
                <w:sz w:val="14"/>
                <w:szCs w:val="14"/>
                <w:color w:val="auto"/>
              </w:rPr>
              <w:t>PennantPark Floating Rate Capital Ltd. is offering for sale $</w:t>
            </w:r>
          </w:p>
        </w:tc>
        <w:tc>
          <w:tcPr>
            <w:tcW w:w="6860" w:type="dxa"/>
            <w:vAlign w:val="bottom"/>
            <w:gridSpan w:val="3"/>
          </w:tcPr>
          <w:p>
            <w:pPr>
              <w:ind w:left="320"/>
              <w:spacing w:after="0"/>
              <w:rPr>
                <w:sz w:val="20"/>
                <w:szCs w:val="20"/>
                <w:color w:val="auto"/>
              </w:rPr>
            </w:pPr>
            <w:r>
              <w:rPr>
                <w:rFonts w:ascii="Arial" w:cs="Arial" w:eastAsia="Arial" w:hAnsi="Arial"/>
                <w:sz w:val="14"/>
                <w:szCs w:val="14"/>
                <w:color w:val="auto"/>
                <w:w w:val="92"/>
              </w:rPr>
              <w:t>in aggregate principal amount of 4.25% notes due 2026, which we refer to as the Notes. The Notes will mature on</w:t>
            </w:r>
          </w:p>
        </w:tc>
      </w:tr>
    </w:tbl>
    <w:p>
      <w:pPr>
        <w:ind w:left="120" w:right="40"/>
        <w:spacing w:after="0" w:line="238" w:lineRule="auto"/>
        <w:rPr>
          <w:sz w:val="20"/>
          <w:szCs w:val="20"/>
          <w:color w:val="auto"/>
        </w:rPr>
      </w:pPr>
      <w:r>
        <w:rPr>
          <w:rFonts w:ascii="Arial" w:cs="Arial" w:eastAsia="Arial" w:hAnsi="Arial"/>
          <w:sz w:val="13"/>
          <w:szCs w:val="13"/>
          <w:color w:val="auto"/>
        </w:rPr>
        <w:t>April 1, 2026. We will pay interest on the Notes on April 1 and October 1 of each year, beginning on April 1, 2022 with respect to the Notes offered hereby. The Notes offered hereby are a further issuance of the 4.25% notes due 2026 that we issued on March 23, 2021 in the aggregate principal amount of $100.0 million, or the Existing Notes. The Notes offered hereby will be treated as a single series with the Existing Notes under the indenture and will have the same terms as the Existing Notes. The Notes offered hereby will have the same CUSIP number and will be fungible and rank equally with the Existing Notes. Upon the issuance of the Notes offered hereby, the outstanding aggregate principal amount of our 4.25% notes due 2026 will be</w:t>
      </w:r>
    </w:p>
    <w:p>
      <w:pPr>
        <w:spacing w:after="0" w:line="1" w:lineRule="exact"/>
        <w:rPr>
          <w:sz w:val="24"/>
          <w:szCs w:val="24"/>
          <w:color w:val="auto"/>
        </w:rPr>
      </w:pPr>
    </w:p>
    <w:p>
      <w:pPr>
        <w:ind w:left="800" w:hanging="684"/>
        <w:spacing w:after="0"/>
        <w:tabs>
          <w:tab w:leader="none" w:pos="800" w:val="left"/>
        </w:tabs>
        <w:numPr>
          <w:ilvl w:val="0"/>
          <w:numId w:val="1"/>
        </w:numPr>
        <w:rPr>
          <w:rFonts w:ascii="Arial" w:cs="Arial" w:eastAsia="Arial" w:hAnsi="Arial"/>
          <w:sz w:val="14"/>
          <w:szCs w:val="14"/>
          <w:color w:val="auto"/>
        </w:rPr>
      </w:pPr>
      <w:r>
        <w:rPr>
          <w:rFonts w:ascii="Arial" w:cs="Arial" w:eastAsia="Arial" w:hAnsi="Arial"/>
          <w:sz w:val="14"/>
          <w:szCs w:val="14"/>
          <w:color w:val="auto"/>
        </w:rPr>
        <w:t>million. Unless the context here otherwise requires, references herein to the “Notes” include the “Notes” offered hereby and the Existing Notes.</w:t>
      </w:r>
    </w:p>
    <w:p>
      <w:pPr>
        <w:spacing w:after="0" w:line="57" w:lineRule="exact"/>
        <w:rPr>
          <w:sz w:val="24"/>
          <w:szCs w:val="24"/>
          <w:color w:val="auto"/>
        </w:rPr>
      </w:pPr>
    </w:p>
    <w:p>
      <w:pPr>
        <w:ind w:left="120" w:right="280"/>
        <w:spacing w:after="0" w:line="253" w:lineRule="auto"/>
        <w:rPr>
          <w:sz w:val="20"/>
          <w:szCs w:val="20"/>
          <w:color w:val="auto"/>
        </w:rPr>
      </w:pPr>
      <w:r>
        <w:rPr>
          <w:rFonts w:ascii="Arial" w:cs="Arial" w:eastAsia="Arial" w:hAnsi="Arial"/>
          <w:sz w:val="14"/>
          <w:szCs w:val="14"/>
          <w:color w:val="auto"/>
        </w:rPr>
        <w:t>We may redeem the Notes in whole or in part at any time or from time to time at the redemption price discussed under the caption “</w:t>
      </w:r>
      <w:r>
        <w:rPr>
          <w:rFonts w:ascii="Arial" w:cs="Arial" w:eastAsia="Arial" w:hAnsi="Arial"/>
          <w:sz w:val="14"/>
          <w:szCs w:val="14"/>
          <w:i w:val="1"/>
          <w:iCs w:val="1"/>
          <w:color w:val="auto"/>
        </w:rPr>
        <w:t>The Offering—Optional redemption</w:t>
      </w:r>
      <w:r>
        <w:rPr>
          <w:rFonts w:ascii="Arial" w:cs="Arial" w:eastAsia="Arial" w:hAnsi="Arial"/>
          <w:sz w:val="14"/>
          <w:szCs w:val="14"/>
          <w:color w:val="auto"/>
        </w:rPr>
        <w:t>” in this prospectus supplement. The Notes will be issued in minimum denominations of $2,000 and integral multiples of $1,000 in excess thereof.</w:t>
      </w:r>
    </w:p>
    <w:p>
      <w:pPr>
        <w:spacing w:after="0" w:line="25" w:lineRule="exact"/>
        <w:rPr>
          <w:sz w:val="24"/>
          <w:szCs w:val="24"/>
          <w:color w:val="auto"/>
        </w:rPr>
      </w:pPr>
    </w:p>
    <w:p>
      <w:pPr>
        <w:ind w:left="120" w:right="80"/>
        <w:spacing w:after="0" w:line="245" w:lineRule="auto"/>
        <w:rPr>
          <w:sz w:val="20"/>
          <w:szCs w:val="20"/>
          <w:color w:val="auto"/>
        </w:rPr>
      </w:pPr>
      <w:r>
        <w:rPr>
          <w:rFonts w:ascii="Arial" w:cs="Arial" w:eastAsia="Arial" w:hAnsi="Arial"/>
          <w:sz w:val="13"/>
          <w:szCs w:val="13"/>
          <w:color w:val="auto"/>
        </w:rPr>
        <w:t xml:space="preserve">The Notes offered hereby will be our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current and future unsecured unsubordinated indebtedness issued by PennantPark Floating Rate Capital Ltd.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Floating Rate Capital Ltd.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June 30, 2021, we had $579.2 million of debt outstanding, of which $217.8 million was unsecured and unsubordinated indebtedness and $361.4 million was secured indebtedness. None of our current indebtedness will be subordinated to the Notes. Currently, there is no public market for the Notes. We do not intend to list the Notes on any securities exchange or automated dealer quotation system.</w:t>
      </w:r>
    </w:p>
    <w:p>
      <w:pPr>
        <w:spacing w:after="0" w:line="35" w:lineRule="exact"/>
        <w:rPr>
          <w:sz w:val="24"/>
          <w:szCs w:val="24"/>
          <w:color w:val="auto"/>
        </w:rPr>
      </w:pPr>
    </w:p>
    <w:p>
      <w:pPr>
        <w:ind w:left="120" w:right="320"/>
        <w:spacing w:after="0" w:line="273" w:lineRule="auto"/>
        <w:rPr>
          <w:sz w:val="20"/>
          <w:szCs w:val="20"/>
          <w:color w:val="auto"/>
        </w:rPr>
      </w:pPr>
      <w:r>
        <w:rPr>
          <w:rFonts w:ascii="Arial" w:cs="Arial" w:eastAsia="Arial" w:hAnsi="Arial"/>
          <w:sz w:val="12"/>
          <w:szCs w:val="12"/>
          <w:color w:val="auto"/>
        </w:rPr>
        <w:t>PennantPark Floating Rate Capital Ltd.,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Securities rated below investment grade are often referred to as “leveraged loans,”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30" w:lineRule="exact"/>
        <w:rPr>
          <w:sz w:val="24"/>
          <w:szCs w:val="24"/>
          <w:color w:val="auto"/>
        </w:rPr>
      </w:pPr>
    </w:p>
    <w:p>
      <w:pPr>
        <w:ind w:left="120" w:right="40"/>
        <w:spacing w:after="0" w:line="247" w:lineRule="auto"/>
        <w:rPr>
          <w:sz w:val="20"/>
          <w:szCs w:val="20"/>
          <w:color w:val="auto"/>
        </w:rPr>
      </w:pPr>
      <w:r>
        <w:rPr>
          <w:rFonts w:ascii="Arial" w:cs="Arial" w:eastAsia="Arial" w:hAnsi="Arial"/>
          <w:sz w:val="13"/>
          <w:szCs w:val="13"/>
          <w:color w:val="auto"/>
        </w:rPr>
        <w:t xml:space="preserve">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15th Floor, New York, NY 10022, by calling us collect at (212) 905-1000 or by visiting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7" w:lineRule="exact"/>
        <w:rPr>
          <w:sz w:val="24"/>
          <w:szCs w:val="24"/>
          <w:color w:val="auto"/>
        </w:rPr>
      </w:pPr>
    </w:p>
    <w:p>
      <w:pPr>
        <w:ind w:left="120" w:right="280"/>
        <w:spacing w:after="0" w:line="275"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the Notes involves a high degree of risk, including the risk of leverage. Before buying any of the Notes, you should read the discussion of the material risks of investing in us in “</w:t>
      </w:r>
      <w:hyperlink w:anchor="page15">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S-13 of this prospectus supplement and page 7 of the accompanying prospectus, in our most recent Annual Report on Form 10-K, in our most recent Quarterly Report on Form 10-Q and in any of our other filings with the SEC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1" w:lineRule="exact"/>
        <w:rPr>
          <w:sz w:val="24"/>
          <w:szCs w:val="24"/>
          <w:color w:val="auto"/>
        </w:rPr>
      </w:pPr>
    </w:p>
    <w:p>
      <w:pPr>
        <w:ind w:left="120" w:right="180"/>
        <w:spacing w:after="0" w:line="258"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36" w:lineRule="exact"/>
        <w:rPr>
          <w:sz w:val="24"/>
          <w:szCs w:val="24"/>
          <w:color w:val="auto"/>
        </w:rPr>
      </w:pPr>
    </w:p>
    <w:tbl>
      <w:tblPr>
        <w:tblLayout w:type="fixed"/>
        <w:tblInd w:w="1440" w:type="dxa"/>
        <w:tblCellMar>
          <w:top w:w="0" w:type="dxa"/>
          <w:left w:w="0" w:type="dxa"/>
          <w:bottom w:w="0" w:type="dxa"/>
          <w:right w:w="0" w:type="dxa"/>
        </w:tblCellMar>
      </w:tblPr>
      <w:tr>
        <w:trPr>
          <w:trHeight w:val="153"/>
        </w:trPr>
        <w:tc>
          <w:tcPr>
            <w:tcW w:w="6940" w:type="dxa"/>
            <w:vAlign w:val="bottom"/>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3"/>
                <w:szCs w:val="13"/>
                <w:b w:val="1"/>
                <w:bCs w:val="1"/>
                <w:color w:val="auto"/>
                <w:w w:val="84"/>
              </w:rPr>
              <w:t>Per Note</w:t>
            </w:r>
            <w:r>
              <w:rPr>
                <w:rFonts w:ascii="Arial" w:cs="Arial" w:eastAsia="Arial" w:hAnsi="Arial"/>
                <w:sz w:val="10"/>
                <w:szCs w:val="10"/>
                <w:b w:val="1"/>
                <w:bCs w:val="1"/>
                <w:color w:val="auto"/>
                <w:w w:val="84"/>
              </w:rPr>
              <w:t>1</w:t>
            </w:r>
          </w:p>
        </w:tc>
        <w:tc>
          <w:tcPr>
            <w:tcW w:w="46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b w:val="1"/>
                <w:bCs w:val="1"/>
                <w:color w:val="auto"/>
              </w:rPr>
              <w:t>Total</w:t>
            </w:r>
          </w:p>
        </w:tc>
      </w:tr>
      <w:tr>
        <w:trPr>
          <w:trHeight w:val="142"/>
        </w:trPr>
        <w:tc>
          <w:tcPr>
            <w:tcW w:w="6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w:t>
            </w:r>
            <w:r>
              <w:rPr>
                <w:rFonts w:ascii="Arial" w:cs="Arial" w:eastAsia="Arial" w:hAnsi="Arial"/>
                <w:sz w:val="12"/>
                <w:szCs w:val="12"/>
                <w:color w:val="auto"/>
              </w:rPr>
              <w:t>1</w:t>
            </w:r>
          </w:p>
        </w:tc>
        <w:tc>
          <w:tcPr>
            <w:tcW w:w="5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ind w:right="253"/>
              <w:spacing w:after="0" w:line="142"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49"/>
        </w:trPr>
        <w:tc>
          <w:tcPr>
            <w:tcW w:w="694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5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8"/>
        </w:trPr>
        <w:tc>
          <w:tcPr>
            <w:tcW w:w="6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r>
              <w:rPr>
                <w:rFonts w:ascii="Arial" w:cs="Arial" w:eastAsia="Arial" w:hAnsi="Arial"/>
                <w:sz w:val="12"/>
                <w:szCs w:val="12"/>
                <w:color w:val="auto"/>
              </w:rPr>
              <w:t>2</w:t>
            </w:r>
          </w:p>
        </w:tc>
        <w:tc>
          <w:tcPr>
            <w:tcW w:w="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53"/>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4"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jc w:val="right"/>
              <w:ind w:right="68"/>
              <w:spacing w:after="0"/>
              <w:rPr>
                <w:sz w:val="20"/>
                <w:szCs w:val="20"/>
                <w:color w:val="auto"/>
              </w:rPr>
            </w:pPr>
            <w:r>
              <w:rPr>
                <w:rFonts w:ascii="Arial" w:cs="Arial" w:eastAsia="Arial" w:hAnsi="Arial"/>
                <w:sz w:val="14"/>
                <w:szCs w:val="14"/>
                <w:color w:val="auto"/>
                <w:w w:val="81"/>
              </w:rPr>
              <w:t>(1)</w:t>
            </w:r>
          </w:p>
        </w:tc>
        <w:tc>
          <w:tcPr>
            <w:tcW w:w="5600" w:type="dxa"/>
            <w:vAlign w:val="bottom"/>
          </w:tcPr>
          <w:p>
            <w:pPr>
              <w:ind w:left="120"/>
              <w:spacing w:after="0"/>
              <w:rPr>
                <w:sz w:val="20"/>
                <w:szCs w:val="20"/>
                <w:color w:val="auto"/>
              </w:rPr>
            </w:pPr>
            <w:r>
              <w:rPr>
                <w:rFonts w:ascii="Arial" w:cs="Arial" w:eastAsia="Arial" w:hAnsi="Arial"/>
                <w:sz w:val="14"/>
                <w:szCs w:val="14"/>
                <w:color w:val="auto"/>
                <w:w w:val="98"/>
              </w:rPr>
              <w:t>The public offering price set forth above does not include accrued and unpaid interest of $</w:t>
            </w:r>
          </w:p>
        </w:tc>
        <w:tc>
          <w:tcPr>
            <w:tcW w:w="5080" w:type="dxa"/>
            <w:vAlign w:val="bottom"/>
            <w:gridSpan w:val="2"/>
          </w:tcPr>
          <w:p>
            <w:pPr>
              <w:ind w:left="280"/>
              <w:spacing w:after="0"/>
              <w:rPr>
                <w:sz w:val="20"/>
                <w:szCs w:val="20"/>
                <w:color w:val="auto"/>
              </w:rPr>
            </w:pPr>
            <w:r>
              <w:rPr>
                <w:rFonts w:ascii="Arial" w:cs="Arial" w:eastAsia="Arial" w:hAnsi="Arial"/>
                <w:sz w:val="14"/>
                <w:szCs w:val="14"/>
                <w:color w:val="auto"/>
                <w:w w:val="93"/>
              </w:rPr>
              <w:t>in the aggregate from October 1, 2021 up to, but not including, the date of delivery,</w:t>
            </w:r>
          </w:p>
        </w:tc>
      </w:tr>
      <w:tr>
        <w:trPr>
          <w:trHeight w:val="149"/>
        </w:trPr>
        <w:tc>
          <w:tcPr>
            <w:tcW w:w="300" w:type="dxa"/>
            <w:vAlign w:val="bottom"/>
          </w:tcPr>
          <w:p>
            <w:pPr>
              <w:spacing w:after="0"/>
              <w:rPr>
                <w:sz w:val="12"/>
                <w:szCs w:val="12"/>
                <w:color w:val="auto"/>
              </w:rPr>
            </w:pPr>
          </w:p>
        </w:tc>
        <w:tc>
          <w:tcPr>
            <w:tcW w:w="10680" w:type="dxa"/>
            <w:vAlign w:val="bottom"/>
            <w:gridSpan w:val="3"/>
          </w:tcPr>
          <w:p>
            <w:pPr>
              <w:ind w:left="120"/>
              <w:spacing w:after="0" w:line="149" w:lineRule="exact"/>
              <w:rPr>
                <w:sz w:val="20"/>
                <w:szCs w:val="20"/>
                <w:color w:val="auto"/>
              </w:rPr>
            </w:pPr>
            <w:r>
              <w:rPr>
                <w:rFonts w:ascii="Arial" w:cs="Arial" w:eastAsia="Arial" w:hAnsi="Arial"/>
                <w:sz w:val="14"/>
                <w:szCs w:val="14"/>
                <w:color w:val="auto"/>
                <w:w w:val="94"/>
              </w:rPr>
              <w:t>which will be paid by the purchasers of the Notes offered hereby. On April 1, 2022, we will pay this pre-issuance accrued interest to the holders of the Notes offered hereby as of the</w:t>
            </w:r>
          </w:p>
        </w:tc>
      </w:tr>
      <w:tr>
        <w:trPr>
          <w:trHeight w:val="182"/>
        </w:trPr>
        <w:tc>
          <w:tcPr>
            <w:tcW w:w="300" w:type="dxa"/>
            <w:vAlign w:val="bottom"/>
          </w:tcPr>
          <w:p>
            <w:pPr>
              <w:spacing w:after="0"/>
              <w:rPr>
                <w:sz w:val="15"/>
                <w:szCs w:val="15"/>
                <w:color w:val="auto"/>
              </w:rPr>
            </w:pPr>
          </w:p>
        </w:tc>
        <w:tc>
          <w:tcPr>
            <w:tcW w:w="10680" w:type="dxa"/>
            <w:vAlign w:val="bottom"/>
            <w:gridSpan w:val="3"/>
          </w:tcPr>
          <w:p>
            <w:pPr>
              <w:ind w:left="120"/>
              <w:spacing w:after="0"/>
              <w:rPr>
                <w:sz w:val="20"/>
                <w:szCs w:val="20"/>
                <w:color w:val="auto"/>
              </w:rPr>
            </w:pPr>
            <w:r>
              <w:rPr>
                <w:rFonts w:ascii="Arial" w:cs="Arial" w:eastAsia="Arial" w:hAnsi="Arial"/>
                <w:sz w:val="14"/>
                <w:szCs w:val="14"/>
                <w:color w:val="auto"/>
              </w:rPr>
              <w:t>applicable record date along with interest accrued on the Notes offered hereby from the date of delivery to such interest payment date.</w:t>
            </w:r>
          </w:p>
        </w:tc>
      </w:tr>
      <w:tr>
        <w:trPr>
          <w:trHeight w:val="270"/>
        </w:trPr>
        <w:tc>
          <w:tcPr>
            <w:tcW w:w="300" w:type="dxa"/>
            <w:vAlign w:val="bottom"/>
          </w:tcPr>
          <w:p>
            <w:pPr>
              <w:jc w:val="right"/>
              <w:ind w:right="68"/>
              <w:spacing w:after="0"/>
              <w:rPr>
                <w:sz w:val="20"/>
                <w:szCs w:val="20"/>
                <w:color w:val="auto"/>
              </w:rPr>
            </w:pPr>
            <w:r>
              <w:rPr>
                <w:rFonts w:ascii="Arial" w:cs="Arial" w:eastAsia="Arial" w:hAnsi="Arial"/>
                <w:sz w:val="14"/>
                <w:szCs w:val="14"/>
                <w:color w:val="auto"/>
                <w:w w:val="81"/>
              </w:rPr>
              <w:t>(2)</w:t>
            </w:r>
          </w:p>
        </w:tc>
        <w:tc>
          <w:tcPr>
            <w:tcW w:w="6380" w:type="dxa"/>
            <w:vAlign w:val="bottom"/>
            <w:gridSpan w:val="2"/>
          </w:tcPr>
          <w:p>
            <w:pPr>
              <w:ind w:left="120"/>
              <w:spacing w:after="0"/>
              <w:rPr>
                <w:sz w:val="20"/>
                <w:szCs w:val="20"/>
                <w:color w:val="auto"/>
              </w:rPr>
            </w:pPr>
            <w:r>
              <w:rPr>
                <w:rFonts w:ascii="Arial" w:cs="Arial" w:eastAsia="Arial" w:hAnsi="Arial"/>
                <w:sz w:val="14"/>
                <w:szCs w:val="14"/>
                <w:color w:val="auto"/>
                <w:w w:val="97"/>
              </w:rPr>
              <w:t>Total expenses of the offering payable by us, excluding the underwriting discount, are estimated to be $</w:t>
            </w:r>
          </w:p>
        </w:tc>
        <w:tc>
          <w:tcPr>
            <w:tcW w:w="4300" w:type="dxa"/>
            <w:vAlign w:val="bottom"/>
          </w:tcPr>
          <w:p>
            <w:pPr>
              <w:ind w:left="320"/>
              <w:spacing w:after="0"/>
              <w:rPr>
                <w:sz w:val="20"/>
                <w:szCs w:val="20"/>
                <w:color w:val="auto"/>
              </w:rPr>
            </w:pPr>
            <w:r>
              <w:rPr>
                <w:rFonts w:ascii="Arial" w:cs="Arial" w:eastAsia="Arial" w:hAnsi="Arial"/>
                <w:sz w:val="14"/>
                <w:szCs w:val="14"/>
                <w:color w:val="auto"/>
              </w:rPr>
              <w:t>. See “</w:t>
            </w:r>
            <w:r>
              <w:rPr>
                <w:rFonts w:ascii="Arial" w:cs="Arial" w:eastAsia="Arial" w:hAnsi="Arial"/>
                <w:sz w:val="14"/>
                <w:szCs w:val="14"/>
                <w:i w:val="1"/>
                <w:iCs w:val="1"/>
                <w:color w:val="auto"/>
              </w:rPr>
              <w:t>Underwriting</w:t>
            </w:r>
            <w:r>
              <w:rPr>
                <w:rFonts w:ascii="Arial" w:cs="Arial" w:eastAsia="Arial" w:hAnsi="Arial"/>
                <w:sz w:val="14"/>
                <w:szCs w:val="14"/>
                <w:color w:val="auto"/>
              </w:rPr>
              <w:t>” in this prospectus supplement.</w:t>
            </w:r>
          </w:p>
        </w:tc>
      </w:tr>
    </w:tbl>
    <w:p>
      <w:pPr>
        <w:spacing w:after="0" w:line="74" w:lineRule="exact"/>
        <w:rPr>
          <w:sz w:val="24"/>
          <w:szCs w:val="24"/>
          <w:color w:val="auto"/>
        </w:rPr>
      </w:pPr>
    </w:p>
    <w:tbl>
      <w:tblPr>
        <w:tblLayout w:type="fixed"/>
        <w:tblInd w:w="120" w:type="dxa"/>
        <w:tblCellMar>
          <w:top w:w="0" w:type="dxa"/>
          <w:left w:w="0" w:type="dxa"/>
          <w:bottom w:w="0" w:type="dxa"/>
          <w:right w:w="0" w:type="dxa"/>
        </w:tblCellMar>
      </w:tblPr>
      <w:tr>
        <w:trPr>
          <w:trHeight w:val="182"/>
        </w:trPr>
        <w:tc>
          <w:tcPr>
            <w:tcW w:w="7920" w:type="dxa"/>
            <w:vAlign w:val="bottom"/>
            <w:gridSpan w:val="3"/>
          </w:tcPr>
          <w:p>
            <w:pPr>
              <w:spacing w:after="0"/>
              <w:rPr>
                <w:sz w:val="20"/>
                <w:szCs w:val="20"/>
                <w:color w:val="auto"/>
              </w:rPr>
            </w:pPr>
            <w:r>
              <w:rPr>
                <w:rFonts w:ascii="Arial" w:cs="Arial" w:eastAsia="Arial" w:hAnsi="Arial"/>
                <w:sz w:val="14"/>
                <w:szCs w:val="14"/>
                <w:color w:val="auto"/>
                <w:w w:val="98"/>
              </w:rPr>
              <w:t>Delivery of the Notes offered hereby in book-entry form through The Depository Trust Company, or DTC, will be made on or about</w:t>
            </w:r>
          </w:p>
        </w:tc>
        <w:tc>
          <w:tcPr>
            <w:tcW w:w="3100" w:type="dxa"/>
            <w:vAlign w:val="bottom"/>
          </w:tcPr>
          <w:p>
            <w:pPr>
              <w:jc w:val="right"/>
              <w:ind w:right="2310"/>
              <w:spacing w:after="0"/>
              <w:rPr>
                <w:sz w:val="20"/>
                <w:szCs w:val="20"/>
                <w:color w:val="auto"/>
              </w:rPr>
            </w:pPr>
            <w:r>
              <w:rPr>
                <w:rFonts w:ascii="Arial" w:cs="Arial" w:eastAsia="Arial" w:hAnsi="Arial"/>
                <w:sz w:val="14"/>
                <w:szCs w:val="14"/>
                <w:color w:val="auto"/>
              </w:rPr>
              <w:t>, 2021.</w:t>
            </w:r>
          </w:p>
        </w:tc>
      </w:tr>
      <w:tr>
        <w:trPr>
          <w:trHeight w:val="147"/>
        </w:trPr>
        <w:tc>
          <w:tcPr>
            <w:tcW w:w="434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1260" w:type="dxa"/>
            <w:vAlign w:val="bottom"/>
          </w:tcPr>
          <w:p>
            <w:pPr>
              <w:spacing w:after="0"/>
              <w:rPr>
                <w:sz w:val="12"/>
                <w:szCs w:val="12"/>
                <w:color w:val="auto"/>
              </w:rPr>
            </w:pPr>
          </w:p>
        </w:tc>
        <w:tc>
          <w:tcPr>
            <w:tcW w:w="3100" w:type="dxa"/>
            <w:vAlign w:val="bottom"/>
          </w:tcPr>
          <w:p>
            <w:pPr>
              <w:spacing w:after="0"/>
              <w:rPr>
                <w:sz w:val="12"/>
                <w:szCs w:val="12"/>
                <w:color w:val="auto"/>
              </w:rPr>
            </w:pPr>
          </w:p>
        </w:tc>
      </w:tr>
      <w:tr>
        <w:trPr>
          <w:trHeight w:val="211"/>
        </w:trPr>
        <w:tc>
          <w:tcPr>
            <w:tcW w:w="4340" w:type="dxa"/>
            <w:vAlign w:val="bottom"/>
          </w:tcPr>
          <w:p>
            <w:pPr>
              <w:spacing w:after="0"/>
              <w:rPr>
                <w:sz w:val="18"/>
                <w:szCs w:val="18"/>
                <w:color w:val="auto"/>
              </w:rPr>
            </w:pPr>
          </w:p>
        </w:tc>
        <w:tc>
          <w:tcPr>
            <w:tcW w:w="3580" w:type="dxa"/>
            <w:vAlign w:val="bottom"/>
            <w:gridSpan w:val="2"/>
          </w:tcPr>
          <w:p>
            <w:pPr>
              <w:ind w:left="240"/>
              <w:spacing w:after="0"/>
              <w:rPr>
                <w:sz w:val="20"/>
                <w:szCs w:val="20"/>
                <w:color w:val="auto"/>
              </w:rPr>
            </w:pPr>
            <w:r>
              <w:rPr>
                <w:rFonts w:ascii="Arial" w:cs="Arial" w:eastAsia="Arial" w:hAnsi="Arial"/>
                <w:sz w:val="14"/>
                <w:szCs w:val="14"/>
                <w:b w:val="1"/>
                <w:bCs w:val="1"/>
                <w:i w:val="1"/>
                <w:iCs w:val="1"/>
                <w:color w:val="auto"/>
              </w:rPr>
              <w:t>Joint Book-Running Managers</w:t>
            </w:r>
          </w:p>
        </w:tc>
        <w:tc>
          <w:tcPr>
            <w:tcW w:w="3100" w:type="dxa"/>
            <w:vAlign w:val="bottom"/>
          </w:tcPr>
          <w:p>
            <w:pPr>
              <w:spacing w:after="0"/>
              <w:rPr>
                <w:sz w:val="18"/>
                <w:szCs w:val="18"/>
                <w:color w:val="auto"/>
              </w:rPr>
            </w:pPr>
          </w:p>
        </w:tc>
      </w:tr>
      <w:tr>
        <w:trPr>
          <w:trHeight w:val="274"/>
        </w:trPr>
        <w:tc>
          <w:tcPr>
            <w:tcW w:w="4340" w:type="dxa"/>
            <w:vAlign w:val="bottom"/>
          </w:tcPr>
          <w:p>
            <w:pPr>
              <w:spacing w:after="0"/>
              <w:rPr>
                <w:sz w:val="20"/>
                <w:szCs w:val="20"/>
                <w:color w:val="auto"/>
              </w:rPr>
            </w:pPr>
            <w:r>
              <w:rPr>
                <w:rFonts w:ascii="Arial" w:cs="Arial" w:eastAsia="Arial" w:hAnsi="Arial"/>
                <w:sz w:val="22"/>
                <w:szCs w:val="22"/>
                <w:b w:val="1"/>
                <w:bCs w:val="1"/>
                <w:color w:val="auto"/>
              </w:rPr>
              <w:t>Goldman Sachs &amp; Co. LLC</w:t>
            </w:r>
          </w:p>
        </w:tc>
        <w:tc>
          <w:tcPr>
            <w:tcW w:w="3580" w:type="dxa"/>
            <w:vAlign w:val="bottom"/>
            <w:gridSpan w:val="2"/>
          </w:tcPr>
          <w:p>
            <w:pPr>
              <w:ind w:left="100"/>
              <w:spacing w:after="0"/>
              <w:rPr>
                <w:sz w:val="20"/>
                <w:szCs w:val="20"/>
                <w:color w:val="auto"/>
              </w:rPr>
            </w:pPr>
            <w:r>
              <w:rPr>
                <w:rFonts w:ascii="Arial" w:cs="Arial" w:eastAsia="Arial" w:hAnsi="Arial"/>
                <w:sz w:val="22"/>
                <w:szCs w:val="22"/>
                <w:b w:val="1"/>
                <w:bCs w:val="1"/>
                <w:color w:val="auto"/>
              </w:rPr>
              <w:t>Keefe, Bruyette &amp; Woods</w:t>
            </w:r>
          </w:p>
        </w:tc>
        <w:tc>
          <w:tcPr>
            <w:tcW w:w="3100" w:type="dxa"/>
            <w:vAlign w:val="bottom"/>
          </w:tcPr>
          <w:p>
            <w:pPr>
              <w:jc w:val="right"/>
              <w:spacing w:after="0"/>
              <w:rPr>
                <w:sz w:val="20"/>
                <w:szCs w:val="20"/>
                <w:color w:val="auto"/>
              </w:rPr>
            </w:pPr>
            <w:r>
              <w:rPr>
                <w:rFonts w:ascii="Arial" w:cs="Arial" w:eastAsia="Arial" w:hAnsi="Arial"/>
                <w:sz w:val="22"/>
                <w:szCs w:val="22"/>
                <w:b w:val="1"/>
                <w:bCs w:val="1"/>
                <w:color w:val="auto"/>
              </w:rPr>
              <w:t>Truist Securities</w:t>
            </w:r>
          </w:p>
        </w:tc>
      </w:tr>
      <w:tr>
        <w:trPr>
          <w:trHeight w:val="274"/>
        </w:trPr>
        <w:tc>
          <w:tcPr>
            <w:tcW w:w="4340" w:type="dxa"/>
            <w:vAlign w:val="bottom"/>
          </w:tcPr>
          <w:p>
            <w:pPr>
              <w:spacing w:after="0"/>
              <w:rPr>
                <w:sz w:val="23"/>
                <w:szCs w:val="23"/>
                <w:color w:val="auto"/>
              </w:rPr>
            </w:pPr>
          </w:p>
        </w:tc>
        <w:tc>
          <w:tcPr>
            <w:tcW w:w="3580" w:type="dxa"/>
            <w:vAlign w:val="bottom"/>
            <w:gridSpan w:val="2"/>
          </w:tcPr>
          <w:p>
            <w:pPr>
              <w:ind w:left="960"/>
              <w:spacing w:after="0"/>
              <w:rPr>
                <w:sz w:val="20"/>
                <w:szCs w:val="20"/>
                <w:color w:val="auto"/>
              </w:rPr>
            </w:pPr>
            <w:r>
              <w:rPr>
                <w:rFonts w:ascii="Arial" w:cs="Arial" w:eastAsia="Arial" w:hAnsi="Arial"/>
                <w:sz w:val="22"/>
                <w:szCs w:val="22"/>
                <w:i w:val="1"/>
                <w:iCs w:val="1"/>
                <w:color w:val="auto"/>
              </w:rPr>
              <w:t>A Stifel Company</w:t>
            </w:r>
          </w:p>
        </w:tc>
        <w:tc>
          <w:tcPr>
            <w:tcW w:w="3100" w:type="dxa"/>
            <w:vAlign w:val="bottom"/>
          </w:tcPr>
          <w:p>
            <w:pPr>
              <w:spacing w:after="0"/>
              <w:rPr>
                <w:sz w:val="23"/>
                <w:szCs w:val="23"/>
                <w:color w:val="auto"/>
              </w:rPr>
            </w:pPr>
          </w:p>
        </w:tc>
      </w:tr>
    </w:tbl>
    <w:p>
      <w:pPr>
        <w:spacing w:after="0" w:line="48" w:lineRule="exact"/>
        <w:rPr>
          <w:sz w:val="24"/>
          <w:szCs w:val="24"/>
          <w:color w:val="auto"/>
        </w:rPr>
      </w:pPr>
    </w:p>
    <w:p>
      <w:pPr>
        <w:sectPr>
          <w:pgSz w:w="11900" w:h="16838" w:orient="portrait"/>
          <w:cols w:equalWidth="0" w:num="1">
            <w:col w:w="11140"/>
          </w:cols>
          <w:pgMar w:left="320" w:top="230" w:right="439" w:bottom="1440" w:gutter="0" w:footer="0" w:header="0"/>
        </w:sectPr>
      </w:pPr>
    </w:p>
    <w:p>
      <w:pPr>
        <w:ind w:left="3600"/>
        <w:spacing w:after="0"/>
        <w:tabs>
          <w:tab w:leader="none" w:pos="7220" w:val="left"/>
        </w:tabs>
        <w:rPr>
          <w:sz w:val="20"/>
          <w:szCs w:val="20"/>
          <w:color w:val="auto"/>
        </w:rPr>
      </w:pPr>
      <w:r>
        <w:rPr>
          <w:rFonts w:ascii="Arial" w:cs="Arial" w:eastAsia="Arial" w:hAnsi="Arial"/>
          <w:sz w:val="14"/>
          <w:szCs w:val="14"/>
          <w:b w:val="1"/>
          <w:bCs w:val="1"/>
          <w:color w:val="auto"/>
        </w:rPr>
        <w:t>The date of this prospectus supplement is October</w:t>
      </w:r>
      <w:r>
        <w:rPr>
          <w:sz w:val="20"/>
          <w:szCs w:val="20"/>
          <w:color w:val="auto"/>
        </w:rPr>
        <w:tab/>
      </w:r>
      <w:r>
        <w:rPr>
          <w:rFonts w:ascii="Arial" w:cs="Arial" w:eastAsia="Arial" w:hAnsi="Arial"/>
          <w:sz w:val="13"/>
          <w:szCs w:val="13"/>
          <w:b w:val="1"/>
          <w:bCs w:val="1"/>
          <w:color w:val="auto"/>
        </w:rPr>
        <w:t>,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80" w:type="dxa"/>
            <w:vAlign w:val="bottom"/>
            <w:gridSpan w:val="6"/>
          </w:tcPr>
          <w:p>
            <w:pPr>
              <w:jc w:val="center"/>
              <w:ind w:right="404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80" w:type="dxa"/>
            <w:vAlign w:val="bottom"/>
            <w:gridSpan w:val="7"/>
          </w:tcPr>
          <w:p>
            <w:pPr>
              <w:jc w:val="center"/>
              <w:ind w:right="3420"/>
              <w:spacing w:after="0"/>
              <w:rPr>
                <w:sz w:val="20"/>
                <w:szCs w:val="20"/>
                <w:color w:val="auto"/>
              </w:rPr>
            </w:pPr>
            <w:r>
              <w:rPr>
                <w:rFonts w:ascii="Arial" w:cs="Arial" w:eastAsia="Arial" w:hAnsi="Arial"/>
                <w:sz w:val="18"/>
                <w:szCs w:val="18"/>
                <w:b w:val="1"/>
                <w:bCs w:val="1"/>
                <w:color w:val="auto"/>
                <w:w w:val="97"/>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440" w:type="dxa"/>
            <w:vAlign w:val="bottom"/>
            <w:gridSpan w:val="21"/>
            <w:vMerge w:val="restart"/>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ABOUT THIS PROSPECTUS SUPPLEMENT</w:t>
              </w:r>
            </w:hyperlink>
          </w:p>
        </w:tc>
        <w:tc>
          <w:tcPr>
            <w:tcW w:w="7120" w:type="dxa"/>
            <w:vAlign w:val="bottom"/>
            <w:gridSpan w:val="9"/>
            <w:vMerge w:val="restart"/>
          </w:tcPr>
          <w:p>
            <w:pPr>
              <w:spacing w:after="0"/>
              <w:rPr>
                <w:sz w:val="24"/>
                <w:szCs w:val="24"/>
                <w:color w:val="auto"/>
              </w:rPr>
            </w:pPr>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21"/>
            <w:vMerge w:val="continue"/>
          </w:tcPr>
          <w:p>
            <w:pPr>
              <w:spacing w:after="0"/>
              <w:rPr>
                <w:sz w:val="14"/>
                <w:szCs w:val="14"/>
                <w:color w:val="auto"/>
              </w:rPr>
            </w:pPr>
          </w:p>
        </w:tc>
        <w:tc>
          <w:tcPr>
            <w:tcW w:w="7120" w:type="dxa"/>
            <w:vAlign w:val="bottom"/>
            <w:gridSpan w:val="9"/>
            <w:vMerge w:val="continue"/>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THE OFFERING</w:t>
              </w:r>
            </w:hyperlink>
          </w:p>
        </w:tc>
        <w:tc>
          <w:tcPr>
            <w:tcW w:w="9280" w:type="dxa"/>
            <w:vAlign w:val="bottom"/>
            <w:gridSpan w:val="2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PROSPECTUS SUPPLEMENT SUMMARY</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FORWARD-LOOKING STATEMENTS</w:t>
              </w:r>
            </w:hyperlink>
          </w:p>
        </w:tc>
        <w:tc>
          <w:tcPr>
            <w:tcW w:w="7280" w:type="dxa"/>
            <w:vAlign w:val="bottom"/>
            <w:gridSpan w:val="11"/>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29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RISK FACTORS</w:t>
              </w:r>
            </w:hyperlink>
          </w:p>
        </w:tc>
        <w:tc>
          <w:tcPr>
            <w:tcW w:w="764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USE OF PROCEEDS</w:t>
              </w:r>
            </w:hyperlink>
          </w:p>
        </w:tc>
        <w:tc>
          <w:tcPr>
            <w:tcW w:w="8980" w:type="dxa"/>
            <w:vAlign w:val="bottom"/>
            <w:gridSpan w:val="2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CAPITALIZATION</w:t>
              </w:r>
            </w:hyperlink>
          </w:p>
        </w:tc>
        <w:tc>
          <w:tcPr>
            <w:tcW w:w="9080" w:type="dxa"/>
            <w:vAlign w:val="bottom"/>
            <w:gridSpan w:val="2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DESCRIPTION OF THE NOTES</w:t>
              </w:r>
            </w:hyperlink>
          </w:p>
        </w:tc>
        <w:tc>
          <w:tcPr>
            <w:tcW w:w="8100" w:type="dxa"/>
            <w:vAlign w:val="bottom"/>
            <w:gridSpan w:val="1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S-20</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CERTAIN U.S. FEDERAL INCOME TAX CONSIDERATIONS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S-36</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UNDERWRITING</w:t>
              </w:r>
            </w:hyperlink>
          </w:p>
        </w:tc>
        <w:tc>
          <w:tcPr>
            <w:tcW w:w="586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S-41</w:t>
            </w:r>
          </w:p>
        </w:tc>
        <w:tc>
          <w:tcPr>
            <w:tcW w:w="0" w:type="dxa"/>
            <w:vAlign w:val="bottom"/>
          </w:tcPr>
          <w:p>
            <w:pPr>
              <w:spacing w:after="0"/>
              <w:rPr>
                <w:sz w:val="1"/>
                <w:szCs w:val="1"/>
                <w:color w:val="auto"/>
              </w:rPr>
            </w:pPr>
          </w:p>
        </w:tc>
      </w:tr>
      <w:tr>
        <w:trPr>
          <w:trHeight w:val="20"/>
        </w:trPr>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LEGAL MATTERS</w:t>
              </w:r>
            </w:hyperlink>
          </w:p>
        </w:tc>
        <w:tc>
          <w:tcPr>
            <w:tcW w:w="9100" w:type="dxa"/>
            <w:vAlign w:val="bottom"/>
            <w:gridSpan w:val="2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S-48</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INDEPENDENT REGISTERED PUBLIC ACCOUNTING FIRM</w:t>
              </w:r>
            </w:hyperlink>
          </w:p>
        </w:tc>
        <w:tc>
          <w:tcPr>
            <w:tcW w:w="57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S-48</w:t>
            </w:r>
          </w:p>
        </w:tc>
        <w:tc>
          <w:tcPr>
            <w:tcW w:w="0" w:type="dxa"/>
            <w:vAlign w:val="bottom"/>
          </w:tcPr>
          <w:p>
            <w:pPr>
              <w:spacing w:after="0"/>
              <w:rPr>
                <w:sz w:val="1"/>
                <w:szCs w:val="1"/>
                <w:color w:val="auto"/>
              </w:rPr>
            </w:pPr>
          </w:p>
        </w:tc>
      </w:tr>
      <w:tr>
        <w:trPr>
          <w:trHeight w:val="196"/>
        </w:trPr>
        <w:tc>
          <w:tcPr>
            <w:tcW w:w="210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50">
              <w:r>
                <w:rPr>
                  <w:rFonts w:ascii="Arial" w:cs="Arial" w:eastAsia="Arial" w:hAnsi="Arial"/>
                  <w:sz w:val="18"/>
                  <w:szCs w:val="18"/>
                  <w:color w:val="0000EE"/>
                  <w:w w:val="96"/>
                </w:rPr>
                <w:t>INDEPENDENT AUDITOR</w:t>
              </w:r>
            </w:hyperlink>
          </w:p>
        </w:tc>
        <w:tc>
          <w:tcPr>
            <w:tcW w:w="8460" w:type="dxa"/>
            <w:vAlign w:val="bottom"/>
            <w:gridSpan w:val="1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S-48</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51">
              <w:r>
                <w:rPr>
                  <w:rFonts w:ascii="Arial" w:cs="Arial" w:eastAsia="Arial" w:hAnsi="Arial"/>
                  <w:sz w:val="18"/>
                  <w:szCs w:val="18"/>
                  <w:color w:val="0000EE"/>
                  <w:w w:val="94"/>
                </w:rPr>
                <w:t>INCORPORATION BY REFERENCE</w:t>
              </w:r>
            </w:hyperlink>
          </w:p>
        </w:tc>
        <w:tc>
          <w:tcPr>
            <w:tcW w:w="774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S-49</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AVAILABLE INFORMATION</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S-50</w:t>
            </w:r>
          </w:p>
        </w:tc>
        <w:tc>
          <w:tcPr>
            <w:tcW w:w="0" w:type="dxa"/>
            <w:vAlign w:val="bottom"/>
          </w:tcPr>
          <w:p>
            <w:pPr>
              <w:spacing w:after="0"/>
              <w:rPr>
                <w:sz w:val="1"/>
                <w:szCs w:val="1"/>
                <w:color w:val="auto"/>
              </w:rPr>
            </w:pPr>
          </w:p>
        </w:tc>
      </w:tr>
      <w:tr>
        <w:trPr>
          <w:trHeight w:val="668"/>
        </w:trPr>
        <w:tc>
          <w:tcPr>
            <w:tcW w:w="12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700" w:type="dxa"/>
            <w:vAlign w:val="bottom"/>
            <w:gridSpan w:val="2"/>
          </w:tcPr>
          <w:p>
            <w:pPr>
              <w:jc w:val="center"/>
              <w:ind w:right="4420"/>
              <w:spacing w:after="0"/>
              <w:rPr>
                <w:sz w:val="20"/>
                <w:szCs w:val="20"/>
                <w:color w:val="auto"/>
              </w:rPr>
            </w:pPr>
            <w:r>
              <w:rPr>
                <w:rFonts w:ascii="Arial" w:cs="Arial" w:eastAsia="Arial" w:hAnsi="Arial"/>
                <w:sz w:val="18"/>
                <w:szCs w:val="18"/>
                <w:b w:val="1"/>
                <w:bCs w:val="1"/>
                <w:color w:val="auto"/>
                <w:w w:val="96"/>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560" w:type="dxa"/>
            <w:vAlign w:val="bottom"/>
            <w:gridSpan w:val="3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FEES AND EXPENSES</w:t>
              </w:r>
            </w:hyperlink>
          </w:p>
        </w:tc>
        <w:tc>
          <w:tcPr>
            <w:tcW w:w="8480" w:type="dxa"/>
            <w:vAlign w:val="bottom"/>
            <w:gridSpan w:val="2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7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RISK FACTORS</w:t>
              </w:r>
            </w:hyperlink>
          </w:p>
        </w:tc>
        <w:tc>
          <w:tcPr>
            <w:tcW w:w="8780" w:type="dxa"/>
            <w:vAlign w:val="bottom"/>
            <w:gridSpan w:val="2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FORWARD-LOOKING STATEMENTS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USE OF PROCEEDS</w:t>
              </w:r>
            </w:hyperlink>
          </w:p>
        </w:tc>
        <w:tc>
          <w:tcPr>
            <w:tcW w:w="1340" w:type="dxa"/>
            <w:vAlign w:val="bottom"/>
            <w:tcBorders>
              <w:top w:val="single" w:sz="8" w:color="0000EE"/>
            </w:tcBorders>
            <w:gridSpan w:val="11"/>
          </w:tcPr>
          <w:p>
            <w:pPr>
              <w:spacing w:after="0"/>
              <w:rPr>
                <w:sz w:val="17"/>
                <w:szCs w:val="17"/>
                <w:color w:val="auto"/>
              </w:rPr>
            </w:pPr>
          </w:p>
        </w:tc>
        <w:tc>
          <w:tcPr>
            <w:tcW w:w="764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66">
              <w:r>
                <w:rPr>
                  <w:rFonts w:ascii="Arial" w:cs="Arial" w:eastAsia="Arial" w:hAnsi="Arial"/>
                  <w:sz w:val="18"/>
                  <w:szCs w:val="18"/>
                  <w:color w:val="0000EE"/>
                  <w:w w:val="93"/>
                </w:rPr>
                <w:t>SENIOR SECURITIES</w:t>
              </w:r>
            </w:hyperlink>
          </w:p>
        </w:tc>
        <w:tc>
          <w:tcPr>
            <w:tcW w:w="8840" w:type="dxa"/>
            <w:vAlign w:val="bottom"/>
            <w:gridSpan w:val="2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67">
              <w:r>
                <w:rPr>
                  <w:rFonts w:ascii="Arial" w:cs="Arial" w:eastAsia="Arial" w:hAnsi="Arial"/>
                  <w:sz w:val="18"/>
                  <w:szCs w:val="18"/>
                  <w:color w:val="0000EE"/>
                  <w:w w:val="94"/>
                </w:rPr>
                <w:t>PRICE RANGE OF COMMON STOCK</w:t>
              </w:r>
            </w:hyperlink>
          </w:p>
        </w:tc>
        <w:tc>
          <w:tcPr>
            <w:tcW w:w="760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SALES OF COMMON STOCK BELOW NET ASSET VALUE</w:t>
              </w:r>
            </w:hyperlink>
          </w:p>
        </w:tc>
        <w:tc>
          <w:tcPr>
            <w:tcW w:w="592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DISTRIBUTIONS</w:t>
              </w:r>
            </w:hyperlink>
          </w:p>
        </w:tc>
        <w:tc>
          <w:tcPr>
            <w:tcW w:w="9180" w:type="dxa"/>
            <w:vAlign w:val="bottom"/>
            <w:gridSpan w:val="2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PORTFOLIO COMPANIES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2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82">
              <w:r>
                <w:rPr>
                  <w:rFonts w:ascii="Arial" w:cs="Arial" w:eastAsia="Arial" w:hAnsi="Arial"/>
                  <w:sz w:val="18"/>
                  <w:szCs w:val="18"/>
                  <w:color w:val="0000EE"/>
                  <w:w w:val="96"/>
                </w:rPr>
                <w:t>PORTFOLIO MANAGEMENT</w:t>
              </w:r>
            </w:hyperlink>
          </w:p>
        </w:tc>
        <w:tc>
          <w:tcPr>
            <w:tcW w:w="8240" w:type="dxa"/>
            <w:vAlign w:val="bottom"/>
            <w:gridSpan w:val="1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DETERMINATION OF NET ASSET VALUE</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tcBorders>
            <w:gridSpan w:val="20"/>
          </w:tcPr>
          <w:p>
            <w:pPr>
              <w:spacing w:after="0" w:line="196" w:lineRule="exact"/>
              <w:rPr>
                <w:rFonts w:ascii="Arial" w:cs="Arial" w:eastAsia="Arial" w:hAnsi="Arial"/>
                <w:sz w:val="18"/>
                <w:szCs w:val="18"/>
                <w:color w:val="0000EE"/>
                <w:w w:val="96"/>
              </w:rPr>
            </w:pPr>
            <w:hyperlink w:anchor="page87">
              <w:r>
                <w:rPr>
                  <w:rFonts w:ascii="Arial" w:cs="Arial" w:eastAsia="Arial" w:hAnsi="Arial"/>
                  <w:sz w:val="18"/>
                  <w:szCs w:val="18"/>
                  <w:color w:val="0000EE"/>
                  <w:w w:val="96"/>
                </w:rPr>
                <w:t>DESCRIPTION OF OUR CAPITAL STOCK</w:t>
              </w:r>
            </w:hyperlink>
          </w:p>
        </w:tc>
        <w:tc>
          <w:tcPr>
            <w:tcW w:w="7200" w:type="dxa"/>
            <w:vAlign w:val="bottom"/>
            <w:gridSpan w:val="10"/>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DESCRIPTION OF OUR PREFERRED STOCK</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56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WARRANTS</w:t>
              </w:r>
            </w:hyperlink>
          </w:p>
        </w:tc>
        <w:tc>
          <w:tcPr>
            <w:tcW w:w="7000" w:type="dxa"/>
            <w:vAlign w:val="bottom"/>
            <w:gridSpan w:val="8"/>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OUR SUBSCRIPTION RIGHTS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DESCRIPTION OF OUR DEBT SECURITIES</w:t>
              </w:r>
            </w:hyperlink>
          </w:p>
        </w:tc>
        <w:tc>
          <w:tcPr>
            <w:tcW w:w="668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180" w:type="dxa"/>
            <w:vAlign w:val="bottom"/>
            <w:gridSpan w:val="9"/>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80" w:type="dxa"/>
            <w:vAlign w:val="bottom"/>
            <w:tcBorders>
              <w:bottom w:val="single" w:sz="8" w:color="0000EE"/>
            </w:tcBorders>
            <w:gridSpan w:val="24"/>
          </w:tcPr>
          <w:p>
            <w:pPr>
              <w:spacing w:after="0" w:line="196" w:lineRule="exact"/>
              <w:rPr>
                <w:rFonts w:ascii="Arial" w:cs="Arial" w:eastAsia="Arial" w:hAnsi="Arial"/>
                <w:sz w:val="18"/>
                <w:szCs w:val="18"/>
                <w:color w:val="0000EE"/>
                <w:w w:val="96"/>
              </w:rPr>
            </w:pPr>
            <w:hyperlink w:anchor="page112">
              <w:r>
                <w:rPr>
                  <w:rFonts w:ascii="Arial" w:cs="Arial" w:eastAsia="Arial" w:hAnsi="Arial"/>
                  <w:sz w:val="18"/>
                  <w:szCs w:val="18"/>
                  <w:color w:val="0000EE"/>
                  <w:w w:val="96"/>
                </w:rPr>
                <w:t>BROKERAGE ALLOCATIONS AND OTHER PRACTICES</w:t>
              </w:r>
            </w:hyperlink>
          </w:p>
        </w:tc>
        <w:tc>
          <w:tcPr>
            <w:tcW w:w="6080" w:type="dxa"/>
            <w:vAlign w:val="bottom"/>
            <w:gridSpan w:val="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MATERIAL U.S. FEDERAL INCOME TAX CONSIDERATIONS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48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PLAN OF DISTRIBUTION</w:t>
              </w:r>
            </w:hyperlink>
          </w:p>
        </w:tc>
        <w:tc>
          <w:tcPr>
            <w:tcW w:w="570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40" w:type="dxa"/>
            <w:vAlign w:val="bottom"/>
            <w:gridSpan w:val="9"/>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680" w:type="dxa"/>
            <w:vAlign w:val="bottom"/>
            <w:gridSpan w:val="17"/>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tcBorders>
              <w:bottom w:val="single" w:sz="8" w:color="0000EE"/>
            </w:tcBorders>
            <w:gridSpan w:val="29"/>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SUB-ADMINISTRATOR, CUSTODIAN, TRANSFER AGENT AND TRUSTEE</w:t>
              </w:r>
            </w:hyperlink>
          </w:p>
        </w:tc>
        <w:tc>
          <w:tcPr>
            <w:tcW w:w="462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LEGAL MATTERS</w:t>
              </w:r>
            </w:hyperlink>
          </w:p>
        </w:tc>
        <w:tc>
          <w:tcPr>
            <w:tcW w:w="9100" w:type="dxa"/>
            <w:vAlign w:val="bottom"/>
            <w:gridSpan w:val="26"/>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800" w:type="dxa"/>
            <w:vAlign w:val="bottom"/>
            <w:tcBorders>
              <w:bottom w:val="single" w:sz="8" w:color="0000EE"/>
            </w:tcBorders>
            <w:gridSpan w:val="27"/>
          </w:tcPr>
          <w:p>
            <w:pPr>
              <w:spacing w:after="0" w:line="196" w:lineRule="exact"/>
              <w:rPr>
                <w:rFonts w:ascii="Arial" w:cs="Arial" w:eastAsia="Arial" w:hAnsi="Arial"/>
                <w:sz w:val="18"/>
                <w:szCs w:val="18"/>
                <w:color w:val="0000EE"/>
                <w:w w:val="96"/>
              </w:rPr>
            </w:pPr>
            <w:hyperlink w:anchor="page122">
              <w:r>
                <w:rPr>
                  <w:rFonts w:ascii="Arial" w:cs="Arial" w:eastAsia="Arial" w:hAnsi="Arial"/>
                  <w:sz w:val="18"/>
                  <w:szCs w:val="18"/>
                  <w:color w:val="0000EE"/>
                  <w:w w:val="96"/>
                </w:rPr>
                <w:t>INDEPENDENT REGISTERED PUBLIC ACCOUNTING FIRM</w:t>
              </w:r>
            </w:hyperlink>
          </w:p>
        </w:tc>
        <w:tc>
          <w:tcPr>
            <w:tcW w:w="5760" w:type="dxa"/>
            <w:vAlign w:val="bottom"/>
            <w:gridSpan w:val="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22">
              <w:r>
                <w:rPr>
                  <w:rFonts w:ascii="Arial" w:cs="Arial" w:eastAsia="Arial" w:hAnsi="Arial"/>
                  <w:sz w:val="18"/>
                  <w:szCs w:val="18"/>
                  <w:color w:val="0000EE"/>
                  <w:w w:val="94"/>
                </w:rPr>
                <w:t>INCORPORATION BY REFERENCE</w:t>
              </w:r>
            </w:hyperlink>
          </w:p>
        </w:tc>
        <w:tc>
          <w:tcPr>
            <w:tcW w:w="774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560" w:type="dxa"/>
            <w:vAlign w:val="bottom"/>
            <w:gridSpan w:val="30"/>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AVAILABLE INFORMATION</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or any exhibits and documents incorporated by reference. Please carefully read this prospectus supplement and the accompanying prospectus together with any free writing prospectus that we have authorized for use in connection with this offering and any exhibits and documents incorporated by reference before you make an investment decision.</w:t>
      </w:r>
    </w:p>
    <w:p>
      <w:pPr>
        <w:spacing w:after="0" w:line="178"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b w:val="1"/>
          <w:bCs w:val="1"/>
          <w:color w:val="auto"/>
        </w:rPr>
        <w:t>YOU SHOULD RELY ONLY ON THE INFORMATION CONTAINED IN THIS PROSPECTUS SUPPLEMENT, INCLUDING ANY DOCUMENTS WE INCORPORATE BY REFERENCE HEREIN, THE ACCOMPANYING PROSPECTUS AND ANY FREE WRITING PROSPECTUS PREPARED BY OR ON BEHALF OF US THAT RELATES TO THIS OFFERING, INCLUDING THE DOCUMENTS WE INCORPORATE BY REFERENCE THEREIN. NEITHER WE NOR ANY UNDERWRITER HAS AUTHORIZED ANY OTHER PERSON TO PROVIDE YOU WITH DIFFERENT OR ADDITIONAL INFORMATION OR TO MAKE REPRESENTATIONS AS TO MATTERS NOT STATED IN THIS PROSPECTUS SUPPLEMENT, THE ACCOMPANYING PROSPECTUS OR IN ANY FREE WRITING PROSPECTUS PREPARED BY OR ON BEHALF OF US THAT RELATES TO THIS OFFERING. WE TAKE NO RESPONSIBILITY FOR, AND CAN PROVIDE NO ASSURANCE AS TO THE RELIABILITY OF, ANY OTHER INFORMATION THAT OTHERS MAY GIVE YOU. IF ANYONE PROVIDES YOU WITH DIFFERENT OR ADDITIONAL INFORMATION, YOU SHOULD NOT RELY ON IT. WE ARE NOT, AND THE UNDERWRITERS ARE NOT, MAKING AN OFFER TO SELL THESE NOTES IN ANY JURISDICTION WHERE THE OFFER OR SALE IS NOT PERMITTED. YOU SHOULD ASSUME THAT THE INFORMATION APPEARING IN THIS PROSPECTUS SUPPLEMENT, INCLUDING THE DOCUMENTS WE INCORPORATE BY REFERENCE HEREIN, THE ACCOMPANYING PROSPECTUS AND ANY FREE WRITING PROSPECTUS, INCLUDING THE DOCUMENTS WE INCORPORATE BY REFERENCE THEREIN, ARE ACCURATE ONLY AS OF THEIR RESPECTIVE DATES, REGARDLESS OF THE TIME OF DELIVERY OF THIS PROSPECTUS SUPPLEMENT, THE ACCOMPANYING PROSPECTUS, ANY FREE WRITING PROSPECTUS OR ANY SALES OF THE NOTES. OUR BUSINESS, FINANCIAL CONDITION, RESULTS OF OPERATIONS AND PROSPECTS MAY HAVE CHANGED SINCE THOSE DATES.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200"/>
        <w:spacing w:after="0" w:line="287" w:lineRule="auto"/>
        <w:rPr>
          <w:sz w:val="20"/>
          <w:szCs w:val="20"/>
          <w:color w:val="auto"/>
        </w:rPr>
      </w:pPr>
      <w:r>
        <w:rPr>
          <w:rFonts w:ascii="Arial" w:cs="Arial" w:eastAsia="Arial" w:hAnsi="Arial"/>
          <w:sz w:val="16"/>
          <w:szCs w:val="16"/>
          <w:color w:val="auto"/>
        </w:rPr>
        <w:t>This prospectus supplement sets forth certain terms of the Notes that we are offering pursuant to this prospectus supplement and the accompanying prospectus that is attached to the back of this prospectus supplement. On March 23, 2021, we and the Trustee entered into the first supplemental indenture to the indenture, dated as of March 23, 2021, relating to the Existing Notes. We will issue the Notes offered hereby under the same indenture and the first supplemental indenture, which we refer to collectively as the “indenture.” The Notes offered hereby will be a further issuance of, rank equally in right of payment with, and form a single series with the Existing Notes for all purposes under the indenture, including, without limitation, waivers, amendments, consents, redemptions and other offers to purchase and voting. We refer to the “Notes” and the “Existing Notes” separately within this prospectus supplement because only the Notes are being offered hereby, but any general discussion of the terms of the Notes also would apply to the Existing Notes because they are treated as the same under the indenture.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Issuer</w:t>
            </w:r>
          </w:p>
        </w:tc>
        <w:tc>
          <w:tcPr>
            <w:tcW w:w="3440" w:type="dxa"/>
            <w:vAlign w:val="bottom"/>
            <w:gridSpan w:val="2"/>
          </w:tcPr>
          <w:p>
            <w:pPr>
              <w:ind w:left="520"/>
              <w:spacing w:after="0"/>
              <w:rPr>
                <w:sz w:val="20"/>
                <w:szCs w:val="20"/>
                <w:color w:val="auto"/>
              </w:rPr>
            </w:pPr>
            <w:r>
              <w:rPr>
                <w:rFonts w:ascii="Arial" w:cs="Arial" w:eastAsia="Arial" w:hAnsi="Arial"/>
                <w:sz w:val="18"/>
                <w:szCs w:val="18"/>
                <w:color w:val="auto"/>
                <w:w w:val="92"/>
              </w:rPr>
              <w:t>PennantPark Floating Rate Capital Ltd.</w:t>
            </w:r>
          </w:p>
        </w:tc>
        <w:tc>
          <w:tcPr>
            <w:tcW w:w="3880" w:type="dxa"/>
            <w:vAlign w:val="bottom"/>
          </w:tcPr>
          <w:p>
            <w:pPr>
              <w:spacing w:after="0"/>
              <w:rPr>
                <w:sz w:val="20"/>
                <w:szCs w:val="20"/>
                <w:color w:val="auto"/>
              </w:rPr>
            </w:pPr>
          </w:p>
        </w:tc>
      </w:tr>
      <w:tr>
        <w:trPr>
          <w:trHeight w:val="473"/>
        </w:trPr>
        <w:tc>
          <w:tcPr>
            <w:tcW w:w="3700" w:type="dxa"/>
            <w:vAlign w:val="bottom"/>
          </w:tcPr>
          <w:p>
            <w:pPr>
              <w:ind w:left="180"/>
              <w:spacing w:after="0"/>
              <w:rPr>
                <w:sz w:val="20"/>
                <w:szCs w:val="20"/>
                <w:color w:val="auto"/>
              </w:rPr>
            </w:pPr>
            <w:r>
              <w:rPr>
                <w:rFonts w:ascii="Arial" w:cs="Arial" w:eastAsia="Arial" w:hAnsi="Arial"/>
                <w:sz w:val="18"/>
                <w:szCs w:val="18"/>
                <w:color w:val="auto"/>
              </w:rPr>
              <w:t>Title of the securities</w:t>
            </w:r>
          </w:p>
        </w:tc>
        <w:tc>
          <w:tcPr>
            <w:tcW w:w="3440" w:type="dxa"/>
            <w:vAlign w:val="bottom"/>
            <w:gridSpan w:val="2"/>
          </w:tcPr>
          <w:p>
            <w:pPr>
              <w:ind w:left="520"/>
              <w:spacing w:after="0"/>
              <w:rPr>
                <w:sz w:val="20"/>
                <w:szCs w:val="20"/>
                <w:color w:val="auto"/>
              </w:rPr>
            </w:pPr>
            <w:r>
              <w:rPr>
                <w:rFonts w:ascii="Arial" w:cs="Arial" w:eastAsia="Arial" w:hAnsi="Arial"/>
                <w:sz w:val="18"/>
                <w:szCs w:val="18"/>
                <w:color w:val="auto"/>
              </w:rPr>
              <w:t>4.25% Notes due 2026</w:t>
            </w:r>
          </w:p>
        </w:tc>
        <w:tc>
          <w:tcPr>
            <w:tcW w:w="3880" w:type="dxa"/>
            <w:vAlign w:val="bottom"/>
          </w:tcPr>
          <w:p>
            <w:pPr>
              <w:spacing w:after="0"/>
              <w:rPr>
                <w:sz w:val="24"/>
                <w:szCs w:val="24"/>
                <w:color w:val="auto"/>
              </w:rPr>
            </w:pPr>
          </w:p>
        </w:tc>
      </w:tr>
      <w:tr>
        <w:trPr>
          <w:trHeight w:val="473"/>
        </w:trPr>
        <w:tc>
          <w:tcPr>
            <w:tcW w:w="3700" w:type="dxa"/>
            <w:vAlign w:val="bottom"/>
          </w:tcPr>
          <w:p>
            <w:pPr>
              <w:ind w:left="180"/>
              <w:spacing w:after="0"/>
              <w:rPr>
                <w:sz w:val="20"/>
                <w:szCs w:val="20"/>
                <w:color w:val="auto"/>
              </w:rPr>
            </w:pPr>
            <w:r>
              <w:rPr>
                <w:rFonts w:ascii="Arial" w:cs="Arial" w:eastAsia="Arial" w:hAnsi="Arial"/>
                <w:sz w:val="18"/>
                <w:szCs w:val="18"/>
                <w:color w:val="auto"/>
              </w:rPr>
              <w:t>Aggregate principal amount being offered</w:t>
            </w: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458"/>
        </w:trPr>
        <w:tc>
          <w:tcPr>
            <w:tcW w:w="3700" w:type="dxa"/>
            <w:vAlign w:val="bottom"/>
          </w:tcPr>
          <w:p>
            <w:pPr>
              <w:spacing w:after="0"/>
              <w:rPr>
                <w:sz w:val="24"/>
                <w:szCs w:val="24"/>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w w:val="95"/>
              </w:rPr>
              <w:t>The Notes offered hereby are a further issuance of the Existing Notes. The Notes offered</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w w:val="97"/>
              </w:rPr>
              <w:t>hereby will be treated as a single series with the Existing Notes under the indenture and</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w w:val="98"/>
              </w:rPr>
              <w:t>will have the same terms as the Existing Notes. The Notes offered hereby will have the</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w w:val="96"/>
              </w:rPr>
              <w:t>same CUSIP number and will be fungible and rank equally with the Existing Notes. Upon</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w w:val="92"/>
              </w:rPr>
              <w:t>the issuance of the Notes offered hereby, the outstanding aggregate principal amount of our</w:t>
            </w:r>
          </w:p>
        </w:tc>
      </w:tr>
      <w:tr>
        <w:trPr>
          <w:trHeight w:val="230"/>
        </w:trPr>
        <w:tc>
          <w:tcPr>
            <w:tcW w:w="3700" w:type="dxa"/>
            <w:vAlign w:val="bottom"/>
          </w:tcPr>
          <w:p>
            <w:pPr>
              <w:spacing w:after="0"/>
              <w:rPr>
                <w:sz w:val="20"/>
                <w:szCs w:val="20"/>
                <w:color w:val="auto"/>
              </w:rPr>
            </w:pPr>
          </w:p>
        </w:tc>
        <w:tc>
          <w:tcPr>
            <w:tcW w:w="3440" w:type="dxa"/>
            <w:vAlign w:val="bottom"/>
            <w:gridSpan w:val="2"/>
          </w:tcPr>
          <w:p>
            <w:pPr>
              <w:ind w:left="520"/>
              <w:spacing w:after="0"/>
              <w:rPr>
                <w:sz w:val="20"/>
                <w:szCs w:val="20"/>
                <w:color w:val="auto"/>
              </w:rPr>
            </w:pPr>
            <w:r>
              <w:rPr>
                <w:rFonts w:ascii="Arial" w:cs="Arial" w:eastAsia="Arial" w:hAnsi="Arial"/>
                <w:sz w:val="18"/>
                <w:szCs w:val="18"/>
                <w:color w:val="auto"/>
              </w:rPr>
              <w:t>4.25% Notes due 2026 will be $</w:t>
            </w:r>
          </w:p>
        </w:tc>
        <w:tc>
          <w:tcPr>
            <w:tcW w:w="3880" w:type="dxa"/>
            <w:vAlign w:val="bottom"/>
          </w:tcPr>
          <w:p>
            <w:pPr>
              <w:jc w:val="right"/>
              <w:ind w:right="3630"/>
              <w:spacing w:after="0"/>
              <w:rPr>
                <w:sz w:val="20"/>
                <w:szCs w:val="20"/>
                <w:color w:val="auto"/>
              </w:rPr>
            </w:pPr>
            <w:r>
              <w:rPr>
                <w:rFonts w:ascii="Arial" w:cs="Arial" w:eastAsia="Arial" w:hAnsi="Arial"/>
                <w:sz w:val="18"/>
                <w:szCs w:val="18"/>
                <w:color w:val="auto"/>
              </w:rPr>
              <w:t>.</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Issue price</w:t>
            </w:r>
          </w:p>
        </w:tc>
        <w:tc>
          <w:tcPr>
            <w:tcW w:w="880" w:type="dxa"/>
            <w:vAlign w:val="bottom"/>
          </w:tcPr>
          <w:p>
            <w:pPr>
              <w:spacing w:after="0"/>
              <w:rPr>
                <w:sz w:val="24"/>
                <w:szCs w:val="24"/>
                <w:color w:val="auto"/>
              </w:rPr>
            </w:pPr>
          </w:p>
        </w:tc>
        <w:tc>
          <w:tcPr>
            <w:tcW w:w="6440" w:type="dxa"/>
            <w:vAlign w:val="bottom"/>
            <w:gridSpan w:val="2"/>
          </w:tcPr>
          <w:p>
            <w:pPr>
              <w:jc w:val="right"/>
              <w:ind w:right="230"/>
              <w:spacing w:after="0"/>
              <w:rPr>
                <w:sz w:val="20"/>
                <w:szCs w:val="20"/>
                <w:color w:val="auto"/>
              </w:rPr>
            </w:pPr>
            <w:r>
              <w:rPr>
                <w:rFonts w:ascii="Arial" w:cs="Arial" w:eastAsia="Arial" w:hAnsi="Arial"/>
                <w:sz w:val="18"/>
                <w:szCs w:val="18"/>
                <w:color w:val="auto"/>
                <w:w w:val="90"/>
              </w:rPr>
              <w:t>% of the aggregate principal amount of the Notes offered hereby, plus the Aggregate</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rPr>
              <w:t>Accrued Interest (as defined in the section titled “Description of the Notes” in this</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w w:val="96"/>
              </w:rPr>
              <w:t>prospectus supplement). On April 1, 2022, we will pay the Aggregate Accrued Interest to</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w w:val="94"/>
              </w:rPr>
              <w:t>the holders of the Notes offered hereby as of the applicable record date along with interest</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w w:val="98"/>
              </w:rPr>
              <w:t>accrued on the Notes offered hereby from the date of delivery to such interest payment</w:t>
            </w:r>
          </w:p>
        </w:tc>
      </w:tr>
      <w:tr>
        <w:trPr>
          <w:trHeight w:val="230"/>
        </w:trPr>
        <w:tc>
          <w:tcPr>
            <w:tcW w:w="3700" w:type="dxa"/>
            <w:vAlign w:val="bottom"/>
          </w:tcPr>
          <w:p>
            <w:pPr>
              <w:spacing w:after="0"/>
              <w:rPr>
                <w:sz w:val="20"/>
                <w:szCs w:val="20"/>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w w:val="84"/>
              </w:rPr>
              <w:t>date.</w:t>
            </w:r>
          </w:p>
        </w:tc>
        <w:tc>
          <w:tcPr>
            <w:tcW w:w="256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Aggregate accrued interest</w:t>
            </w: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c>
          <w:tcPr>
            <w:tcW w:w="6440" w:type="dxa"/>
            <w:vAlign w:val="bottom"/>
            <w:gridSpan w:val="2"/>
          </w:tcPr>
          <w:p>
            <w:pPr>
              <w:jc w:val="right"/>
              <w:ind w:right="310"/>
              <w:spacing w:after="0"/>
              <w:rPr>
                <w:sz w:val="20"/>
                <w:szCs w:val="20"/>
                <w:color w:val="auto"/>
              </w:rPr>
            </w:pPr>
            <w:r>
              <w:rPr>
                <w:rFonts w:ascii="Arial" w:cs="Arial" w:eastAsia="Arial" w:hAnsi="Arial"/>
                <w:sz w:val="18"/>
                <w:szCs w:val="18"/>
                <w:color w:val="auto"/>
                <w:w w:val="98"/>
              </w:rPr>
              <w:t>of accrued and unpaid interest from October 1, 2021 up to, but not including,</w:t>
            </w:r>
          </w:p>
        </w:tc>
      </w:tr>
      <w:tr>
        <w:trPr>
          <w:trHeight w:val="230"/>
        </w:trPr>
        <w:tc>
          <w:tcPr>
            <w:tcW w:w="3700" w:type="dxa"/>
            <w:vAlign w:val="bottom"/>
          </w:tcPr>
          <w:p>
            <w:pPr>
              <w:spacing w:after="0"/>
              <w:rPr>
                <w:sz w:val="20"/>
                <w:szCs w:val="20"/>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rPr>
              <w:t>the date of delivery of the Notes offered hereby.</w:t>
            </w:r>
          </w:p>
        </w:tc>
      </w:tr>
      <w:tr>
        <w:trPr>
          <w:trHeight w:val="445"/>
        </w:trPr>
        <w:tc>
          <w:tcPr>
            <w:tcW w:w="3700" w:type="dxa"/>
            <w:vAlign w:val="bottom"/>
          </w:tcPr>
          <w:p>
            <w:pPr>
              <w:ind w:left="180"/>
              <w:spacing w:after="0"/>
              <w:rPr>
                <w:sz w:val="20"/>
                <w:szCs w:val="20"/>
                <w:color w:val="auto"/>
              </w:rPr>
            </w:pPr>
            <w:r>
              <w:rPr>
                <w:rFonts w:ascii="Arial" w:cs="Arial" w:eastAsia="Arial" w:hAnsi="Arial"/>
                <w:sz w:val="18"/>
                <w:szCs w:val="18"/>
                <w:color w:val="auto"/>
              </w:rPr>
              <w:t>Principal payable at maturity</w:t>
            </w: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w w:val="93"/>
              </w:rPr>
              <w:t>100% of the aggregate principal amount; the principal amount of each Note will be payable</w:t>
            </w:r>
          </w:p>
        </w:tc>
      </w:tr>
      <w:tr>
        <w:trPr>
          <w:trHeight w:val="216"/>
        </w:trPr>
        <w:tc>
          <w:tcPr>
            <w:tcW w:w="3700" w:type="dxa"/>
            <w:vAlign w:val="bottom"/>
          </w:tcPr>
          <w:p>
            <w:pPr>
              <w:spacing w:after="0"/>
              <w:rPr>
                <w:sz w:val="18"/>
                <w:szCs w:val="18"/>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w w:val="95"/>
              </w:rPr>
              <w:t>on its stated maturity date at the office of the Paying Agent, Registrar and Transfer Agent</w:t>
            </w:r>
          </w:p>
        </w:tc>
      </w:tr>
      <w:tr>
        <w:trPr>
          <w:trHeight w:val="230"/>
        </w:trPr>
        <w:tc>
          <w:tcPr>
            <w:tcW w:w="3700" w:type="dxa"/>
            <w:vAlign w:val="bottom"/>
          </w:tcPr>
          <w:p>
            <w:pPr>
              <w:spacing w:after="0"/>
              <w:rPr>
                <w:sz w:val="20"/>
                <w:szCs w:val="20"/>
                <w:color w:val="auto"/>
              </w:rPr>
            </w:pPr>
          </w:p>
        </w:tc>
        <w:tc>
          <w:tcPr>
            <w:tcW w:w="7320" w:type="dxa"/>
            <w:vAlign w:val="bottom"/>
            <w:gridSpan w:val="3"/>
          </w:tcPr>
          <w:p>
            <w:pPr>
              <w:ind w:left="520"/>
              <w:spacing w:after="0"/>
              <w:rPr>
                <w:sz w:val="20"/>
                <w:szCs w:val="20"/>
                <w:color w:val="auto"/>
              </w:rPr>
            </w:pPr>
            <w:r>
              <w:rPr>
                <w:rFonts w:ascii="Arial" w:cs="Arial" w:eastAsia="Arial" w:hAnsi="Arial"/>
                <w:sz w:val="18"/>
                <w:szCs w:val="18"/>
                <w:color w:val="auto"/>
              </w:rPr>
              <w:t>for the Notes or at such other office in New York City as we may designate.</w:t>
            </w:r>
          </w:p>
        </w:tc>
      </w:tr>
      <w:tr>
        <w:trPr>
          <w:trHeight w:val="459"/>
        </w:trPr>
        <w:tc>
          <w:tcPr>
            <w:tcW w:w="3700" w:type="dxa"/>
            <w:vAlign w:val="bottom"/>
          </w:tcPr>
          <w:p>
            <w:pPr>
              <w:ind w:left="180"/>
              <w:spacing w:after="0"/>
              <w:rPr>
                <w:sz w:val="20"/>
                <w:szCs w:val="20"/>
                <w:color w:val="auto"/>
              </w:rPr>
            </w:pPr>
            <w:r>
              <w:rPr>
                <w:rFonts w:ascii="Arial" w:cs="Arial" w:eastAsia="Arial" w:hAnsi="Arial"/>
                <w:sz w:val="18"/>
                <w:szCs w:val="18"/>
                <w:color w:val="auto"/>
              </w:rPr>
              <w:t>Type of Note</w:t>
            </w:r>
          </w:p>
        </w:tc>
        <w:tc>
          <w:tcPr>
            <w:tcW w:w="3440" w:type="dxa"/>
            <w:vAlign w:val="bottom"/>
            <w:gridSpan w:val="2"/>
          </w:tcPr>
          <w:p>
            <w:pPr>
              <w:ind w:left="520"/>
              <w:spacing w:after="0"/>
              <w:rPr>
                <w:sz w:val="20"/>
                <w:szCs w:val="20"/>
                <w:color w:val="auto"/>
              </w:rPr>
            </w:pPr>
            <w:r>
              <w:rPr>
                <w:rFonts w:ascii="Arial" w:cs="Arial" w:eastAsia="Arial" w:hAnsi="Arial"/>
                <w:sz w:val="18"/>
                <w:szCs w:val="18"/>
                <w:color w:val="auto"/>
              </w:rPr>
              <w:t>Fixed-rate note</w:t>
            </w:r>
          </w:p>
        </w:tc>
        <w:tc>
          <w:tcPr>
            <w:tcW w:w="3880" w:type="dxa"/>
            <w:vAlign w:val="bottom"/>
          </w:tcPr>
          <w:p>
            <w:pPr>
              <w:spacing w:after="0"/>
              <w:rPr>
                <w:sz w:val="24"/>
                <w:szCs w:val="24"/>
                <w:color w:val="auto"/>
              </w:rPr>
            </w:pPr>
          </w:p>
        </w:tc>
      </w:tr>
      <w:tr>
        <w:trPr>
          <w:trHeight w:val="253"/>
        </w:trPr>
        <w:tc>
          <w:tcPr>
            <w:tcW w:w="37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spacing w:after="0"/>
              <w:rPr>
                <w:sz w:val="22"/>
                <w:szCs w:val="22"/>
                <w:color w:val="auto"/>
              </w:rPr>
            </w:pPr>
          </w:p>
        </w:tc>
      </w:tr>
      <w:tr>
        <w:trPr>
          <w:trHeight w:val="361"/>
        </w:trPr>
        <w:tc>
          <w:tcPr>
            <w:tcW w:w="3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tcPr>
          <w:p>
            <w:pPr>
              <w:ind w:left="800"/>
              <w:spacing w:after="0"/>
              <w:rPr>
                <w:sz w:val="20"/>
                <w:szCs w:val="20"/>
                <w:color w:val="auto"/>
              </w:rPr>
            </w:pPr>
            <w:r>
              <w:rPr>
                <w:rFonts w:ascii="Arial" w:cs="Arial" w:eastAsia="Arial" w:hAnsi="Arial"/>
                <w:sz w:val="18"/>
                <w:szCs w:val="18"/>
                <w:color w:val="auto"/>
              </w:rPr>
              <w:t>S-2</w:t>
            </w:r>
          </w:p>
        </w:tc>
        <w:tc>
          <w:tcPr>
            <w:tcW w:w="38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36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Trading market</w:t>
            </w:r>
          </w:p>
        </w:tc>
        <w:tc>
          <w:tcPr>
            <w:tcW w:w="766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color w:val="auto"/>
                <w:w w:val="95"/>
              </w:rPr>
              <w:t>While a trading market developed after issuing the Existing Notes, we cannot assure you</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8"/>
              </w:rPr>
              <w:t>that an active and liquid market for the Notes will be maintained. The Notes will not be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7"/>
              </w:rPr>
              <w:t>listed on any securities exchange or quoted on any automated dealer quotation system.</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4"/>
              </w:rPr>
              <w:t>Although certain of the underwriters have informed us that they intend to make a market in</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3"/>
              </w:rPr>
              <w:t>the Notes, as permitted by applicable laws and regulations, they are not obligated to do so,</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and may discontinue any such market-making activities at any time without notice.</w:t>
            </w:r>
          </w:p>
        </w:tc>
      </w:tr>
      <w:tr>
        <w:trPr>
          <w:trHeight w:val="459"/>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 rate</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4.25% per year</w:t>
            </w:r>
          </w:p>
        </w:tc>
      </w:tr>
      <w:tr>
        <w:trPr>
          <w:trHeight w:val="473"/>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Day count basis</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360-day year of twelve 30-day months</w:t>
            </w:r>
          </w:p>
        </w:tc>
      </w:tr>
      <w:tr>
        <w:trPr>
          <w:trHeight w:val="473"/>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Original issue date</w:t>
            </w:r>
          </w:p>
        </w:tc>
        <w:tc>
          <w:tcPr>
            <w:tcW w:w="7660" w:type="dxa"/>
            <w:vAlign w:val="bottom"/>
            <w:tcBorders>
              <w:right w:val="single" w:sz="8" w:color="auto"/>
            </w:tcBorders>
          </w:tcPr>
          <w:p>
            <w:pPr>
              <w:ind w:left="1760"/>
              <w:spacing w:after="0"/>
              <w:rPr>
                <w:sz w:val="20"/>
                <w:szCs w:val="20"/>
                <w:color w:val="auto"/>
              </w:rPr>
            </w:pPr>
            <w:r>
              <w:rPr>
                <w:rFonts w:ascii="Arial" w:cs="Arial" w:eastAsia="Arial" w:hAnsi="Arial"/>
                <w:sz w:val="18"/>
                <w:szCs w:val="18"/>
                <w:color w:val="auto"/>
              </w:rPr>
              <w:t>, 2021</w:t>
            </w:r>
          </w:p>
        </w:tc>
      </w:tr>
      <w:tr>
        <w:trPr>
          <w:trHeight w:val="473"/>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Stated maturity date</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April 1, 2026</w:t>
            </w:r>
          </w:p>
        </w:tc>
      </w:tr>
      <w:tr>
        <w:trPr>
          <w:trHeight w:val="458"/>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 payment dates</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6"/>
              </w:rPr>
              <w:t>Every April 1 and October 1, commencing April 1, 2022 . If an interest payment date is a</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4"/>
              </w:rPr>
              <w:t>non-business day, the applicable interest payment will be made on the next business day,</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and no additional interest will accrue as a result of such delayed payment</w:t>
            </w:r>
          </w:p>
        </w:tc>
      </w:tr>
      <w:tr>
        <w:trPr>
          <w:trHeight w:val="445"/>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Interest periods</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9"/>
              </w:rPr>
              <w:t>The initial interest period will be the period from and including October 1, 2021, to, but</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4"/>
              </w:rPr>
              <w:t>excluding, the initial interest payment date, and the subsequent interest periods will be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8"/>
              </w:rPr>
              <w:t>periods from and including an interest payment date to, but excluding, the next interest</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payment date or the stated maturity date, as the case may be.</w:t>
            </w:r>
          </w:p>
        </w:tc>
      </w:tr>
      <w:tr>
        <w:trPr>
          <w:trHeight w:val="445"/>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Regular record dates for interest</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w w:val="99"/>
              </w:rPr>
              <w:t>Every March 15, and September 15, commencing March 15, 2022; if a record date for</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interest is a non-business day, then that record date will be the next business day.</w:t>
            </w:r>
          </w:p>
        </w:tc>
      </w:tr>
      <w:tr>
        <w:trPr>
          <w:trHeight w:val="459"/>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Specified currency</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U.S. Dollars</w:t>
            </w:r>
          </w:p>
        </w:tc>
      </w:tr>
      <w:tr>
        <w:trPr>
          <w:trHeight w:val="473"/>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Place of payment</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The City of New York</w:t>
            </w:r>
          </w:p>
        </w:tc>
      </w:tr>
      <w:tr>
        <w:trPr>
          <w:trHeight w:val="473"/>
        </w:trPr>
        <w:tc>
          <w:tcPr>
            <w:tcW w:w="33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 of Notes</w:t>
            </w: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The Notes offered hereby will be our direct unsecured obligations and will rank:</w:t>
            </w:r>
          </w:p>
        </w:tc>
      </w:tr>
      <w:tr>
        <w:trPr>
          <w:trHeight w:val="337"/>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any existing and future unsecured</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unsubordinated indebtedness, including approximately $117.8 million in aggregate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principal amount outstanding under our 4.3% Series A notes due 2023, or the 2023</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Notes, and $100.0 million in aggregate principal amount outstanding under the</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Existing Notes, each as of June 30, 2021;</w:t>
            </w:r>
          </w:p>
        </w:tc>
      </w:tr>
      <w:tr>
        <w:trPr>
          <w:trHeight w:val="323"/>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w w:val="97"/>
              </w:rPr>
              <w:t>•   senior to any of our future indebtedness that expressly states it is subordinated in</w:t>
            </w:r>
          </w:p>
        </w:tc>
      </w:tr>
      <w:tr>
        <w:trPr>
          <w:trHeight w:val="230"/>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right of payment to the Notes;</w:t>
            </w:r>
          </w:p>
        </w:tc>
      </w:tr>
      <w:tr>
        <w:trPr>
          <w:trHeight w:val="338"/>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1080"/>
              <w:spacing w:after="0"/>
              <w:rPr>
                <w:sz w:val="20"/>
                <w:szCs w:val="20"/>
                <w:color w:val="auto"/>
              </w:rPr>
            </w:pPr>
            <w:r>
              <w:rPr>
                <w:rFonts w:ascii="Arial" w:cs="Arial" w:eastAsia="Arial" w:hAnsi="Arial"/>
                <w:sz w:val="18"/>
                <w:szCs w:val="18"/>
                <w:color w:val="auto"/>
              </w:rPr>
              <w:t>•   senior to any series of preferred stock that we may issue in the future;</w:t>
            </w:r>
          </w:p>
        </w:tc>
      </w:tr>
      <w:tr>
        <w:trPr>
          <w:trHeight w:val="240"/>
        </w:trPr>
        <w:tc>
          <w:tcPr>
            <w:tcW w:w="3360" w:type="dxa"/>
            <w:vAlign w:val="bottom"/>
            <w:tcBorders>
              <w:left w:val="single" w:sz="8" w:color="auto"/>
              <w:bottom w:val="single" w:sz="8" w:color="auto"/>
            </w:tcBorders>
          </w:tcPr>
          <w:p>
            <w:pPr>
              <w:spacing w:after="0"/>
              <w:rPr>
                <w:sz w:val="20"/>
                <w:szCs w:val="20"/>
                <w:color w:val="auto"/>
              </w:rPr>
            </w:pPr>
          </w:p>
        </w:tc>
        <w:tc>
          <w:tcPr>
            <w:tcW w:w="7660" w:type="dxa"/>
            <w:vAlign w:val="bottom"/>
            <w:tcBorders>
              <w:bottom w:val="single" w:sz="8" w:color="auto"/>
              <w:right w:val="single" w:sz="8" w:color="auto"/>
            </w:tcBorders>
          </w:tcPr>
          <w:p>
            <w:pPr>
              <w:spacing w:after="0"/>
              <w:rPr>
                <w:sz w:val="20"/>
                <w:szCs w:val="20"/>
                <w:color w:val="auto"/>
              </w:rPr>
            </w:pPr>
          </w:p>
        </w:tc>
      </w:tr>
      <w:tr>
        <w:trPr>
          <w:trHeight w:val="361"/>
        </w:trPr>
        <w:tc>
          <w:tcPr>
            <w:tcW w:w="3360" w:type="dxa"/>
            <w:vAlign w:val="bottom"/>
          </w:tcPr>
          <w:p>
            <w:pPr>
              <w:spacing w:after="0"/>
              <w:rPr>
                <w:sz w:val="24"/>
                <w:szCs w:val="24"/>
                <w:color w:val="auto"/>
              </w:rPr>
            </w:pPr>
          </w:p>
        </w:tc>
        <w:tc>
          <w:tcPr>
            <w:tcW w:w="7660" w:type="dxa"/>
            <w:vAlign w:val="bottom"/>
          </w:tcPr>
          <w:p>
            <w:pPr>
              <w:ind w:left="202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2940" w:type="dxa"/>
            <w:vAlign w:val="bottom"/>
            <w:tcBorders>
              <w:top w:val="single" w:sz="8" w:color="auto"/>
              <w:left w:val="single" w:sz="8" w:color="auto"/>
            </w:tcBorders>
          </w:tcPr>
          <w:p>
            <w:pPr>
              <w:spacing w:after="0"/>
              <w:rPr>
                <w:sz w:val="24"/>
                <w:szCs w:val="24"/>
                <w:color w:val="auto"/>
              </w:rPr>
            </w:pPr>
          </w:p>
        </w:tc>
        <w:tc>
          <w:tcPr>
            <w:tcW w:w="8080" w:type="dxa"/>
            <w:vAlign w:val="bottom"/>
            <w:tcBorders>
              <w:top w:val="single" w:sz="8" w:color="auto"/>
              <w:right w:val="single" w:sz="8" w:color="auto"/>
            </w:tcBorders>
          </w:tcPr>
          <w:p>
            <w:pPr>
              <w:ind w:left="1500"/>
              <w:spacing w:after="0"/>
              <w:rPr>
                <w:sz w:val="20"/>
                <w:szCs w:val="20"/>
                <w:color w:val="auto"/>
              </w:rPr>
            </w:pPr>
            <w:r>
              <w:rPr>
                <w:rFonts w:ascii="Arial" w:cs="Arial" w:eastAsia="Arial" w:hAnsi="Arial"/>
                <w:sz w:val="18"/>
                <w:szCs w:val="18"/>
                <w:color w:val="auto"/>
                <w:w w:val="96"/>
              </w:rPr>
              <w:t>•   effectively subordinated in right of payment to all of our existing and future secured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8"/>
              </w:rPr>
              <w:t>indebtedness (including indebtedness that is initially unsecured, but to which we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5"/>
              </w:rPr>
              <w:t>subsequently grant security), to the extent of the value of the assets securing such</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indebtedness; and</w:t>
            </w:r>
          </w:p>
        </w:tc>
      </w:tr>
      <w:tr>
        <w:trPr>
          <w:trHeight w:val="323"/>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500"/>
              <w:spacing w:after="0"/>
              <w:rPr>
                <w:sz w:val="20"/>
                <w:szCs w:val="20"/>
                <w:color w:val="auto"/>
              </w:rPr>
            </w:pPr>
            <w:r>
              <w:rPr>
                <w:rFonts w:ascii="Arial" w:cs="Arial" w:eastAsia="Arial" w:hAnsi="Arial"/>
                <w:sz w:val="18"/>
                <w:szCs w:val="18"/>
                <w:color w:val="auto"/>
              </w:rPr>
              <w:t>•   structurally subordinated to all existing and future indebtedness and other</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obligations of any of our subsidiaries, financing vehicles or similar facilities,</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including without limitation, (i) borrowings outstanding under our New Credit</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3"/>
              </w:rPr>
              <w:t>Facility (as defined below), to the extent of the value of the assets securing our New</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Credit Facility and (ii) approximately $228.0 million aggregate principal amount</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w w:val="96"/>
              </w:rPr>
              <w:t>outstanding under our 2031 Asset-Backed Debt (as defined below) as of June 30,</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780"/>
              <w:spacing w:after="0"/>
              <w:rPr>
                <w:sz w:val="20"/>
                <w:szCs w:val="20"/>
                <w:color w:val="auto"/>
              </w:rPr>
            </w:pPr>
            <w:r>
              <w:rPr>
                <w:rFonts w:ascii="Arial" w:cs="Arial" w:eastAsia="Arial" w:hAnsi="Arial"/>
                <w:sz w:val="18"/>
                <w:szCs w:val="18"/>
                <w:color w:val="auto"/>
              </w:rPr>
              <w:t>2021.</w:t>
            </w:r>
          </w:p>
        </w:tc>
      </w:tr>
      <w:tr>
        <w:trPr>
          <w:trHeight w:val="445"/>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Denominations</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We will issue the Notes in denominations of $2,000 and integral multiples of $1,000 in</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excess thereof.</w:t>
            </w:r>
          </w:p>
        </w:tc>
      </w:tr>
      <w:tr>
        <w:trPr>
          <w:trHeight w:val="445"/>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Business day</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Each Monday, Tuesday, Wednesday, Thursday and Friday that is not a day on which</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banking institutions in The City of New York are authorized or required by law or</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executive order to close.</w:t>
            </w:r>
          </w:p>
        </w:tc>
      </w:tr>
      <w:tr>
        <w:trPr>
          <w:trHeight w:val="445"/>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We may redeem some or all of the Notes at any time, or from time to time, upon not less</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than 30 days’ nor more than 60 days’ written notice prior to the date fixed for redemption</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thereof, at a redemption price equal to the greater of (1) 100% of the principal amount of</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the Notes to be redeemed or (2) the sum of the present values of the remaining scheduled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payments of principal and interest (exclusive of accrued and unpaid interest to the date of</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redemption) on the Notes to be redeemed, discounted to the redemption date on a semi-</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annual basis (assuming a 360-day year consisting of twelve 30-day months) using the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applicable Treasury Rate plus 50 basis points, plus, in each case, accrued and unpaid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7"/>
              </w:rPr>
              <w:t xml:space="preserve">interest to, but not including, the redemption date;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however, that if we redeem</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any Notes on or after January 1, 2026 (the date falling three months prior to the maturity</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date of the Notes), the redemption price for the Notes will be equal to 100% of the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principal amount of the Notes to be redeemed, plus accrued and unpaid interest, if any, to,</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but excluding, the date of redemption.</w:t>
            </w:r>
          </w:p>
        </w:tc>
      </w:tr>
      <w:tr>
        <w:trPr>
          <w:trHeight w:val="445"/>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Any exercise of our option to redeem the Notes will be done in compliance with the 1940</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Act and the related rules, regulations and interpretations, to the extent applicable.</w:t>
            </w:r>
          </w:p>
        </w:tc>
      </w:tr>
      <w:tr>
        <w:trPr>
          <w:trHeight w:val="445"/>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If we redeem only some of the Notes, the Trustee or DTC, as applicable, will determine the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method for selection of the particular Notes to be redeemed, in accordance with the 1940</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Act, to the extent applicable. Unless we default in payment of the redemption price, on and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after the date of redemption interest will cease to accrue on the Notes called for</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redemption.</w:t>
            </w:r>
          </w:p>
        </w:tc>
      </w:tr>
      <w:tr>
        <w:trPr>
          <w:trHeight w:val="459"/>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Sinking fund</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The Notes will not be subject to any sinking fund.</w:t>
            </w:r>
          </w:p>
        </w:tc>
      </w:tr>
      <w:tr>
        <w:trPr>
          <w:trHeight w:val="253"/>
        </w:trPr>
        <w:tc>
          <w:tcPr>
            <w:tcW w:w="2940" w:type="dxa"/>
            <w:vAlign w:val="bottom"/>
            <w:tcBorders>
              <w:left w:val="single" w:sz="8" w:color="auto"/>
              <w:bottom w:val="single" w:sz="8" w:color="auto"/>
            </w:tcBorders>
          </w:tcPr>
          <w:p>
            <w:pPr>
              <w:spacing w:after="0"/>
              <w:rPr>
                <w:sz w:val="22"/>
                <w:szCs w:val="22"/>
                <w:color w:val="auto"/>
              </w:rPr>
            </w:pPr>
          </w:p>
        </w:tc>
        <w:tc>
          <w:tcPr>
            <w:tcW w:w="8080" w:type="dxa"/>
            <w:vAlign w:val="bottom"/>
            <w:tcBorders>
              <w:bottom w:val="single" w:sz="8" w:color="auto"/>
              <w:right w:val="single" w:sz="8" w:color="auto"/>
            </w:tcBorders>
          </w:tcPr>
          <w:p>
            <w:pPr>
              <w:spacing w:after="0"/>
              <w:rPr>
                <w:sz w:val="22"/>
                <w:szCs w:val="22"/>
                <w:color w:val="auto"/>
              </w:rPr>
            </w:pPr>
          </w:p>
        </w:tc>
      </w:tr>
      <w:tr>
        <w:trPr>
          <w:trHeight w:val="361"/>
        </w:trPr>
        <w:tc>
          <w:tcPr>
            <w:tcW w:w="2940" w:type="dxa"/>
            <w:vAlign w:val="bottom"/>
          </w:tcPr>
          <w:p>
            <w:pPr>
              <w:spacing w:after="0"/>
              <w:rPr>
                <w:sz w:val="24"/>
                <w:szCs w:val="24"/>
                <w:color w:val="auto"/>
              </w:rPr>
            </w:pPr>
          </w:p>
        </w:tc>
        <w:tc>
          <w:tcPr>
            <w:tcW w:w="8080" w:type="dxa"/>
            <w:vAlign w:val="bottom"/>
          </w:tcPr>
          <w:p>
            <w:pPr>
              <w:ind w:left="244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842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Offer to Repurchase upon a Change of Control Repurchase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If a Change of Control Repurchase Event occurs prior to maturity, unless we have exercised 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p>
      <w:pPr>
        <w:spacing w:after="0" w:line="200" w:lineRule="exact"/>
        <w:rPr>
          <w:sz w:val="20"/>
          <w:szCs w:val="20"/>
          <w:color w:val="auto"/>
        </w:rPr>
      </w:pPr>
    </w:p>
    <w:p>
      <w:pPr>
        <w:sectPr>
          <w:pgSz w:w="11900" w:h="16838" w:orient="portrait"/>
          <w:cols w:equalWidth="0" w:num="2">
            <w:col w:w="3660" w:space="680"/>
            <w:col w:w="6800"/>
          </w:cols>
          <w:pgMar w:left="320" w:top="459" w:right="439" w:bottom="1440" w:gutter="0" w:footer="0" w:header="0"/>
          <w:type w:val="continuous"/>
        </w:sectPr>
      </w:pPr>
    </w:p>
    <w:p>
      <w:pPr>
        <w:spacing w:after="0" w:line="3"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Defeasance</w:t>
            </w:r>
          </w:p>
        </w:tc>
        <w:tc>
          <w:tcPr>
            <w:tcW w:w="6920" w:type="dxa"/>
            <w:vAlign w:val="bottom"/>
          </w:tcPr>
          <w:p>
            <w:pPr>
              <w:ind w:left="120"/>
              <w:spacing w:after="0"/>
              <w:rPr>
                <w:sz w:val="20"/>
                <w:szCs w:val="20"/>
                <w:color w:val="auto"/>
              </w:rPr>
            </w:pPr>
            <w:r>
              <w:rPr>
                <w:rFonts w:ascii="Arial" w:cs="Arial" w:eastAsia="Arial" w:hAnsi="Arial"/>
                <w:sz w:val="18"/>
                <w:szCs w:val="18"/>
                <w:color w:val="auto"/>
              </w:rPr>
              <w:t>The Notes are subject to defeasance by us.</w:t>
            </w:r>
          </w:p>
        </w:tc>
      </w:tr>
      <w:tr>
        <w:trPr>
          <w:trHeight w:val="473"/>
        </w:trPr>
        <w:tc>
          <w:tcPr>
            <w:tcW w:w="4100" w:type="dxa"/>
            <w:vAlign w:val="bottom"/>
          </w:tcPr>
          <w:p>
            <w:pPr>
              <w:ind w:left="180"/>
              <w:spacing w:after="0"/>
              <w:rPr>
                <w:sz w:val="20"/>
                <w:szCs w:val="20"/>
                <w:color w:val="auto"/>
              </w:rPr>
            </w:pPr>
            <w:r>
              <w:rPr>
                <w:rFonts w:ascii="Arial" w:cs="Arial" w:eastAsia="Arial" w:hAnsi="Arial"/>
                <w:sz w:val="18"/>
                <w:szCs w:val="18"/>
                <w:color w:val="auto"/>
              </w:rPr>
              <w:t>Covenant defeasance</w:t>
            </w:r>
          </w:p>
        </w:tc>
        <w:tc>
          <w:tcPr>
            <w:tcW w:w="6920" w:type="dxa"/>
            <w:vAlign w:val="bottom"/>
          </w:tcPr>
          <w:p>
            <w:pPr>
              <w:ind w:left="120"/>
              <w:spacing w:after="0"/>
              <w:rPr>
                <w:sz w:val="20"/>
                <w:szCs w:val="20"/>
                <w:color w:val="auto"/>
              </w:rPr>
            </w:pPr>
            <w:r>
              <w:rPr>
                <w:rFonts w:ascii="Arial" w:cs="Arial" w:eastAsia="Arial" w:hAnsi="Arial"/>
                <w:sz w:val="18"/>
                <w:szCs w:val="18"/>
                <w:color w:val="auto"/>
              </w:rPr>
              <w:t>The Notes are subject to covenant defeasance by us.</w:t>
            </w:r>
          </w:p>
        </w:tc>
      </w:tr>
      <w:tr>
        <w:trPr>
          <w:trHeight w:val="458"/>
        </w:trPr>
        <w:tc>
          <w:tcPr>
            <w:tcW w:w="4100" w:type="dxa"/>
            <w:vAlign w:val="bottom"/>
          </w:tcPr>
          <w:p>
            <w:pPr>
              <w:ind w:left="180"/>
              <w:spacing w:after="0"/>
              <w:rPr>
                <w:sz w:val="20"/>
                <w:szCs w:val="20"/>
                <w:color w:val="auto"/>
              </w:rPr>
            </w:pPr>
            <w:r>
              <w:rPr>
                <w:rFonts w:ascii="Arial" w:cs="Arial" w:eastAsia="Arial" w:hAnsi="Arial"/>
                <w:sz w:val="18"/>
                <w:szCs w:val="18"/>
                <w:color w:val="auto"/>
              </w:rPr>
              <w:t>Form of Notes</w:t>
            </w:r>
          </w:p>
        </w:tc>
        <w:tc>
          <w:tcPr>
            <w:tcW w:w="6920" w:type="dxa"/>
            <w:vAlign w:val="bottom"/>
          </w:tcPr>
          <w:p>
            <w:pPr>
              <w:ind w:left="120"/>
              <w:spacing w:after="0"/>
              <w:rPr>
                <w:sz w:val="20"/>
                <w:szCs w:val="20"/>
                <w:color w:val="auto"/>
              </w:rPr>
            </w:pPr>
            <w:r>
              <w:rPr>
                <w:rFonts w:ascii="Arial" w:cs="Arial" w:eastAsia="Arial" w:hAnsi="Arial"/>
                <w:sz w:val="18"/>
                <w:szCs w:val="18"/>
                <w:color w:val="auto"/>
                <w:w w:val="95"/>
              </w:rPr>
              <w:t>The Notes will be represented by global securities that will be deposited and registered in</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w w:val="98"/>
              </w:rPr>
              <w:t>the name of DTC or its nominee. This means that, except in limited circumstances, you</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will not receive certificates for the Notes. Beneficial interests in the Notes will be</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represented through book-entry accounts of financial institutions acting on behalf of</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w w:val="97"/>
              </w:rPr>
              <w:t>beneficial owners as direct and indirect participants in DTC. Investors may elect to hold</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w w:val="98"/>
              </w:rPr>
              <w:t>interests in the Notes through either DTC, if they are a participant, or indirectly through</w:t>
            </w:r>
          </w:p>
        </w:tc>
      </w:tr>
      <w:tr>
        <w:trPr>
          <w:trHeight w:val="230"/>
        </w:trPr>
        <w:tc>
          <w:tcPr>
            <w:tcW w:w="410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organizations that are participants in DTC.</w:t>
            </w:r>
          </w:p>
        </w:tc>
      </w:tr>
      <w:tr>
        <w:trPr>
          <w:trHeight w:val="459"/>
        </w:trPr>
        <w:tc>
          <w:tcPr>
            <w:tcW w:w="4100" w:type="dxa"/>
            <w:vAlign w:val="bottom"/>
          </w:tcPr>
          <w:p>
            <w:pPr>
              <w:ind w:left="180"/>
              <w:spacing w:after="0"/>
              <w:rPr>
                <w:sz w:val="20"/>
                <w:szCs w:val="20"/>
                <w:color w:val="auto"/>
              </w:rPr>
            </w:pPr>
            <w:r>
              <w:rPr>
                <w:rFonts w:ascii="Arial" w:cs="Arial" w:eastAsia="Arial" w:hAnsi="Arial"/>
                <w:sz w:val="18"/>
                <w:szCs w:val="18"/>
                <w:color w:val="auto"/>
                <w:w w:val="92"/>
              </w:rPr>
              <w:t>Trustee, Paying Agent, Registrar and Transfer Agent</w:t>
            </w:r>
          </w:p>
        </w:tc>
        <w:tc>
          <w:tcPr>
            <w:tcW w:w="6920" w:type="dxa"/>
            <w:vAlign w:val="bottom"/>
          </w:tcPr>
          <w:p>
            <w:pPr>
              <w:ind w:left="120"/>
              <w:spacing w:after="0"/>
              <w:rPr>
                <w:sz w:val="20"/>
                <w:szCs w:val="20"/>
                <w:color w:val="auto"/>
              </w:rPr>
            </w:pPr>
            <w:r>
              <w:rPr>
                <w:rFonts w:ascii="Arial" w:cs="Arial" w:eastAsia="Arial" w:hAnsi="Arial"/>
                <w:sz w:val="18"/>
                <w:szCs w:val="18"/>
                <w:color w:val="auto"/>
              </w:rPr>
              <w:t>American Stock Transfer &amp; Trust Company, LLC</w:t>
            </w:r>
          </w:p>
        </w:tc>
      </w:tr>
      <w:tr>
        <w:trPr>
          <w:trHeight w:val="458"/>
        </w:trPr>
        <w:tc>
          <w:tcPr>
            <w:tcW w:w="4100" w:type="dxa"/>
            <w:vAlign w:val="bottom"/>
          </w:tcPr>
          <w:p>
            <w:pPr>
              <w:ind w:left="180"/>
              <w:spacing w:after="0"/>
              <w:rPr>
                <w:sz w:val="20"/>
                <w:szCs w:val="20"/>
                <w:color w:val="auto"/>
              </w:rPr>
            </w:pPr>
            <w:r>
              <w:rPr>
                <w:rFonts w:ascii="Arial" w:cs="Arial" w:eastAsia="Arial" w:hAnsi="Arial"/>
                <w:sz w:val="18"/>
                <w:szCs w:val="18"/>
                <w:color w:val="auto"/>
              </w:rPr>
              <w:t>Other covenants</w:t>
            </w:r>
          </w:p>
        </w:tc>
        <w:tc>
          <w:tcPr>
            <w:tcW w:w="6920" w:type="dxa"/>
            <w:vAlign w:val="bottom"/>
          </w:tcPr>
          <w:p>
            <w:pPr>
              <w:ind w:left="120"/>
              <w:spacing w:after="0"/>
              <w:rPr>
                <w:sz w:val="20"/>
                <w:szCs w:val="20"/>
                <w:color w:val="auto"/>
              </w:rPr>
            </w:pPr>
            <w:r>
              <w:rPr>
                <w:rFonts w:ascii="Arial" w:cs="Arial" w:eastAsia="Arial" w:hAnsi="Arial"/>
                <w:sz w:val="18"/>
                <w:szCs w:val="18"/>
                <w:color w:val="auto"/>
              </w:rPr>
              <w:t>In addition to the covenants described in the prospectus attached to this prospectus</w:t>
            </w:r>
          </w:p>
        </w:tc>
      </w:tr>
      <w:tr>
        <w:trPr>
          <w:trHeight w:val="230"/>
        </w:trPr>
        <w:tc>
          <w:tcPr>
            <w:tcW w:w="410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supplement, the following covenants will apply to the Notes:</w:t>
            </w:r>
          </w:p>
        </w:tc>
      </w:tr>
      <w:tr>
        <w:trPr>
          <w:trHeight w:val="323"/>
        </w:trPr>
        <w:tc>
          <w:tcPr>
            <w:tcW w:w="4100" w:type="dxa"/>
            <w:vAlign w:val="bottom"/>
          </w:tcPr>
          <w:p>
            <w:pPr>
              <w:spacing w:after="0"/>
              <w:rPr>
                <w:sz w:val="24"/>
                <w:szCs w:val="24"/>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w w:val="95"/>
              </w:rPr>
              <w:t>•   We agree that for the period of time during which the Notes are outstanding, we will</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5"/>
              </w:rPr>
              <w:t>not violate Section 18(a)(1)(A) of the 1940 Act as modified by Section 61(a)(1) and</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(2) of the 1940 Act or any successor provisions, as such obligations may be</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6"/>
              </w:rPr>
              <w:t>amended or superseded, giving effect to any exemptive relief granted to us by the</w:t>
            </w:r>
          </w:p>
        </w:tc>
      </w:tr>
      <w:tr>
        <w:trPr>
          <w:trHeight w:val="230"/>
        </w:trPr>
        <w:tc>
          <w:tcPr>
            <w:tcW w:w="4100" w:type="dxa"/>
            <w:vAlign w:val="bottom"/>
          </w:tcPr>
          <w:p>
            <w:pPr>
              <w:spacing w:after="0"/>
              <w:rPr>
                <w:sz w:val="20"/>
                <w:szCs w:val="20"/>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SEC.</w:t>
            </w:r>
          </w:p>
        </w:tc>
      </w:tr>
      <w:tr>
        <w:trPr>
          <w:trHeight w:val="323"/>
        </w:trPr>
        <w:tc>
          <w:tcPr>
            <w:tcW w:w="4100" w:type="dxa"/>
            <w:vAlign w:val="bottom"/>
          </w:tcPr>
          <w:p>
            <w:pPr>
              <w:spacing w:after="0"/>
              <w:rPr>
                <w:sz w:val="24"/>
                <w:szCs w:val="24"/>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w w:val="99"/>
              </w:rPr>
              <w:t>•   If, at any time, we are not subject to the reporting requirements of Sections 13 or</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4"/>
              </w:rPr>
              <w:t>15(d) of the Securities Exchange Act of 1934, as amended, or the Exchange Act, to</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8"/>
              </w:rPr>
              <w:t>file any periodic reports with the SEC, we agree to publish on our website and to</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6"/>
              </w:rPr>
              <w:t>furnish to holders of the Notes and the Trustee, for the period of time during which</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8"/>
              </w:rPr>
              <w:t>the Notes are outstanding, our audited annual consolidated financial statements,</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7"/>
              </w:rPr>
              <w:t>within 90 days of our fiscal year end, and unaudited interim consolidated financial</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statements, within 45 days of our fiscal quarter end (other than our fourth fiscal</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w w:val="97"/>
              </w:rPr>
              <w:t>quarter). All such financial statements will be prepared, in all material respects, in</w:t>
            </w:r>
          </w:p>
        </w:tc>
      </w:tr>
      <w:tr>
        <w:trPr>
          <w:trHeight w:val="216"/>
        </w:trPr>
        <w:tc>
          <w:tcPr>
            <w:tcW w:w="4100" w:type="dxa"/>
            <w:vAlign w:val="bottom"/>
          </w:tcPr>
          <w:p>
            <w:pPr>
              <w:spacing w:after="0"/>
              <w:rPr>
                <w:sz w:val="18"/>
                <w:szCs w:val="18"/>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accordance with applicable U. S. generally accepted accounting principles, or</w:t>
            </w:r>
          </w:p>
        </w:tc>
      </w:tr>
      <w:tr>
        <w:trPr>
          <w:trHeight w:val="230"/>
        </w:trPr>
        <w:tc>
          <w:tcPr>
            <w:tcW w:w="4100" w:type="dxa"/>
            <w:vAlign w:val="bottom"/>
          </w:tcPr>
          <w:p>
            <w:pPr>
              <w:spacing w:after="0"/>
              <w:rPr>
                <w:sz w:val="20"/>
                <w:szCs w:val="20"/>
                <w:color w:val="auto"/>
              </w:rPr>
            </w:pPr>
          </w:p>
        </w:tc>
        <w:tc>
          <w:tcPr>
            <w:tcW w:w="6920" w:type="dxa"/>
            <w:vAlign w:val="bottom"/>
          </w:tcPr>
          <w:p>
            <w:pPr>
              <w:ind w:left="620"/>
              <w:spacing w:after="0"/>
              <w:rPr>
                <w:sz w:val="20"/>
                <w:szCs w:val="20"/>
                <w:color w:val="auto"/>
              </w:rPr>
            </w:pPr>
            <w:r>
              <w:rPr>
                <w:rFonts w:ascii="Arial" w:cs="Arial" w:eastAsia="Arial" w:hAnsi="Arial"/>
                <w:sz w:val="18"/>
                <w:szCs w:val="18"/>
                <w:color w:val="auto"/>
              </w:rPr>
              <w:t>GAAP.</w:t>
            </w:r>
          </w:p>
        </w:tc>
      </w:tr>
      <w:tr>
        <w:trPr>
          <w:trHeight w:val="338"/>
        </w:trPr>
        <w:tc>
          <w:tcPr>
            <w:tcW w:w="4100" w:type="dxa"/>
            <w:vAlign w:val="bottom"/>
          </w:tcPr>
          <w:p>
            <w:pPr>
              <w:spacing w:after="0"/>
              <w:rPr>
                <w:sz w:val="24"/>
                <w:szCs w:val="24"/>
                <w:color w:val="auto"/>
              </w:rPr>
            </w:pPr>
          </w:p>
        </w:tc>
        <w:tc>
          <w:tcPr>
            <w:tcW w:w="6920" w:type="dxa"/>
            <w:vAlign w:val="bottom"/>
          </w:tcPr>
          <w:p>
            <w:pPr>
              <w:ind w:left="340"/>
              <w:spacing w:after="0"/>
              <w:rPr>
                <w:sz w:val="20"/>
                <w:szCs w:val="20"/>
                <w:color w:val="auto"/>
              </w:rPr>
            </w:pPr>
            <w:r>
              <w:rPr>
                <w:rFonts w:ascii="Arial" w:cs="Arial" w:eastAsia="Arial" w:hAnsi="Arial"/>
                <w:sz w:val="18"/>
                <w:szCs w:val="18"/>
                <w:color w:val="auto"/>
              </w:rPr>
              <w:t>•   The lien covenant included in the form of indenture will not apply to the Notes.</w:t>
            </w:r>
          </w:p>
        </w:tc>
      </w:tr>
      <w:tr>
        <w:trPr>
          <w:trHeight w:val="240"/>
        </w:trPr>
        <w:tc>
          <w:tcPr>
            <w:tcW w:w="410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tcPr>
          <w:p>
            <w:pPr>
              <w:spacing w:after="0"/>
              <w:rPr>
                <w:sz w:val="20"/>
                <w:szCs w:val="20"/>
                <w:color w:val="auto"/>
              </w:rPr>
            </w:pPr>
          </w:p>
        </w:tc>
      </w:tr>
      <w:tr>
        <w:trPr>
          <w:trHeight w:val="361"/>
        </w:trPr>
        <w:tc>
          <w:tcPr>
            <w:tcW w:w="4100" w:type="dxa"/>
            <w:vAlign w:val="bottom"/>
          </w:tcPr>
          <w:p>
            <w:pPr>
              <w:spacing w:after="0"/>
              <w:rPr>
                <w:sz w:val="24"/>
                <w:szCs w:val="24"/>
                <w:color w:val="auto"/>
              </w:rPr>
            </w:pPr>
          </w:p>
        </w:tc>
        <w:tc>
          <w:tcPr>
            <w:tcW w:w="6920" w:type="dxa"/>
            <w:vAlign w:val="bottom"/>
          </w:tcPr>
          <w:p>
            <w:pPr>
              <w:ind w:left="128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9"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56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51562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Events of Default</w:t>
            </w: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2"/>
              </w:rPr>
              <w:t>If an event of default (as described under “</w:t>
            </w:r>
            <w:r>
              <w:rPr>
                <w:rFonts w:ascii="Arial" w:cs="Arial" w:eastAsia="Arial" w:hAnsi="Arial"/>
                <w:sz w:val="18"/>
                <w:szCs w:val="18"/>
                <w:i w:val="1"/>
                <w:iCs w:val="1"/>
                <w:color w:val="auto"/>
                <w:w w:val="92"/>
              </w:rPr>
              <w:t>Description of the Notes</w:t>
            </w:r>
            <w:r>
              <w:rPr>
                <w:rFonts w:ascii="Arial" w:cs="Arial" w:eastAsia="Arial" w:hAnsi="Arial"/>
                <w:sz w:val="18"/>
                <w:szCs w:val="18"/>
                <w:color w:val="auto"/>
                <w:w w:val="92"/>
              </w:rPr>
              <w:t>”) on the Notes occurs,</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7"/>
              </w:rPr>
              <w:t>the principal amount of the Notes, plus accrued and unpaid interest, may be declared</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8"/>
              </w:rPr>
              <w:t>immediately due and payable, subject to conditions set forth in the indenture. These</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1"/>
              </w:rPr>
              <w:t>amounts automatically become due and payable in the case of certain types of bankruptcy</w:t>
            </w:r>
          </w:p>
        </w:tc>
      </w:tr>
      <w:tr>
        <w:trPr>
          <w:trHeight w:val="230"/>
        </w:trPr>
        <w:tc>
          <w:tcPr>
            <w:tcW w:w="3620" w:type="dxa"/>
            <w:vAlign w:val="bottom"/>
          </w:tcPr>
          <w:p>
            <w:pPr>
              <w:spacing w:after="0"/>
              <w:rPr>
                <w:sz w:val="20"/>
                <w:szCs w:val="20"/>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or insolvency events involving the Company.</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3620" w:type="dxa"/>
            <w:vAlign w:val="bottom"/>
          </w:tcPr>
          <w:p>
            <w:pPr>
              <w:spacing w:after="0"/>
              <w:rPr>
                <w:sz w:val="20"/>
                <w:szCs w:val="20"/>
                <w:color w:val="auto"/>
              </w:rPr>
            </w:pPr>
            <w:r>
              <w:rPr>
                <w:rFonts w:ascii="Arial" w:cs="Arial" w:eastAsia="Arial" w:hAnsi="Arial"/>
                <w:sz w:val="18"/>
                <w:szCs w:val="18"/>
                <w:color w:val="auto"/>
              </w:rPr>
              <w:t>Further Issuances</w:t>
            </w: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8"/>
              </w:rPr>
              <w:t>We have the ability to issue additional debt securities under the indenture with terms</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rPr>
              <w:t>different from the Notes and, without consent of the holders thereof, to reopen the</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7"/>
              </w:rPr>
              <w:t>indenture governing the Notes and issue additional Notes. If we issue additional debt</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89"/>
              </w:rPr>
              <w:t>securities, these additional debt securities could have a lien or other security interest greater</w:t>
            </w:r>
          </w:p>
        </w:tc>
      </w:tr>
      <w:tr>
        <w:trPr>
          <w:trHeight w:val="216"/>
        </w:trPr>
        <w:tc>
          <w:tcPr>
            <w:tcW w:w="36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w w:val="89"/>
              </w:rPr>
              <w:t>than that accorded to the holders of the Notes, which are unsecured. The $</w:t>
            </w:r>
          </w:p>
        </w:tc>
        <w:tc>
          <w:tcPr>
            <w:tcW w:w="1240" w:type="dxa"/>
            <w:vAlign w:val="bottom"/>
          </w:tcPr>
          <w:p>
            <w:pPr>
              <w:jc w:val="center"/>
              <w:spacing w:after="0"/>
              <w:rPr>
                <w:sz w:val="20"/>
                <w:szCs w:val="20"/>
                <w:color w:val="auto"/>
              </w:rPr>
            </w:pPr>
            <w:r>
              <w:rPr>
                <w:rFonts w:ascii="Arial" w:cs="Arial" w:eastAsia="Arial" w:hAnsi="Arial"/>
                <w:sz w:val="18"/>
                <w:szCs w:val="18"/>
                <w:color w:val="auto"/>
              </w:rPr>
              <w:t>million</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6"/>
              </w:rPr>
              <w:t>aggregate principal amount of Notes offered hereby will be issued as additional Notes</w:t>
            </w:r>
          </w:p>
        </w:tc>
      </w:tr>
      <w:tr>
        <w:trPr>
          <w:trHeight w:val="230"/>
        </w:trPr>
        <w:tc>
          <w:tcPr>
            <w:tcW w:w="3620" w:type="dxa"/>
            <w:vAlign w:val="bottom"/>
          </w:tcPr>
          <w:p>
            <w:pPr>
              <w:spacing w:after="0"/>
              <w:rPr>
                <w:sz w:val="20"/>
                <w:szCs w:val="20"/>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under the indenture.</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3620" w:type="dxa"/>
            <w:vAlign w:val="bottom"/>
          </w:tcPr>
          <w:p>
            <w:pPr>
              <w:spacing w:after="0"/>
              <w:rPr>
                <w:sz w:val="20"/>
                <w:szCs w:val="20"/>
                <w:color w:val="auto"/>
              </w:rPr>
            </w:pPr>
            <w:r>
              <w:rPr>
                <w:rFonts w:ascii="Arial" w:cs="Arial" w:eastAsia="Arial" w:hAnsi="Arial"/>
                <w:sz w:val="18"/>
                <w:szCs w:val="18"/>
                <w:color w:val="auto"/>
                <w:w w:val="99"/>
              </w:rPr>
              <w:t>Global Clearance and Settlement Procedures</w:t>
            </w: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4"/>
              </w:rPr>
              <w:t>Interests in the Notes will trade in DTC’s Same Day Funds Settlement System, and any</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4"/>
              </w:rPr>
              <w:t>permitted secondary market trading activity in such Notes will, therefore, be required by</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1"/>
              </w:rPr>
              <w:t>DTC to be settled in immediately available funds. None of the Company, the Trustee or the</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4"/>
              </w:rPr>
              <w:t>Paying Agent will have any responsibility for the performance by DTC or its participants</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8"/>
              </w:rPr>
              <w:t>or indirect participants of their respective obligations under the rules and procedures</w:t>
            </w:r>
          </w:p>
        </w:tc>
      </w:tr>
      <w:tr>
        <w:trPr>
          <w:trHeight w:val="230"/>
        </w:trPr>
        <w:tc>
          <w:tcPr>
            <w:tcW w:w="3620" w:type="dxa"/>
            <w:vAlign w:val="bottom"/>
          </w:tcPr>
          <w:p>
            <w:pPr>
              <w:spacing w:after="0"/>
              <w:rPr>
                <w:sz w:val="20"/>
                <w:szCs w:val="20"/>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governing their operations.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3620" w:type="dxa"/>
            <w:vAlign w:val="bottom"/>
          </w:tcPr>
          <w:p>
            <w:pPr>
              <w:spacing w:after="0"/>
              <w:rPr>
                <w:sz w:val="20"/>
                <w:szCs w:val="20"/>
                <w:color w:val="auto"/>
              </w:rPr>
            </w:pPr>
            <w:r>
              <w:rPr>
                <w:rFonts w:ascii="Arial" w:cs="Arial" w:eastAsia="Arial" w:hAnsi="Arial"/>
                <w:sz w:val="18"/>
                <w:szCs w:val="18"/>
                <w:color w:val="auto"/>
              </w:rPr>
              <w:t>Use of Proceeds</w:t>
            </w:r>
          </w:p>
        </w:tc>
        <w:tc>
          <w:tcPr>
            <w:tcW w:w="5540" w:type="dxa"/>
            <w:vAlign w:val="bottom"/>
          </w:tcPr>
          <w:p>
            <w:pPr>
              <w:ind w:left="420"/>
              <w:spacing w:after="0"/>
              <w:rPr>
                <w:sz w:val="20"/>
                <w:szCs w:val="20"/>
                <w:color w:val="auto"/>
              </w:rPr>
            </w:pPr>
            <w:r>
              <w:rPr>
                <w:rFonts w:ascii="Arial" w:cs="Arial" w:eastAsia="Arial" w:hAnsi="Arial"/>
                <w:sz w:val="18"/>
                <w:szCs w:val="18"/>
                <w:color w:val="auto"/>
                <w:w w:val="94"/>
              </w:rPr>
              <w:t>We estimate that net proceeds we will receive from the sale of the $</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w w:val="99"/>
              </w:rPr>
              <w:t>million aggregate</w:t>
            </w:r>
          </w:p>
        </w:tc>
      </w:tr>
      <w:tr>
        <w:trPr>
          <w:trHeight w:val="216"/>
        </w:trPr>
        <w:tc>
          <w:tcPr>
            <w:tcW w:w="36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w w:val="94"/>
              </w:rPr>
              <w:t>principal amount of the Notes in this offering will be approximately $</w:t>
            </w:r>
          </w:p>
        </w:tc>
        <w:tc>
          <w:tcPr>
            <w:tcW w:w="2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million based on</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rPr>
              <w:t>the public offering price of  % of the aggregate principal amount of the Notes, plus</w:t>
            </w:r>
          </w:p>
        </w:tc>
      </w:tr>
      <w:tr>
        <w:trPr>
          <w:trHeight w:val="216"/>
        </w:trPr>
        <w:tc>
          <w:tcPr>
            <w:tcW w:w="3620" w:type="dxa"/>
            <w:vAlign w:val="bottom"/>
          </w:tcPr>
          <w:p>
            <w:pPr>
              <w:spacing w:after="0"/>
              <w:rPr>
                <w:sz w:val="18"/>
                <w:szCs w:val="18"/>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6"/>
              </w:rPr>
              <w:t>accrued and unpaid interest from October 1, 2021 up to, but not including, the date of</w:t>
            </w:r>
          </w:p>
        </w:tc>
      </w:tr>
      <w:tr>
        <w:trPr>
          <w:trHeight w:val="230"/>
        </w:trPr>
        <w:tc>
          <w:tcPr>
            <w:tcW w:w="3620" w:type="dxa"/>
            <w:vAlign w:val="bottom"/>
          </w:tcPr>
          <w:p>
            <w:pPr>
              <w:spacing w:after="0"/>
              <w:rPr>
                <w:sz w:val="20"/>
                <w:szCs w:val="20"/>
                <w:color w:val="auto"/>
              </w:rPr>
            </w:pPr>
          </w:p>
        </w:tc>
        <w:tc>
          <w:tcPr>
            <w:tcW w:w="7020" w:type="dxa"/>
            <w:vAlign w:val="bottom"/>
            <w:gridSpan w:val="3"/>
          </w:tcPr>
          <w:p>
            <w:pPr>
              <w:ind w:left="420"/>
              <w:spacing w:after="0"/>
              <w:rPr>
                <w:sz w:val="20"/>
                <w:szCs w:val="20"/>
                <w:color w:val="auto"/>
              </w:rPr>
            </w:pPr>
            <w:r>
              <w:rPr>
                <w:rFonts w:ascii="Arial" w:cs="Arial" w:eastAsia="Arial" w:hAnsi="Arial"/>
                <w:sz w:val="18"/>
                <w:szCs w:val="18"/>
                <w:color w:val="auto"/>
                <w:w w:val="95"/>
              </w:rPr>
              <w:t>delivery, after deducting the underwriting discounts and commissions of approximately</w:t>
            </w:r>
          </w:p>
        </w:tc>
      </w:tr>
    </w:tbl>
    <w:p>
      <w:pPr>
        <w:ind w:left="4780" w:hanging="445"/>
        <w:spacing w:after="0"/>
        <w:tabs>
          <w:tab w:leader="none" w:pos="47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million payable by us and estimated offering expenses of approximately</w:t>
      </w:r>
    </w:p>
    <w:p>
      <w:pPr>
        <w:spacing w:after="0" w:line="9" w:lineRule="exact"/>
        <w:rPr>
          <w:sz w:val="20"/>
          <w:szCs w:val="20"/>
          <w:color w:val="auto"/>
        </w:rPr>
      </w:pPr>
    </w:p>
    <w:p>
      <w:pPr>
        <w:ind w:left="4340" w:right="300" w:hanging="5"/>
        <w:spacing w:after="0" w:line="253" w:lineRule="auto"/>
        <w:tabs>
          <w:tab w:leader="none" w:pos="479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payable by us. We expect to use the net proceeds from selling securities pursuant to this prospectus supplement to invest in new or existing portfolio companies or for other general corporate or strategic purposes, including repaying amounts outstanding under our existing indebtedness.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8380" w:type="dxa"/>
            <w:vAlign w:val="bottom"/>
          </w:tcPr>
          <w:p>
            <w:pPr>
              <w:ind w:left="158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supplement and beginning on page 7 of the</w:t>
            </w:r>
          </w:p>
        </w:tc>
      </w:tr>
      <w:tr>
        <w:trPr>
          <w:trHeight w:val="216"/>
        </w:trPr>
        <w:tc>
          <w:tcPr>
            <w:tcW w:w="2640" w:type="dxa"/>
            <w:vAlign w:val="bottom"/>
          </w:tcPr>
          <w:p>
            <w:pPr>
              <w:spacing w:after="0"/>
              <w:rPr>
                <w:sz w:val="18"/>
                <w:szCs w:val="18"/>
                <w:color w:val="auto"/>
              </w:rPr>
            </w:pPr>
          </w:p>
        </w:tc>
        <w:tc>
          <w:tcPr>
            <w:tcW w:w="8380" w:type="dxa"/>
            <w:vAlign w:val="bottom"/>
          </w:tcPr>
          <w:p>
            <w:pPr>
              <w:ind w:left="1580"/>
              <w:spacing w:after="0"/>
              <w:rPr>
                <w:sz w:val="20"/>
                <w:szCs w:val="20"/>
                <w:color w:val="auto"/>
              </w:rPr>
            </w:pPr>
            <w:r>
              <w:rPr>
                <w:rFonts w:ascii="Arial" w:cs="Arial" w:eastAsia="Arial" w:hAnsi="Arial"/>
                <w:sz w:val="18"/>
                <w:szCs w:val="18"/>
                <w:color w:val="auto"/>
                <w:w w:val="97"/>
              </w:rPr>
              <w:t>accompanying prospectus for a discussion of risks you should carefully consider before</w:t>
            </w:r>
          </w:p>
        </w:tc>
      </w:tr>
      <w:tr>
        <w:trPr>
          <w:trHeight w:val="230"/>
        </w:trPr>
        <w:tc>
          <w:tcPr>
            <w:tcW w:w="2640" w:type="dxa"/>
            <w:vAlign w:val="bottom"/>
          </w:tcPr>
          <w:p>
            <w:pPr>
              <w:spacing w:after="0"/>
              <w:rPr>
                <w:sz w:val="20"/>
                <w:szCs w:val="20"/>
                <w:color w:val="auto"/>
              </w:rPr>
            </w:pPr>
          </w:p>
        </w:tc>
        <w:tc>
          <w:tcPr>
            <w:tcW w:w="8380" w:type="dxa"/>
            <w:vAlign w:val="bottom"/>
          </w:tcPr>
          <w:p>
            <w:pPr>
              <w:ind w:left="1580"/>
              <w:spacing w:after="0"/>
              <w:rPr>
                <w:sz w:val="20"/>
                <w:szCs w:val="20"/>
                <w:color w:val="auto"/>
              </w:rPr>
            </w:pPr>
            <w:r>
              <w:rPr>
                <w:rFonts w:ascii="Arial" w:cs="Arial" w:eastAsia="Arial" w:hAnsi="Arial"/>
                <w:sz w:val="18"/>
                <w:szCs w:val="18"/>
                <w:color w:val="auto"/>
              </w:rPr>
              <w:t>deciding to invest in the Notes.</w:t>
            </w:r>
          </w:p>
        </w:tc>
      </w:tr>
      <w:tr>
        <w:trPr>
          <w:trHeight w:val="240"/>
        </w:trPr>
        <w:tc>
          <w:tcPr>
            <w:tcW w:w="2640" w:type="dxa"/>
            <w:vAlign w:val="bottom"/>
            <w:tcBorders>
              <w:bottom w:val="single" w:sz="8" w:color="auto"/>
            </w:tcBorders>
          </w:tcPr>
          <w:p>
            <w:pPr>
              <w:spacing w:after="0"/>
              <w:rPr>
                <w:sz w:val="20"/>
                <w:szCs w:val="20"/>
                <w:color w:val="auto"/>
              </w:rPr>
            </w:pPr>
          </w:p>
        </w:tc>
        <w:tc>
          <w:tcPr>
            <w:tcW w:w="8380" w:type="dxa"/>
            <w:vAlign w:val="bottom"/>
            <w:tcBorders>
              <w:bottom w:val="single" w:sz="8" w:color="auto"/>
            </w:tcBorders>
          </w:tcPr>
          <w:p>
            <w:pPr>
              <w:spacing w:after="0"/>
              <w:rPr>
                <w:sz w:val="20"/>
                <w:szCs w:val="20"/>
                <w:color w:val="auto"/>
              </w:rPr>
            </w:pPr>
          </w:p>
        </w:tc>
      </w:tr>
      <w:tr>
        <w:trPr>
          <w:trHeight w:val="361"/>
        </w:trPr>
        <w:tc>
          <w:tcPr>
            <w:tcW w:w="2640" w:type="dxa"/>
            <w:vAlign w:val="bottom"/>
          </w:tcPr>
          <w:p>
            <w:pPr>
              <w:spacing w:after="0"/>
              <w:rPr>
                <w:sz w:val="24"/>
                <w:szCs w:val="24"/>
                <w:color w:val="auto"/>
              </w:rPr>
            </w:pPr>
          </w:p>
        </w:tc>
        <w:tc>
          <w:tcPr>
            <w:tcW w:w="8380" w:type="dxa"/>
            <w:vAlign w:val="bottom"/>
          </w:tcPr>
          <w:p>
            <w:pPr>
              <w:ind w:left="274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7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i w:val="1"/>
          <w:iCs w:val="1"/>
          <w:color w:val="auto"/>
        </w:rPr>
        <w:t>In this prospectus supplement and the accompanying prospectus,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“PTSF” refers to PennantPark-TSO Senior Loan Fund, LP, an unconsolidated limited partnership; “PennantPark Investment Advisers” or “Investment Adviser” refers to PennantPark Investment Advisers, LLC; “Administrator” refers to PennantPark Investment Administration, LLC; “2023 Notes” refers to our 4.3% Series A notes due 2023; “Code” refers to the Internal Revenue Code of 1986, as amended; “RIC” refers to a regulated investment company under the Code; “BDC” refers to a business development company under the 1940 Act; “TASE” refers to the Tel Aviv Stock Exchange; “Credit Facility” refers to our former multi-currency senior secured revolving credit facility, as amended and restated from time to time, with Truist Bank (formerly SunTrust Bank) and other lenders, originally entered into on June 23, 2011 and terminated on August 12, 2021; “New Credit Facility” refers to our multi-currency senior secured revolving credit facility, as amended from time to time, with Truist Bank and other lenders, entered into on August 12, 2021;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A-1 Senior Secured Floating Rate Loans due 2031 by the Securitization Issuers in connection with the Debt Securitization. References to our portfolio, our investments, our New Credit Facility, and our business include investments we make through our subsidiaries.</w:t>
      </w: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PennantPark Floating Rate Capital Ltd. is a BDC whose objectives are to generate both current income and capital appreciation while seeking to preserve capital by investing primarily in Floating Rate Loans and other investments made to U.S. middle-market private companies whose debt is rated below investment grade.</w:t>
      </w:r>
    </w:p>
    <w:p>
      <w:pPr>
        <w:spacing w:after="0" w:line="184"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4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Under normal market conditions, we generally expect that at least 80% of the value of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We have entered into an investment management agreement, or the Investment Management Agreement, with the Investment Adviser, an external adviser that manages our day-to-day 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6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Funding I, our wholly owned subsidiary and a special purpose entity, was organized in Delaware as a limited liability company in May 2011. We formed Funding I in order to establish the Credit Facility. On August 12, 2021, we terminated the Credit Facility, and Funding I, as borrower, entered into the New Credit Facility with PennantPark Investment Advisers, as collateral manager, the lenders from time to time party thereto, Truist Bank, as administrative agent, Truist Securities, Inc., as lead arranger, and U.S. Bank National Association, as collateral agent, collateral administrator, backup collateral manager and custodian, which provides the ability for Funding I to borrow up to $300 million. The New Credit Facility is secured by all of the assets of Funding I.</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00"/>
          </w:cols>
          <w:pgMar w:left="32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formed PSSL, an unconsolidated joint venture. PSSL invests primarily in middle-market and other corporate debt securities consistent with our strategy. PSSL was formed as a Delaware limited liability company.</w:t>
      </w:r>
    </w:p>
    <w:p>
      <w:pPr>
        <w:spacing w:after="0" w:line="184"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November 2017, we issued $138.6 million of our 2023 Notes. The principal on the 2023 Notes is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w:t>
      </w:r>
    </w:p>
    <w:p>
      <w:pPr>
        <w:spacing w:after="0" w:line="17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September 2019, the Securitization Issuers completed the Debt Securitization. The 2031 Asset-Backed Debt is secured by a diversified portfolio of the Securitization Issuer consisting primarily of middle-market loans and participation interests in middle-market loans. The 2031 Asset-Backed Debt is scheduled to mature on October 15, 2031.</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March 2021, we issued $100.0 million in aggregate principal amount of our Existing Notes at a public offering price per note of 99.4%. Interest on the Existing Notes is paid semi-annually on April 1 and October 1 of each year, at a rate of 4.25% per year, commencing October 1, 2021. The Existing Notes mature on April 1, 2026 and may be redeemed in whole or in part at our option subject to a make-whole premium if redeemed more than three months prior to maturity.</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April 2021, we formed PTSF, an unconsolidated limited partnership, organized as a Delaware limited partnership. We made a capital commitment of $15.3 million and, as of June 30, 2021, hold 23.08% of the total outstanding Class A Units. We maintain a 4.99% voting interest in the general partner which manages PTSF.</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$13.1 billion in 566 companies with approximately 195 different financial sponsors through its managed funds.</w:t>
      </w:r>
    </w:p>
    <w:p>
      <w:pPr>
        <w:spacing w:after="0" w:line="18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Arial" w:cs="Arial" w:eastAsia="Arial" w:hAnsi="Arial"/>
          <w:sz w:val="18"/>
          <w:szCs w:val="18"/>
          <w:i w:val="1"/>
          <w:iCs w:val="1"/>
          <w:color w:val="auto"/>
        </w:rPr>
        <w:t>Risk Factors—Risks Relating to our Business and Structure—There</w:t>
      </w:r>
      <w:r>
        <w:rPr>
          <w:rFonts w:ascii="Arial" w:cs="Arial" w:eastAsia="Arial" w:hAnsi="Arial"/>
          <w:sz w:val="18"/>
          <w:szCs w:val="18"/>
          <w:color w:val="auto"/>
        </w:rPr>
        <w:t xml:space="preserve"> </w:t>
      </w:r>
      <w:r>
        <w:rPr>
          <w:rFonts w:ascii="Arial" w:cs="Arial" w:eastAsia="Arial" w:hAnsi="Arial"/>
          <w:sz w:val="18"/>
          <w:szCs w:val="18"/>
          <w:i w:val="1"/>
          <w:iCs w:val="1"/>
          <w:color w:val="auto"/>
        </w:rPr>
        <w:t>are significant potential conflicts of interest which could impact our investment returns</w:t>
      </w:r>
      <w:r>
        <w:rPr>
          <w:rFonts w:ascii="Arial" w:cs="Arial" w:eastAsia="Arial" w:hAnsi="Arial"/>
          <w:sz w:val="18"/>
          <w:szCs w:val="18"/>
          <w:color w:val="auto"/>
        </w:rPr>
        <w:t>” in our most recent Annual Report on Form 10-K 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Our administrative and principal executive offices are located at 590 Madison Avenue, 15th Floor, New York, NY 10022. Our common stock is quoted on the Nasdaq Global Select Market and the TASE under the symbol “PFLT.” Our 2023 Notes are listed on the TASE. Our phone number is (212)</w:t>
      </w:r>
    </w:p>
    <w:p>
      <w:pPr>
        <w:ind w:left="120"/>
        <w:spacing w:after="0" w:line="253" w:lineRule="auto"/>
        <w:rPr>
          <w:sz w:val="20"/>
          <w:szCs w:val="20"/>
          <w:color w:val="auto"/>
        </w:rPr>
      </w:pPr>
      <w:r>
        <w:rPr>
          <w:rFonts w:ascii="Arial" w:cs="Arial" w:eastAsia="Arial" w:hAnsi="Arial"/>
          <w:sz w:val="18"/>
          <w:szCs w:val="18"/>
          <w:color w:val="auto"/>
        </w:rPr>
        <w:t xml:space="preserve">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xml:space="preserve">. Except for the documents incorporated by reference into this prospectus supplement and the accompanying prospectus, the 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xml:space="preserve"> that contains reports, proxy and information statements, and other information regarding issuers that file electronically with the SEC.</w:t>
      </w:r>
    </w:p>
    <w:p>
      <w:pPr>
        <w:spacing w:after="0" w:line="1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w:t>
      </w:r>
    </w:p>
    <w:p>
      <w:pPr>
        <w:spacing w:after="0" w:line="75"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1"/>
          <w:numId w:val="4"/>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significant disruptions caused by the current COVID-19 pandemic;</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impact of the United Kingdom’s withdrawal from the European Union (commonly known as “Brexit”) and other world economic and political issues.</w:t>
      </w:r>
    </w:p>
    <w:p>
      <w:pPr>
        <w:spacing w:after="0" w:line="170"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in this prospectus supplement and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accompanying prospectus, in the documents incorporated by reference, and elsewhere in this prospectus supplement and the accompanying prospectus.</w:t>
      </w:r>
    </w:p>
    <w:p>
      <w:pPr>
        <w:spacing w:after="0" w:line="24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w:t>
      </w:r>
    </w:p>
    <w:p>
      <w:pPr>
        <w:spacing w:after="0" w:line="18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and any subsequent Quarterly Reports on Form 10-Q or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making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NAV and the trading price of or value of our Notes may decline, and you may lose all or part of your investment.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5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 xml:space="preserve">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June 30, 2021, we had $579.2 million of debt outstanding of which $217.8 million was unsecured debt of the Company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Notes offered hereby and $361.4 million was secured indebtedness of our subsidiaries, and therefore effectively senior to the Notes.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Notes are obligations exclusively of PennantPark Floating Rate Capital Ltd. and not of any of our subsidiaries. None of our subsidiaries is or acts as a guarantor of the Notes, and the Notes are not required to be guaranteed by any subsidiaries we may acquire or create in the future. Our secured indebtedness with respect to the New Credit Facility is held through Funding I, and our secured indebtedness with respect to the 2031 Asset-Backed Debt is held through the Securitization Issuer. The assets of any such subsidiaries are not directly available to satisfy the claims of our creditors, including holders of the Notes.</w:t>
      </w:r>
    </w:p>
    <w:p>
      <w:pPr>
        <w:spacing w:after="0" w:line="18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June 30, 2021, our subsidiaries had total indebtedness outstanding of $361.4 million, all of which was secured indebtedness. All of such indebtedness would be structurally senior to the Notes. In addition, our subsidiaries may incur substantial additional indebtedness in the future, all of which would be structurally senior to the Notes.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 under which the Notes will be issued contains limited protection for holders of the Notes.</w:t>
      </w:r>
    </w:p>
    <w:p>
      <w:pPr>
        <w:spacing w:after="0" w:line="121"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080" w:hanging="424"/>
        <w:spacing w:after="0" w:line="284"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w:t>
      </w:r>
    </w:p>
    <w:p>
      <w:pPr>
        <w:spacing w:after="0" w:line="2" w:lineRule="exact"/>
        <w:rPr>
          <w:rFonts w:ascii="Arial" w:cs="Arial" w:eastAsia="Arial" w:hAnsi="Arial"/>
          <w:sz w:val="16"/>
          <w:szCs w:val="16"/>
          <w:color w:val="auto"/>
        </w:rPr>
      </w:pPr>
    </w:p>
    <w:p>
      <w:pPr>
        <w:ind w:left="1080" w:right="500"/>
        <w:spacing w:after="0" w:line="260" w:lineRule="auto"/>
        <w:rPr>
          <w:rFonts w:ascii="Arial" w:cs="Arial" w:eastAsia="Arial" w:hAnsi="Arial"/>
          <w:sz w:val="16"/>
          <w:szCs w:val="16"/>
          <w:color w:val="auto"/>
        </w:rPr>
      </w:pPr>
      <w:r>
        <w:rPr>
          <w:rFonts w:ascii="Arial" w:cs="Arial" w:eastAsia="Arial" w:hAnsi="Arial"/>
          <w:sz w:val="18"/>
          <w:szCs w:val="18"/>
          <w:color w:val="auto"/>
        </w:rPr>
        <w:t>(A) of the 1940 Act as modified by Section 61(a)(1) and (2) of the 1940 Act or any successor provisions, as such obligations may be amended or superseded, giving effect to any exemptive relief granted to us by the SEC;</w:t>
      </w:r>
    </w:p>
    <w:p>
      <w:pPr>
        <w:spacing w:after="0" w:line="90"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or any other event.</w:t>
      </w:r>
    </w:p>
    <w:p>
      <w:pPr>
        <w:spacing w:after="0" w:line="22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w:t>
      </w:r>
    </w:p>
    <w:p>
      <w:pPr>
        <w:spacing w:after="0" w:line="184"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Certain of our current debt instruments include more protections for their holders than the indenture and the Notes. See “</w:t>
      </w:r>
      <w:r>
        <w:rPr>
          <w:rFonts w:ascii="Arial" w:cs="Arial" w:eastAsia="Arial" w:hAnsi="Arial"/>
          <w:sz w:val="17"/>
          <w:szCs w:val="17"/>
          <w:i w:val="1"/>
          <w:iCs w:val="1"/>
          <w:color w:val="auto"/>
        </w:rPr>
        <w:t>Risk Factors—Risks Relating to</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 and Structure</w:t>
      </w:r>
      <w:r>
        <w:rPr>
          <w:rFonts w:ascii="Arial" w:cs="Arial" w:eastAsia="Arial" w:hAnsi="Arial"/>
          <w:sz w:val="17"/>
          <w:szCs w:val="17"/>
          <w:color w:val="auto"/>
        </w:rPr>
        <w:t>” including “</w:t>
      </w:r>
      <w:r>
        <w:rPr>
          <w:rFonts w:ascii="Arial" w:cs="Arial" w:eastAsia="Arial" w:hAnsi="Arial"/>
          <w:sz w:val="17"/>
          <w:szCs w:val="17"/>
          <w:i w:val="1"/>
          <w:iCs w:val="1"/>
          <w:color w:val="auto"/>
        </w:rPr>
        <w:t>Risk Factors—Risks Relating to Our Business and Structure—We are subject to various covenants under Funding I’s Credit Facility which, if not complied with, could result in reduced availability and/or mandatory prepayments under Funding I’s Credit Facility, our 2023 Notes, and our 2031 Asset-Backed Debt</w:t>
      </w:r>
      <w:r>
        <w:rPr>
          <w:rFonts w:ascii="Arial" w:cs="Arial" w:eastAsia="Arial" w:hAnsi="Arial"/>
          <w:sz w:val="17"/>
          <w:szCs w:val="17"/>
          <w:color w:val="auto"/>
        </w:rPr>
        <w:t>” in our most recent Annual Report on Form 10-K for more information. In addition, our New</w:t>
      </w:r>
      <w:r>
        <w:rPr>
          <w:rFonts w:ascii="Arial" w:cs="Arial" w:eastAsia="Arial" w:hAnsi="Arial"/>
          <w:sz w:val="17"/>
          <w:szCs w:val="17"/>
          <w:i w:val="1"/>
          <w:iCs w:val="1"/>
          <w:color w:val="auto"/>
        </w:rPr>
        <w:t xml:space="preserve"> </w:t>
      </w:r>
      <w:r>
        <w:rPr>
          <w:rFonts w:ascii="Arial" w:cs="Arial" w:eastAsia="Arial" w:hAnsi="Arial"/>
          <w:sz w:val="17"/>
          <w:szCs w:val="17"/>
          <w:color w:val="auto"/>
        </w:rPr>
        <w:t>Credit Facility and any debt we may issue or incur in the future could contain more protections for its issuance or incurrence of any such debt with incremental protections could affect the market for and trading levels and prices of the Notes.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40"/>
        <w:spacing w:after="0" w:line="347" w:lineRule="auto"/>
        <w:rPr>
          <w:sz w:val="20"/>
          <w:szCs w:val="20"/>
          <w:color w:val="auto"/>
        </w:rPr>
      </w:pPr>
      <w:r>
        <w:rPr>
          <w:rFonts w:ascii="Arial" w:cs="Arial" w:eastAsia="Arial" w:hAnsi="Arial"/>
          <w:sz w:val="16"/>
          <w:szCs w:val="16"/>
          <w:b w:val="1"/>
          <w:b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it more difficult for us to meet our payment and other obligations under the Notes and our other outstanding debt;</w:t>
      </w:r>
    </w:p>
    <w:p>
      <w:pPr>
        <w:spacing w:after="0" w:line="130" w:lineRule="exact"/>
        <w:rPr>
          <w:rFonts w:ascii="Arial" w:cs="Arial" w:eastAsia="Arial" w:hAnsi="Arial"/>
          <w:sz w:val="18"/>
          <w:szCs w:val="18"/>
          <w:color w:val="auto"/>
        </w:rPr>
      </w:pPr>
    </w:p>
    <w:p>
      <w:pPr>
        <w:ind w:left="1080" w:right="880" w:hanging="424"/>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Notes will be redeemable in whole or in part upon certain conditions at any time, or from time to time, at our option, as described in “Description of the Notes—Optional Redemption”.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 may not be able to repurchase the Notes upon a Change of Control Repurchase Event.</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Upon the occurrence of a Change of Control Repurchase Event, as defined in the indenture that governs the Notes, subject to certain conditions, the Company will be required to offer to repurchase all outstanding Notes at 100% of their principal amount, plus accrued and unpaid interest. The source of funds for that purchase of Notes will be the Company’s available cash or cash generated from the Company’s operations or other potential sources, including borrowings, investment repayments, sales of assets or sales of equity. The Company cannot assure you that sufficient funds from such sources will be available at the time of any Change of Control Repurchase Event to make required repurchases of Notes tendered. Before making any such repurchase of Notes, the Company may have to comply with certain requirements under the Company’s then existing financing arrangements, such as the New Credit Facility and the 2023 Notes. The Company’s future debt instruments may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also contain similar restrictions and provisions. If the holders of the Notes exercise their right to require the Company to repurchase the Notes upon a Change of Control Repurchase Event, the financial effect of this repurchase could cause a default under the Company’s existing or future debt instruments, even if the Change of Control Repurchase Event itself would not cause a default. It is possible that the Company will not have sufficient funds at the time of the Change of Control Repurchase Event to make the required repurchase of the Notes or the Company’s other debt. See “Description of the Notes—Offer to Repurchase Upon a Change of Control Repurchase Event”.</w:t>
      </w:r>
    </w:p>
    <w:p>
      <w:pPr>
        <w:spacing w:after="0" w:line="280" w:lineRule="exact"/>
        <w:rPr>
          <w:sz w:val="20"/>
          <w:szCs w:val="20"/>
          <w:color w:val="auto"/>
        </w:rPr>
      </w:pPr>
    </w:p>
    <w:p>
      <w:pPr>
        <w:ind w:left="120" w:right="300"/>
        <w:spacing w:after="0" w:line="282" w:lineRule="auto"/>
        <w:rPr>
          <w:sz w:val="20"/>
          <w:szCs w:val="20"/>
          <w:color w:val="auto"/>
        </w:rPr>
      </w:pPr>
      <w:r>
        <w:rPr>
          <w:rFonts w:ascii="Arial" w:cs="Arial" w:eastAsia="Arial" w:hAnsi="Arial"/>
          <w:sz w:val="18"/>
          <w:szCs w:val="18"/>
          <w:b w:val="1"/>
          <w:bCs w:val="1"/>
          <w:color w:val="auto"/>
        </w:rPr>
        <w:t>While a trading market developed after issuing the Existing Notes, we cannot assure you that an active trading market for the Notes will be maintained.</w:t>
      </w:r>
    </w:p>
    <w:p>
      <w:pPr>
        <w:spacing w:after="0" w:line="58"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While a trading market developed after issuing the Existing Notes, we cannot assure you that an active and liquid market for the Notes will be maintained. We do not intend to list the Notes on any securities exchange or for quotation of the Notes on any automated dealer quotation system. If the Notes are traded after their initial issuance, they may trade at a discount to their public offering price depending on prevailing interest rates, the market for similar securities, our credit ratings, general economic conditions, including the impact of COVID-19, our financial condition, performance and prospects and other factors. The underwriters may discontinue any market-making in the Notes at any time at their sole discretion. In addition, any market-making activity will be subject to limits imposed by law. Accordingly, we cannot assure you that a liquid trading market will be maintained for the Notes, that you will be able to sell your Notes at a particular time or that the price you receive when you sell will be favorable. To the extent an active trading market is not maintained, the liquidity and trading price for the Notes may be harmed. Accordingly, you may be required to bear the financial risk of an investment in the Notes for an indefinite period of time</w:t>
      </w:r>
      <w:r>
        <w:rPr>
          <w:rFonts w:ascii="Arial" w:cs="Arial" w:eastAsia="Arial" w:hAnsi="Arial"/>
          <w:sz w:val="17"/>
          <w:szCs w:val="17"/>
          <w:b w:val="1"/>
          <w:bCs w:val="1"/>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default on our obligations to pay our other indebtedness, we may not be able to make payments on the Notes.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New Credit Facility, the 2023 Notes, the 2031 Asset-Backed Debt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our New Credit Facility, the 2023 Notes, the 2031 Asset-Backed Debt or other debt we may incur in the future could elect to terminate their commitments, cease making further loans and institute foreclosure proceedings against our assets, and we could be forced into bankruptcy or liquidation.</w:t>
      </w:r>
    </w:p>
    <w:p>
      <w:pPr>
        <w:spacing w:after="0" w:line="17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If our operating performance declines, we may in the future need to seek to obtain waivers from the required lenders or holders under the agreements relating to our New Credit Facility, the 2023 Notes, the 2031 Asset-Backed Debt or other debt that we may incur in the future to avoid being in default. If we breach our covenants under our New Credit Facility, the 2023 Notes, the 2031 Asset-Backed Debt or other debt and seek a waiver, we may not be able to obtain a waiver from the required lenders or holders. If this occurs, we would be in default and our lenders or holders could exercise their rights as described above, and we could be forced into bankruptcy or liquidation. If we are unable to repay debt, lenders or holders having secured obligations, including the lenders or holders under our New Credit Facility and the 2031 Asset-Backed Debt, could proceed against the collateral securing such debt. Because our New Credit Facility, the 2023 Notes and the 2031 Asset-Backed Debt have, and</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080"/>
          </w:cols>
          <w:pgMar w:left="32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any future debt will likely have, customary cross-default provisions, if the indebtedness thereunder or under any future credit facility is accelerated, we may be unable to repay or finance the amounts due.</w:t>
      </w:r>
    </w:p>
    <w:p>
      <w:pPr>
        <w:spacing w:after="0" w:line="274"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A downgrade, suspension or withdrawal of a credit rating assigned by a rating agency to us or our unsecured debt, if any, or change in the debt markets could cause the liquidity or market value of the Notes to decline significantly.</w:t>
      </w:r>
    </w:p>
    <w:p>
      <w:pPr>
        <w:spacing w:after="0" w:line="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3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40" w:type="dxa"/>
            <w:vAlign w:val="bottom"/>
          </w:tcPr>
          <w:p>
            <w:pPr>
              <w:spacing w:after="0"/>
              <w:rPr>
                <w:sz w:val="17"/>
                <w:szCs w:val="17"/>
                <w:color w:val="auto"/>
              </w:rPr>
            </w:pPr>
          </w:p>
        </w:tc>
      </w:tr>
      <w:tr>
        <w:trPr>
          <w:trHeight w:val="534"/>
        </w:trPr>
        <w:tc>
          <w:tcPr>
            <w:tcW w:w="1360" w:type="dxa"/>
            <w:vAlign w:val="bottom"/>
          </w:tcPr>
          <w:p>
            <w:pPr>
              <w:spacing w:after="0"/>
              <w:rPr>
                <w:sz w:val="24"/>
                <w:szCs w:val="24"/>
                <w:color w:val="auto"/>
              </w:rPr>
            </w:pPr>
          </w:p>
        </w:tc>
        <w:tc>
          <w:tcPr>
            <w:tcW w:w="9500" w:type="dxa"/>
            <w:vAlign w:val="bottom"/>
            <w:gridSpan w:val="3"/>
          </w:tcPr>
          <w:p>
            <w:pPr>
              <w:ind w:left="3420"/>
              <w:spacing w:after="0"/>
              <w:rPr>
                <w:sz w:val="20"/>
                <w:szCs w:val="20"/>
                <w:color w:val="auto"/>
              </w:rPr>
            </w:pPr>
            <w:r>
              <w:rPr>
                <w:rFonts w:ascii="Arial" w:cs="Arial" w:eastAsia="Arial" w:hAnsi="Arial"/>
                <w:sz w:val="18"/>
                <w:szCs w:val="18"/>
                <w:b w:val="1"/>
                <w:bCs w:val="1"/>
                <w:color w:val="auto"/>
              </w:rPr>
              <w:t>USE OF PROCEEDS</w:t>
            </w:r>
          </w:p>
        </w:tc>
      </w:tr>
      <w:tr>
        <w:trPr>
          <w:trHeight w:val="418"/>
        </w:trPr>
        <w:tc>
          <w:tcPr>
            <w:tcW w:w="5420" w:type="dxa"/>
            <w:vAlign w:val="bottom"/>
            <w:gridSpan w:val="3"/>
          </w:tcPr>
          <w:p>
            <w:pPr>
              <w:ind w:left="120"/>
              <w:spacing w:after="0"/>
              <w:rPr>
                <w:sz w:val="20"/>
                <w:szCs w:val="20"/>
                <w:color w:val="auto"/>
              </w:rPr>
            </w:pPr>
            <w:r>
              <w:rPr>
                <w:rFonts w:ascii="Arial" w:cs="Arial" w:eastAsia="Arial" w:hAnsi="Arial"/>
                <w:sz w:val="18"/>
                <w:szCs w:val="18"/>
                <w:color w:val="auto"/>
                <w:w w:val="92"/>
              </w:rPr>
              <w:t>We estimate that the net proceeds we will receive from the sale of the $</w:t>
            </w:r>
          </w:p>
        </w:tc>
        <w:tc>
          <w:tcPr>
            <w:tcW w:w="5440" w:type="dxa"/>
            <w:vAlign w:val="bottom"/>
          </w:tcPr>
          <w:p>
            <w:pPr>
              <w:ind w:left="180"/>
              <w:spacing w:after="0"/>
              <w:rPr>
                <w:sz w:val="20"/>
                <w:szCs w:val="20"/>
                <w:color w:val="auto"/>
              </w:rPr>
            </w:pPr>
            <w:r>
              <w:rPr>
                <w:rFonts w:ascii="Arial" w:cs="Arial" w:eastAsia="Arial" w:hAnsi="Arial"/>
                <w:sz w:val="18"/>
                <w:szCs w:val="18"/>
                <w:color w:val="auto"/>
                <w:w w:val="95"/>
              </w:rPr>
              <w:t>million aggregate principal amount of the Notes in this offering will be</w:t>
            </w:r>
          </w:p>
        </w:tc>
      </w:tr>
      <w:tr>
        <w:trPr>
          <w:trHeight w:val="230"/>
        </w:trPr>
        <w:tc>
          <w:tcPr>
            <w:tcW w:w="1360" w:type="dxa"/>
            <w:vAlign w:val="bottom"/>
          </w:tcPr>
          <w:p>
            <w:pPr>
              <w:ind w:left="120"/>
              <w:spacing w:after="0"/>
              <w:rPr>
                <w:sz w:val="20"/>
                <w:szCs w:val="20"/>
                <w:color w:val="auto"/>
              </w:rPr>
            </w:pPr>
            <w:r>
              <w:rPr>
                <w:rFonts w:ascii="Arial" w:cs="Arial" w:eastAsia="Arial" w:hAnsi="Arial"/>
                <w:sz w:val="18"/>
                <w:szCs w:val="18"/>
                <w:color w:val="auto"/>
                <w:w w:val="95"/>
              </w:rPr>
              <w:t>approximately $</w:t>
            </w:r>
          </w:p>
        </w:tc>
        <w:tc>
          <w:tcPr>
            <w:tcW w:w="3700" w:type="dxa"/>
            <w:vAlign w:val="bottom"/>
          </w:tcPr>
          <w:p>
            <w:pPr>
              <w:ind w:left="300"/>
              <w:spacing w:after="0"/>
              <w:rPr>
                <w:sz w:val="20"/>
                <w:szCs w:val="20"/>
                <w:color w:val="auto"/>
              </w:rPr>
            </w:pPr>
            <w:r>
              <w:rPr>
                <w:rFonts w:ascii="Arial" w:cs="Arial" w:eastAsia="Arial" w:hAnsi="Arial"/>
                <w:sz w:val="18"/>
                <w:szCs w:val="18"/>
                <w:color w:val="auto"/>
                <w:w w:val="97"/>
              </w:rPr>
              <w:t>million, based on the public offering price of</w:t>
            </w: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w w:val="89"/>
              </w:rPr>
              <w:t>% of the aggregate principal amount of the Notes offered hereby, plus accrued</w:t>
            </w:r>
          </w:p>
        </w:tc>
      </w:tr>
    </w:tbl>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unpaid interest from October 1, 2021 up to, but not including, the date of delivery, after deducting the underwriting discounts and commissions of</w:t>
      </w:r>
    </w:p>
    <w:p>
      <w:pPr>
        <w:spacing w:after="0" w:line="32" w:lineRule="exact"/>
        <w:rPr>
          <w:sz w:val="20"/>
          <w:szCs w:val="20"/>
          <w:color w:val="auto"/>
        </w:rPr>
      </w:pPr>
    </w:p>
    <w:p>
      <w:pPr>
        <w:ind w:left="120"/>
        <w:spacing w:after="0"/>
        <w:tabs>
          <w:tab w:leader="none" w:pos="1640" w:val="left"/>
          <w:tab w:leader="none" w:pos="73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million payable by us and estimated offering expenses of approximately $</w:t>
      </w:r>
      <w:r>
        <w:rPr>
          <w:sz w:val="20"/>
          <w:szCs w:val="20"/>
          <w:color w:val="auto"/>
        </w:rPr>
        <w:tab/>
      </w:r>
      <w:r>
        <w:rPr>
          <w:rFonts w:ascii="Arial" w:cs="Arial" w:eastAsia="Arial" w:hAnsi="Arial"/>
          <w:sz w:val="16"/>
          <w:szCs w:val="16"/>
          <w:color w:val="auto"/>
        </w:rPr>
        <w:t>payable by us.</w:t>
      </w:r>
    </w:p>
    <w:p>
      <w:pPr>
        <w:spacing w:after="0" w:line="211"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We expect to use the net proceeds from selling securities pursuant to this prospectus supplement to invest in new or existing portfolio companies or for other general corporate or strategic purposes, including repaying amounts outstanding under our existing indebtedness. Affiliates of certain of the underwriters serve as lenders under our New Credit Facility. Accordingly, affiliates of certain of the underwriters are expected to receive proceeds from this offering if we use proceeds from this offering to reduce our outstanding obligations under our New Credit Facility.</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June 30, 2021, we had $133.4 million in borrowings outstanding under our Credit Facility, $117.8 million outstanding under our 2023 Notes,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$100.0 million outstanding under our Existing Notes and $228.0 million outstanding under the 2031 Asset-Backed Debt. On August 12, 2021, we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terminated the Credit Facility, and Funding I entered into the New Credit Facility, which provides the ability for Funding I to borrow up to $300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may use proceeds of this offering, if any, to repay outstanding obligations under our existing financing arrangements or other indebtedness. After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completing this offering, we may continue to borrow under our existing financing arrangements to finance our investment objectives. See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in our most recent Quarterly Report on Form 10-Q for more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information.</w:t>
      </w:r>
    </w:p>
    <w:p>
      <w:pPr>
        <w:spacing w:after="0" w:line="21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Arial" w:cs="Arial" w:eastAsia="Arial" w:hAnsi="Arial"/>
          <w:sz w:val="17"/>
          <w:szCs w:val="17"/>
          <w:i w:val="1"/>
          <w:iCs w:val="1"/>
          <w:color w:val="auto"/>
        </w:rPr>
        <w:t>Business—Regulation—Temporary</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Investments</w:t>
      </w:r>
      <w:r>
        <w:rPr>
          <w:rFonts w:ascii="Arial" w:cs="Arial" w:eastAsia="Arial" w:hAnsi="Arial"/>
          <w:sz w:val="17"/>
          <w:szCs w:val="17"/>
          <w:color w:val="auto"/>
        </w:rPr>
        <w:t>” in our most recently filed Annual Report on Form 10- K for more information.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4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our cash and capitalization on June 30, 2021 (1) on an actual basis and (2) on an as-adjusted basis to reflect the effects of</w:t>
      </w:r>
    </w:p>
    <w:p>
      <w:pPr>
        <w:spacing w:after="0" w:line="46"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the sale of $ million aggregate principal amount of Notes in this offering based on the public offering price of % of the aggregate principal amount of the Notes offered hereby, plus accrued and unpaid interest from October 1, 2021 up to, but not including, the date of delivery, after deducting</w:t>
      </w:r>
    </w:p>
    <w:p>
      <w:pPr>
        <w:ind w:left="120"/>
        <w:spacing w:after="0" w:line="252" w:lineRule="auto"/>
        <w:rPr>
          <w:sz w:val="20"/>
          <w:szCs w:val="20"/>
          <w:color w:val="auto"/>
        </w:rPr>
      </w:pPr>
      <w:r>
        <w:rPr>
          <w:rFonts w:ascii="Arial" w:cs="Arial" w:eastAsia="Arial" w:hAnsi="Arial"/>
          <w:sz w:val="18"/>
          <w:szCs w:val="18"/>
          <w:color w:val="auto"/>
        </w:rPr>
        <w:t>the underwriting discounts and commissions of $ million payable by us and estimated offering expenses of approximately $ payable by us. The as-adjusted information is illustrative only; our capitalization following the completion of this offering is subject to further adjustments, such as the potential repayment of certain amounts of our current indebtedness.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our most recent Quarterly Report on Form 10-Q for more information.</w:t>
      </w:r>
    </w:p>
    <w:p>
      <w:pPr>
        <w:spacing w:after="0" w:line="20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ind w:left="440"/>
              <w:spacing w:after="0"/>
              <w:rPr>
                <w:sz w:val="20"/>
                <w:szCs w:val="20"/>
                <w:color w:val="auto"/>
              </w:rPr>
            </w:pPr>
            <w:r>
              <w:rPr>
                <w:rFonts w:ascii="Arial" w:cs="Arial" w:eastAsia="Arial" w:hAnsi="Arial"/>
                <w:sz w:val="14"/>
                <w:szCs w:val="14"/>
                <w:b w:val="1"/>
                <w:bCs w:val="1"/>
                <w:color w:val="auto"/>
              </w:rPr>
              <w:t>As of June 30, 2021</w:t>
            </w:r>
          </w:p>
        </w:tc>
      </w:tr>
      <w:tr>
        <w:trPr>
          <w:trHeight w:val="171"/>
        </w:trPr>
        <w:tc>
          <w:tcPr>
            <w:tcW w:w="408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(unaudited)</w:t>
            </w: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08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820"/>
              <w:spacing w:after="0" w:line="142" w:lineRule="exact"/>
              <w:rPr>
                <w:sz w:val="20"/>
                <w:szCs w:val="20"/>
                <w:color w:val="auto"/>
              </w:rPr>
            </w:pPr>
            <w:r>
              <w:rPr>
                <w:rFonts w:ascii="Arial" w:cs="Arial" w:eastAsia="Arial" w:hAnsi="Arial"/>
                <w:sz w:val="14"/>
                <w:szCs w:val="14"/>
                <w:b w:val="1"/>
                <w:bCs w:val="1"/>
                <w:color w:val="auto"/>
              </w:rPr>
              <w:t>Actual</w:t>
            </w:r>
          </w:p>
        </w:tc>
        <w:tc>
          <w:tcPr>
            <w:tcW w:w="740" w:type="dxa"/>
            <w:vAlign w:val="bottom"/>
          </w:tcPr>
          <w:p>
            <w:pPr>
              <w:spacing w:after="0" w:line="142" w:lineRule="exact"/>
              <w:rPr>
                <w:sz w:val="20"/>
                <w:szCs w:val="20"/>
                <w:color w:val="auto"/>
              </w:rPr>
            </w:pPr>
            <w:r>
              <w:rPr>
                <w:rFonts w:ascii="Arial" w:cs="Arial" w:eastAsia="Arial" w:hAnsi="Arial"/>
                <w:sz w:val="14"/>
                <w:szCs w:val="14"/>
                <w:b w:val="1"/>
                <w:bCs w:val="1"/>
                <w:color w:val="auto"/>
                <w:w w:val="90"/>
              </w:rPr>
              <w:t>As adjusted</w:t>
            </w:r>
          </w:p>
        </w:tc>
        <w:tc>
          <w:tcPr>
            <w:tcW w:w="60" w:type="dxa"/>
            <w:vAlign w:val="bottom"/>
          </w:tcPr>
          <w:p>
            <w:pPr>
              <w:spacing w:after="0"/>
              <w:rPr>
                <w:sz w:val="12"/>
                <w:szCs w:val="12"/>
                <w:color w:val="auto"/>
              </w:rPr>
            </w:pP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Cash and cash equivalents (cost—$48,702,743 and $</w:t>
            </w:r>
          </w:p>
        </w:tc>
        <w:tc>
          <w:tcPr>
            <w:tcW w:w="37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 respectively)</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48,702,743</w:t>
            </w: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 payable, at fair value (cost—$133,400,000)</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7"/>
              </w:rPr>
              <w:t>133,066,500</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w w:val="93"/>
              </w:rPr>
              <w:t>2023 Notes payable, at fair value (par—$117,792,879)</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110,607,514</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Existing Notes payable, net (par—$100,000,000)</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97,013,575</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2031 Asset-Backed Debt, net (par—$228,000,000)</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225,339,466</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Notes (par—$ )</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b w:val="1"/>
                <w:bCs w:val="1"/>
                <w:color w:val="auto"/>
              </w:rPr>
              <w:t>Net Asset Value</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7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stock, 38,772,074 shares issued and outstanding, par value $0.001 per share,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100,000,000 shares authorized</w:t>
            </w:r>
          </w:p>
        </w:tc>
        <w:tc>
          <w:tcPr>
            <w:tcW w:w="3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38,772</w:t>
            </w: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w w:val="87"/>
              </w:rPr>
              <w:t>538,151,527</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Accumulated distributable net loss</w:t>
            </w:r>
          </w:p>
        </w:tc>
        <w:tc>
          <w:tcPr>
            <w:tcW w:w="3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2"/>
              </w:rPr>
              <w:t>(41,558,619)</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4080" w:type="dxa"/>
            <w:vAlign w:val="bottom"/>
          </w:tcPr>
          <w:p>
            <w:pPr>
              <w:spacing w:after="0"/>
              <w:rPr>
                <w:sz w:val="20"/>
                <w:szCs w:val="20"/>
                <w:color w:val="auto"/>
              </w:rPr>
            </w:pPr>
            <w:r>
              <w:rPr>
                <w:rFonts w:ascii="Arial" w:cs="Arial" w:eastAsia="Arial" w:hAnsi="Arial"/>
                <w:sz w:val="18"/>
                <w:szCs w:val="18"/>
                <w:color w:val="auto"/>
              </w:rPr>
              <w:t>Total net assets</w:t>
            </w:r>
          </w:p>
        </w:tc>
        <w:tc>
          <w:tcPr>
            <w:tcW w:w="37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496,631,680</w:t>
            </w:r>
          </w:p>
        </w:tc>
        <w:tc>
          <w:tcPr>
            <w:tcW w:w="5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ind w:left="660" w:right="320" w:hanging="544"/>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August 12, 2021, we terminated the Credit Facility, and Funding I entered into the New Credit Facility, which provides the ability for Funding I to borrow up to $300 million. As of September 30, 2021, we had $219.4 million of borrowings outstanding under our New Credit Facility.</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60"/>
          </w:cols>
          <w:pgMar w:left="32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i w:val="1"/>
          <w:iCs w:val="1"/>
          <w:color w:val="auto"/>
        </w:rPr>
        <w:t>We will issue the Notes under that certain base indenture, or the base indenture, as supplemented by the first supplemental indenture, or the supplemental indenture, each dated as of March 23, 2021.</w:t>
      </w:r>
    </w:p>
    <w:p>
      <w:pPr>
        <w:spacing w:after="0" w:line="170"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i w:val="1"/>
          <w:iCs w:val="1"/>
          <w:color w:val="auto"/>
        </w:rPr>
        <w:t>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as amended, or the TIA. The Notes offered hereby will be treated as a single series with the Existing Notes under the indenture and will have the same terms as the Existing Notes. The Notes offered hereby will have the same CUSIP number and will be fungible and rank equally with the Existing Notes. Upon the</w:t>
      </w:r>
    </w:p>
    <w:p>
      <w:pPr>
        <w:spacing w:after="0" w:line="1" w:lineRule="exact"/>
        <w:rPr>
          <w:sz w:val="20"/>
          <w:szCs w:val="20"/>
          <w:color w:val="auto"/>
        </w:rPr>
      </w:pPr>
    </w:p>
    <w:p>
      <w:pPr>
        <w:jc w:val="both"/>
        <w:ind w:left="120" w:right="160"/>
        <w:spacing w:after="0" w:line="277" w:lineRule="auto"/>
        <w:rPr>
          <w:sz w:val="20"/>
          <w:szCs w:val="20"/>
          <w:color w:val="auto"/>
        </w:rPr>
      </w:pPr>
      <w:r>
        <w:rPr>
          <w:rFonts w:ascii="Arial" w:cs="Arial" w:eastAsia="Arial" w:hAnsi="Arial"/>
          <w:sz w:val="17"/>
          <w:szCs w:val="17"/>
          <w:i w:val="1"/>
          <w:iCs w:val="1"/>
          <w:color w:val="auto"/>
        </w:rPr>
        <w:t>issuance of the Notes offered hereby, the outstanding aggregate principal amount of our 4.25% notes due 2026 will be $ . We refer to the “Notes” and the “Existing Notes” separately within this prospectus supplement because only the Notes are being offered hereby, but any general discussion of the terms of the Notes also would apply to the Existing Notes because they are treated as the same under the indenture.</w:t>
      </w:r>
    </w:p>
    <w:p>
      <w:pPr>
        <w:spacing w:after="0" w:line="173"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i w:val="1"/>
          <w:iCs w:val="1"/>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i w:val="1"/>
          <w:iCs w:val="1"/>
          <w:color w:val="auto"/>
        </w:rPr>
        <w:t>For purposes of this description, references to the “Company,” “we,” “our” or “us” refer only to PennantPark Floating Rate Capital Ltd., and not to any of its current or future subsidiaries and references to “subsidiaries” refer only to the Company’s consolidated subsidiaries and exclude any investments held by the Company in the ordinary course of business which are not, under GAAP, consolidated on the financial statements of the Company and its subsidiaries.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offered hereby:</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will be the Company’s direct, general unsecured, senior obligations;</w:t>
      </w:r>
    </w:p>
    <w:p>
      <w:pPr>
        <w:spacing w:after="0" w:line="131" w:lineRule="exact"/>
        <w:rPr>
          <w:sz w:val="20"/>
          <w:szCs w:val="20"/>
          <w:color w:val="auto"/>
        </w:rPr>
      </w:pPr>
    </w:p>
    <w:p>
      <w:pPr>
        <w:ind w:left="660"/>
        <w:spacing w:after="0"/>
        <w:tabs>
          <w:tab w:leader="none" w:pos="1060" w:val="left"/>
          <w:tab w:leader="none" w:pos="5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will initially be issued in an aggregate principal amount of $</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mature on April 1, 2026, unless earlier redeemed or repurchased, as discussed below;</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bear interest from October 1, 2021 at an annual rate of 4.25% payable semi-annually on April 1 and October 1 of each year, beginning on April 1, 2022;</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subject to redemption at the Company’s option as described under “</w:t>
      </w:r>
      <w:r>
        <w:rPr>
          <w:rFonts w:ascii="Arial" w:cs="Arial" w:eastAsia="Arial" w:hAnsi="Arial"/>
          <w:sz w:val="18"/>
          <w:szCs w:val="18"/>
          <w:i w:val="1"/>
          <w:iCs w:val="1"/>
          <w:color w:val="auto"/>
        </w:rPr>
        <w:t>—</w:t>
      </w:r>
      <w:r>
        <w:rPr>
          <w:rFonts w:ascii="Arial" w:cs="Arial" w:eastAsia="Arial" w:hAnsi="Arial"/>
          <w:sz w:val="18"/>
          <w:szCs w:val="18"/>
          <w:color w:val="auto"/>
        </w:rPr>
        <w:t>Optional Redemption”;</w:t>
      </w:r>
    </w:p>
    <w:p>
      <w:pPr>
        <w:spacing w:after="0" w:line="130"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will be subject to repurchase by the Company at the option of the holders following a Change of Control Repurchase Event (as defined below under “</w:t>
      </w:r>
      <w:r>
        <w:rPr>
          <w:rFonts w:ascii="Arial" w:cs="Arial" w:eastAsia="Arial" w:hAnsi="Arial"/>
          <w:sz w:val="17"/>
          <w:szCs w:val="17"/>
          <w:i w:val="1"/>
          <w:iCs w:val="1"/>
          <w:color w:val="auto"/>
        </w:rPr>
        <w:t>—</w:t>
      </w:r>
      <w:r>
        <w:rPr>
          <w:rFonts w:ascii="Arial" w:cs="Arial" w:eastAsia="Arial" w:hAnsi="Arial"/>
          <w:sz w:val="17"/>
          <w:szCs w:val="17"/>
          <w:color w:val="auto"/>
        </w:rPr>
        <w:t xml:space="preserve">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w:t>
      </w:r>
      <w:r>
        <w:rPr>
          <w:rFonts w:ascii="Arial" w:cs="Arial" w:eastAsia="Arial" w:hAnsi="Arial"/>
          <w:sz w:val="18"/>
          <w:szCs w:val="18"/>
          <w:i w:val="1"/>
          <w:iCs w:val="1"/>
          <w:color w:val="auto"/>
        </w:rPr>
        <w:t>—</w:t>
      </w:r>
      <w:r>
        <w:rPr>
          <w:rFonts w:ascii="Arial" w:cs="Arial" w:eastAsia="Arial" w:hAnsi="Arial"/>
          <w:sz w:val="18"/>
          <w:szCs w:val="18"/>
          <w:color w:val="auto"/>
        </w:rPr>
        <w:t>Book-Entry, Settlement and Clearance”.</w:t>
      </w:r>
    </w:p>
    <w:p>
      <w:pPr>
        <w:spacing w:after="0" w:line="170"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The indenture does not limit the amount of debt that may be issued by the Company or its subsidiaries under the indenture or otherwise. The indenture does not contain any financial covenants and does not restrict us from paying dividends or issuing or repurchasing its other securities. Other than restrictions described under “</w:t>
      </w:r>
      <w:r>
        <w:rPr>
          <w:rFonts w:ascii="Arial" w:cs="Arial" w:eastAsia="Arial" w:hAnsi="Arial"/>
          <w:sz w:val="16"/>
          <w:szCs w:val="16"/>
          <w:i w:val="1"/>
          <w:iCs w:val="1"/>
          <w:color w:val="auto"/>
        </w:rPr>
        <w:t>—</w:t>
      </w:r>
      <w:r>
        <w:rPr>
          <w:rFonts w:ascii="Arial" w:cs="Arial" w:eastAsia="Arial" w:hAnsi="Arial"/>
          <w:sz w:val="16"/>
          <w:szCs w:val="16"/>
          <w:color w:val="auto"/>
        </w:rPr>
        <w:t>Offer to Repurchase Upon a Change of Control Repurchase Event” and “</w:t>
      </w:r>
      <w:r>
        <w:rPr>
          <w:rFonts w:ascii="Arial" w:cs="Arial" w:eastAsia="Arial" w:hAnsi="Arial"/>
          <w:sz w:val="16"/>
          <w:szCs w:val="16"/>
          <w:i w:val="1"/>
          <w:iCs w:val="1"/>
          <w:color w:val="auto"/>
        </w:rPr>
        <w:t>—</w:t>
      </w:r>
      <w:r>
        <w:rPr>
          <w:rFonts w:ascii="Arial" w:cs="Arial" w:eastAsia="Arial" w:hAnsi="Arial"/>
          <w:sz w:val="16"/>
          <w:szCs w:val="16"/>
          <w:color w:val="auto"/>
        </w:rPr>
        <w:t>Merger, Consolidation or Sale of Assets”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below, the indenture does not contain any covenants or other provisions designed to afford holders of the Notes protection in the event of a highly leveraged transaction involving the Company or in the event of a decline in our credit rating as the result of a takeover, recapitalization, highly leveraged transaction or similar restructuring involving the Company that could adversely affect such holders. We may, without the consent of the holders, issue additional Notes under the indenture with the same terms (except that the first payment date and the date from which interest may accrue may be different)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must be part of the same issue as the Notes offered hereby for</w:t>
      </w:r>
    </w:p>
    <w:p>
      <w:pPr>
        <w:spacing w:after="0" w:line="2"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U.S. federal income tax purposes if represented by the same CUSIP number as the Notes offered hereby. The $ million aggregate principal amount of Notes offered hereby will be issued as additional Notes under the indenture.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We will pay the principal of, and interest on, Notes in global form registered in the name of or held by DTC or its nominee in immediately available funds to DTC or its nominee, as the case may be, as the registered holder of such Global Note (as defined below).</w:t>
      </w:r>
    </w:p>
    <w:p>
      <w:pPr>
        <w:spacing w:after="0" w:line="146"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provided, however, that, in the case of Notes that are not in global form, at our option, payment of interest may be made by check mailed to the address of the person entitled thereto as such address shall appear in the security register.</w:t>
      </w:r>
    </w:p>
    <w:p>
      <w:pPr>
        <w:spacing w:after="0" w:line="17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7"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The transferor shall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registered holder of the Notes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Notes will bear cash interest at a rate of 4.25% per year until maturity. Interest on the Notes offered hereby will accrue from October 1, 2021 up to, but not including, the date of delivery, which will be paid by the purchasers of the Notes offered hereby, or the Aggregate Accrued Interest. On April 1, 2022, we will pay the Aggregate Accrued Interest to the holders of the Notes offered hereby as of the applicable record date along with interest accrued on the Notes offered hereby from the date of delivery to such interest payment date. Interest will be payable semiannually in arrears on April 1 and October 1 of each year, beginning on April 1, 2022 with respect to the Notes offered hereby.</w:t>
      </w:r>
    </w:p>
    <w:p>
      <w:pPr>
        <w:spacing w:after="0" w:line="1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Interest will be paid to the person in whose name the Notes is registered at 5:00 p.m. New York City time (the “close of business”) on or (whether or not a business day), as the case may be, immediately preceding the relevant interest payment date. Interest on the Notes will be computed on the basis of a 360-day year composed of twelve 30-day months.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offered hereby will be the Company’s direct, general unsecured obligations that will rank:</w:t>
      </w:r>
    </w:p>
    <w:p>
      <w:pPr>
        <w:spacing w:after="0" w:line="131"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any existing and future unsecured unsubordinated indebtedness, including approximately</w:t>
      </w:r>
    </w:p>
    <w:p>
      <w:pPr>
        <w:spacing w:after="0" w:line="23" w:lineRule="exact"/>
        <w:rPr>
          <w:rFonts w:ascii="Arial" w:cs="Arial" w:eastAsia="Arial" w:hAnsi="Arial"/>
          <w:sz w:val="18"/>
          <w:szCs w:val="18"/>
          <w:color w:val="auto"/>
        </w:rPr>
      </w:pPr>
    </w:p>
    <w:p>
      <w:pPr>
        <w:ind w:left="1080" w:right="240"/>
        <w:spacing w:after="0" w:line="260" w:lineRule="auto"/>
        <w:rPr>
          <w:rFonts w:ascii="Arial" w:cs="Arial" w:eastAsia="Arial" w:hAnsi="Arial"/>
          <w:sz w:val="18"/>
          <w:szCs w:val="18"/>
          <w:color w:val="auto"/>
        </w:rPr>
      </w:pPr>
      <w:r>
        <w:rPr>
          <w:rFonts w:ascii="Arial" w:cs="Arial" w:eastAsia="Arial" w:hAnsi="Arial"/>
          <w:sz w:val="18"/>
          <w:szCs w:val="18"/>
          <w:color w:val="auto"/>
        </w:rPr>
        <w:t>$117.8 million aggregate principal outstanding under our 2023 Notes and approximately $100.0 million aggregate principal outstanding under our Existing Notes, each as of June 30, 2021;</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states it is subordinated in right of payment to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senior to any series of preferred stock that we may issue in the future;</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and</w:t>
      </w:r>
    </w:p>
    <w:p>
      <w:pPr>
        <w:spacing w:after="0" w:line="29" w:lineRule="exact"/>
        <w:rPr>
          <w:rFonts w:ascii="Arial" w:cs="Arial" w:eastAsia="Arial" w:hAnsi="Arial"/>
          <w:sz w:val="16"/>
          <w:szCs w:val="16"/>
          <w:color w:val="auto"/>
        </w:rPr>
      </w:pPr>
    </w:p>
    <w:p>
      <w:pPr>
        <w:ind w:left="1080" w:right="220" w:hanging="424"/>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obligations of any of our subsidiaries, financing vehicles or similar facilities, including without limitation, (i) borrowings outstanding under our New Credit Facility, to the extent of the value of the assets securing our New Credit Facility and (ii) approximately $228.0 million outstanding under our 2031 Asset-Backed Debt as of June 30, 2021.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June 30, 2021, we had $579.2 million of debt outstanding, of which $217.8 million was unsecured and unsubordinated indebtedness and</w:t>
      </w:r>
    </w:p>
    <w:p>
      <w:pPr>
        <w:spacing w:after="0" w:line="35" w:lineRule="exact"/>
        <w:rPr>
          <w:sz w:val="20"/>
          <w:szCs w:val="20"/>
          <w:color w:val="auto"/>
        </w:rPr>
      </w:pPr>
    </w:p>
    <w:p>
      <w:pPr>
        <w:ind w:left="120" w:right="280"/>
        <w:spacing w:after="0" w:line="281" w:lineRule="auto"/>
        <w:rPr>
          <w:sz w:val="20"/>
          <w:szCs w:val="20"/>
          <w:color w:val="auto"/>
        </w:rPr>
      </w:pPr>
      <w:r>
        <w:rPr>
          <w:rFonts w:ascii="Arial" w:cs="Arial" w:eastAsia="Arial" w:hAnsi="Arial"/>
          <w:sz w:val="16"/>
          <w:szCs w:val="16"/>
          <w:color w:val="auto"/>
        </w:rPr>
        <w:t>$361.4 million was secured indebtedness. On August 12, 2021, we terminated the Credit Facility, and Funding I entered into the New Credit Facility, which provides the ability for Funding I to borrow up to $300 million. After giving effect to the issuance of the Notes, assuming no repayment of</w:t>
      </w:r>
    </w:p>
    <w:p>
      <w:pPr>
        <w:spacing w:after="0" w:line="1" w:lineRule="exact"/>
        <w:rPr>
          <w:sz w:val="20"/>
          <w:szCs w:val="20"/>
          <w:color w:val="auto"/>
        </w:rPr>
      </w:pPr>
    </w:p>
    <w:p>
      <w:pPr>
        <w:ind w:left="120" w:right="40"/>
        <w:spacing w:after="0" w:line="260" w:lineRule="auto"/>
        <w:rPr>
          <w:sz w:val="20"/>
          <w:szCs w:val="20"/>
          <w:color w:val="auto"/>
        </w:rPr>
      </w:pPr>
      <w:r>
        <w:rPr>
          <w:rFonts w:ascii="Arial" w:cs="Arial" w:eastAsia="Arial" w:hAnsi="Arial"/>
          <w:sz w:val="18"/>
          <w:szCs w:val="18"/>
          <w:color w:val="auto"/>
        </w:rPr>
        <w:t>amounts owed under the Credit Facility, our total indebtedness would have been approximately $ million aggregate principal amount outstanding as of June 30, 2021.</w:t>
      </w:r>
    </w:p>
    <w:p>
      <w:pPr>
        <w:spacing w:after="0" w:line="18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We may redeem some or all of the Notes at any time, or from time to time. If we choose to redeem any of the Notes prior to maturity, we will pay a redemption price equal to the greater of the following amounts, plus, in each case, accrued and unpaid interest to, but not including, the redemption date:</w:t>
      </w:r>
    </w:p>
    <w:p>
      <w:pPr>
        <w:spacing w:after="0" w:line="2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50 basis points;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 if we redeem any of the Notes on or after January 1, 2026 (the date falling three months prior to the maturity date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the redemption price for the Notes will be equal to 100% of the principal amount of the Notes to be redeemed, plus accrued and unpaid interest, if any, to, but excluding, the date of redemption.</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If we choose to redeem any of the Notes, we will deliver a notice of redemption to holders of the Notes not less than 30 nor more than 60 days before the redemption date. Any exercise of our option to redeem the Notes will be done in compliance with the 1940 Act. If we are redeeming less than all of the Notes, the particular Notes to be redeemed will be selected by the trustee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practicable, or, if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is not practicable for any reason, by lot or in such other manner as the Trustee shall deem fair and appropriate, and in any case in accordance with the applicable procedures of DTC and in accordance with the 1940 Act as directed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no such partial redemption shall reduce the portion of the principal amount of the Notes not redeemed to less than $2,000. Unless we default in payment of the redemption price, on and after the redemption date, interest will cease to accrue on the Notes or portions of the Notes called for redemption.</w:t>
      </w:r>
    </w:p>
    <w:p>
      <w:pPr>
        <w:spacing w:after="0" w:line="166" w:lineRule="exact"/>
        <w:rPr>
          <w:sz w:val="20"/>
          <w:szCs w:val="20"/>
          <w:color w:val="auto"/>
        </w:rPr>
      </w:pPr>
    </w:p>
    <w:p>
      <w:pPr>
        <w:jc w:val="both"/>
        <w:ind w:left="120" w:right="12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 xml:space="preserve">“Reference Treasury Dealer” means each of (1) Goldman Sachs &amp; Co. LLC or its affiliates which is a primary U.S. government securities dealer in the United States (a “Primary Treasury Dealer”) and its successors;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Goldman Sachs &amp; Co. LLC or its affiliates shall cease to be a Primary Treasury Dealer, we shall select another Primary Treasury Dealer, and (2) two other Primary Treasury Dealers selected by us.</w:t>
      </w:r>
    </w:p>
    <w:p>
      <w:pPr>
        <w:spacing w:after="0" w:line="14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spacing w:after="0" w:line="266" w:lineRule="auto"/>
        <w:rPr>
          <w:sz w:val="20"/>
          <w:szCs w:val="20"/>
          <w:color w:val="auto"/>
        </w:rPr>
      </w:pPr>
      <w:r>
        <w:rPr>
          <w:rFonts w:ascii="Arial" w:cs="Arial" w:eastAsia="Arial" w:hAnsi="Arial"/>
          <w:sz w:val="17"/>
          <w:szCs w:val="17"/>
          <w:color w:val="auto"/>
        </w:rPr>
        <w:t>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w:t>
      </w:r>
    </w:p>
    <w:p>
      <w:pPr>
        <w:spacing w:after="0" w:line="7" w:lineRule="exact"/>
        <w:rPr>
          <w:sz w:val="20"/>
          <w:szCs w:val="20"/>
          <w:color w:val="auto"/>
        </w:rPr>
      </w:pPr>
    </w:p>
    <w:p>
      <w:pPr>
        <w:ind w:left="120" w:right="420"/>
        <w:spacing w:after="0" w:line="255" w:lineRule="auto"/>
        <w:rPr>
          <w:sz w:val="20"/>
          <w:szCs w:val="20"/>
          <w:color w:val="auto"/>
        </w:rPr>
      </w:pPr>
      <w:r>
        <w:rPr>
          <w:rFonts w:ascii="Arial" w:cs="Arial" w:eastAsia="Arial" w:hAnsi="Arial"/>
          <w:sz w:val="18"/>
          <w:szCs w:val="18"/>
          <w:color w:val="auto"/>
        </w:rPr>
        <w:t>Repurchase Event. To the extent that the provisions of any securities laws or regulations conflict with the Change of Control Repurchase Event provisions of the Notes, we will comply with the applicable securities laws and regulations and will not be deemed to have breached its obligations under the Change of Control Repurchase Event provisions of the Notes by virtue of such conflict.</w:t>
      </w:r>
    </w:p>
    <w:p>
      <w:pPr>
        <w:spacing w:after="0" w:line="19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1940 Act, we will, to the extent lawful:</w:t>
      </w:r>
    </w:p>
    <w:p>
      <w:pPr>
        <w:spacing w:after="0" w:line="76"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deposit with the paying agent by 11:00 am New York City time,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the Company and such third party purchases all Notes properly tendered and not withdrawn under its offer.</w:t>
      </w:r>
    </w:p>
    <w:p>
      <w:pPr>
        <w:spacing w:after="0" w:line="184"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its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“—Ranking” above as well as the documents incorporated by reference herein for a general discussion of our indebtedness. Before making any such repurchase of Notes, we would also have to comply with certain requirements under our New Credit Facility, to the extent such requirements remain in effect at such time, or otherwise obtain consent from the lenders under the New Credit Facility. Our future debt instruments may contain similar restrictions and provisions. If the holders of the Notes exercise their right to require the Company to repurchase Notes upon a Change of Control Repurchase Event, the financial effect of this repurchase could cause a default under its existing or future debt instruments, even if the Change of Control Repurchase Event itself would not cause a</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default. It is possible that we will not have sufficient funds at the time of the Change of Control Repurchase Event to make the required repurchase of the Notes or its other debt. See “Risk Factors—Risks Relating to the Notes—The Company may not be able to repurchase the Notes upon a Change of Control Repurchase Event.”</w:t>
      </w:r>
    </w:p>
    <w:p>
      <w:pPr>
        <w:spacing w:after="0" w:line="184"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definition of “Change of Control” includes a phrase relating to the direct or indirect sale, transfer, conveyance or other disposition of “all or substantially all” of our properties or assets and those of its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its assets and the assets of its subsidiaries taken as a whole to another person or group may be uncertain.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Notes:</w:t>
      </w:r>
    </w:p>
    <w:p>
      <w:pPr>
        <w:spacing w:after="0" w:line="22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“Below Investment Grade Rating Event” means the Notes are downgraded below Investment Grade by the Rating Agency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080" w:right="60" w:hanging="532"/>
        <w:spacing w:after="0" w:line="275"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81" w:lineRule="exact"/>
        <w:rPr>
          <w:rFonts w:ascii="Arial" w:cs="Arial" w:eastAsia="Arial" w:hAnsi="Arial"/>
          <w:sz w:val="17"/>
          <w:szCs w:val="17"/>
          <w:color w:val="auto"/>
        </w:rPr>
      </w:pPr>
    </w:p>
    <w:p>
      <w:pPr>
        <w:jc w:val="both"/>
        <w:ind w:left="1080" w:right="140" w:hanging="532"/>
        <w:spacing w:after="0" w:line="27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approval by our stockholders of any plan or proposal relating to the liquidation or dissolution of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“Egan-Jones” means Egan-Jones Ratings Company, Inc., also known as Egan-Jones, or any successor thereto.</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“Investment Grade” means a rating of BBB- or better by Egan-Jones (or its equivalent under any successor rating categories of Egan-Jones) (or, if such Rating Agency ceases to rate the Notes for reasons outside of our control, the equivalent investment grade credit ratings from any Rating Agency selected by us as a replacement Rating Agency).</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“Permitted Holders” means (i) the Company, (ii) one or more of the Company’s Controlled Subsidiaries and (iii) the Investment Adviser or any Affiliate of the Investment Adviser that is organized under the laws of a jurisdiction located in the United States of America and in the business of managing or advising clients.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Egan-Jones; and</w:t>
      </w:r>
    </w:p>
    <w:p>
      <w:pPr>
        <w:spacing w:after="0" w:line="130" w:lineRule="exact"/>
        <w:rPr>
          <w:rFonts w:ascii="Arial" w:cs="Arial" w:eastAsia="Arial" w:hAnsi="Arial"/>
          <w:sz w:val="18"/>
          <w:szCs w:val="18"/>
          <w:color w:val="auto"/>
        </w:rPr>
      </w:pPr>
    </w:p>
    <w:p>
      <w:pPr>
        <w:ind w:left="1080" w:right="180" w:hanging="532"/>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Egan-Jones ceases to rate the Notes or fails to make a rating of the Notes publicly available for reasons outside of our control, a “nationally recognized statistical rating organization” as defined in Section 3(a)(62) of the Exchange Act selected by us as a replacement agency for Egan-Jones</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covenants shall apply to the Notes.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The indenture will provide that we will not merge or consolidate with or into any other person (other than a merger of a wholly owned subsidiary into the Company),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our property to a wholly owned subsidiary of the Company) in any one transaction or series of related transactions unless:</w:t>
      </w:r>
    </w:p>
    <w:p>
      <w:pPr>
        <w:spacing w:after="0" w:line="67" w:lineRule="exact"/>
        <w:rPr>
          <w:sz w:val="20"/>
          <w:szCs w:val="20"/>
          <w:color w:val="auto"/>
        </w:rPr>
      </w:pPr>
    </w:p>
    <w:p>
      <w:pPr>
        <w:ind w:left="1080" w:right="14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is the surviving person (the “Surviving Person”) or the Surviving Person (if other than the Company) formed by such merger or consolidation or to which such sale, transfer, lease, conveyance or disposition is made shall be a corporation or limited liability company or trust organized and existing under the laws of the United States of America or any state or territory thereof or the District of Columbia;</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75"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shall be deemed to be the transfer of all or substantially all of our property.</w:t>
      </w:r>
    </w:p>
    <w:p>
      <w:pPr>
        <w:spacing w:after="0" w:line="184"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 assumption by any person of obligations under the Notes and the indenture might be deemed for U.S. federal income tax purposes to be an exchange of the Notes for new Notes by the beneficial owners thereof, potentially resulting in recognition of gain or loss for such purposes and possibly other adverse tax consequences to the beneficial owners. Beneficial owners of the Notes should consult their own tax advisors regarding the tax consequences of such an assumption.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right="1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it will not violate, whether or not the Company is subject thereto, Section 18(a)(1)(A) as modified by Section 61(a) of the 1940 Act or any successor provisions, but giving effect, in either case, to any exemptive relief granted to the Company by the SEC.</w:t>
      </w:r>
    </w:p>
    <w:p>
      <w:pPr>
        <w:spacing w:after="0" w:line="89"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at any time, the Company is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its fiscal year end, and unaudited interim consolidated financial statements, within 45 days of its fiscal quarter end (other than its fourth fiscal quarter). All such financial statements will be prepared, in all material respects, in accordance with GAAP, as applicable. Delivery of such financial statements to the trustee is for informational purposes only and the trustee’s receipt of such shall not constitute actual or constructive notice of any information contained therein or determinable from information contained therein, including our compliance with any of its covenants hereunder (as to which the trustee is entitled to rely exclusively on officers’ certificates).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First, there are changes that we cannot make to your Notes without your specific approval. The following is a list of those types of changes:</w:t>
      </w:r>
    </w:p>
    <w:p>
      <w:pPr>
        <w:spacing w:after="0" w:line="14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any amounts due on the Notes;</w:t>
      </w:r>
    </w:p>
    <w:p>
      <w:pPr>
        <w:spacing w:after="0" w:line="130" w:lineRule="exact"/>
        <w:rPr>
          <w:rFonts w:ascii="Arial" w:cs="Arial" w:eastAsia="Arial" w:hAnsi="Arial"/>
          <w:sz w:val="18"/>
          <w:szCs w:val="18"/>
          <w:color w:val="auto"/>
        </w:rPr>
      </w:pPr>
    </w:p>
    <w:p>
      <w:pPr>
        <w:ind w:left="5460" w:right="2360" w:hanging="4804"/>
        <w:spacing w:after="0" w:line="449" w:lineRule="auto"/>
        <w:tabs>
          <w:tab w:leader="none" w:pos="10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the Notes following a default; S-27</w:t>
      </w:r>
    </w:p>
    <w:p>
      <w:pPr>
        <w:sectPr>
          <w:pgSz w:w="11900" w:h="16838" w:orient="portrait"/>
          <w:cols w:equalWidth="0" w:num="1">
            <w:col w:w="11080"/>
          </w:cols>
          <w:pgMar w:left="320" w:top="459" w:right="4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the accompanying prospectus or this prospectus supplement) or currency of payment on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modify or amend the indenture;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the change affects only one series of the Notes, it must be approved by the holders of a majority in principal amount of the Notes.</w:t>
      </w:r>
    </w:p>
    <w:p>
      <w:pPr>
        <w:spacing w:after="0" w:line="142" w:lineRule="exact"/>
        <w:rPr>
          <w:rFonts w:ascii="Arial" w:cs="Arial" w:eastAsia="Arial" w:hAnsi="Arial"/>
          <w:sz w:val="17"/>
          <w:szCs w:val="17"/>
          <w:color w:val="auto"/>
        </w:rPr>
      </w:pPr>
    </w:p>
    <w:p>
      <w:pPr>
        <w:ind w:left="1080" w:right="20" w:hanging="424"/>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the change affects more than one series of the Notes issued under the same indenture, it must be approved by the holders of a majority in aggregate principal amount of all of the Notes affected by the change, with all affected series voting together as one class for this purpose.</w:t>
      </w:r>
    </w:p>
    <w:p>
      <w:pPr>
        <w:spacing w:after="0" w:line="12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“—Changes Requiring Your Approval”.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jc w:val="both"/>
        <w:ind w:left="120" w:right="260"/>
        <w:spacing w:after="0" w:line="342" w:lineRule="auto"/>
        <w:rPr>
          <w:sz w:val="20"/>
          <w:szCs w:val="20"/>
          <w:color w:val="auto"/>
        </w:rPr>
      </w:pPr>
      <w:r>
        <w:rPr>
          <w:rFonts w:ascii="Arial" w:cs="Arial" w:eastAsia="Arial" w:hAnsi="Arial"/>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“—Defeasance—Legal Defeasance”.</w:t>
      </w:r>
    </w:p>
    <w:p>
      <w:pPr>
        <w:spacing w:after="0" w:line="124"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2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Notes or request a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default in the payment of any interest upon any Notes when due and payable and the default continues for a period of 30 days;</w:t>
      </w:r>
    </w:p>
    <w:p>
      <w:pPr>
        <w:spacing w:after="0" w:line="142" w:lineRule="exact"/>
        <w:rPr>
          <w:rFonts w:ascii="Arial" w:cs="Arial" w:eastAsia="Arial" w:hAnsi="Arial"/>
          <w:sz w:val="17"/>
          <w:szCs w:val="17"/>
          <w:color w:val="auto"/>
        </w:rPr>
      </w:pPr>
    </w:p>
    <w:p>
      <w:pPr>
        <w:ind w:left="1080" w:right="34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w:t>
      </w:r>
    </w:p>
    <w:p>
      <w:pPr>
        <w:spacing w:after="0" w:line="89" w:lineRule="exact"/>
        <w:rPr>
          <w:rFonts w:ascii="Arial" w:cs="Arial" w:eastAsia="Arial" w:hAnsi="Arial"/>
          <w:sz w:val="18"/>
          <w:szCs w:val="18"/>
          <w:color w:val="auto"/>
        </w:rPr>
      </w:pPr>
    </w:p>
    <w:p>
      <w:pPr>
        <w:ind w:left="1080" w:right="60" w:hanging="532"/>
        <w:spacing w:after="0" w:line="288"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default by the Company or any of its significant subsidiaries, as defined in Article 1, Rule 1-02 of Regulation S-X under the Exchange Act (as applicable to BDCs) (but excluding any subsidiary which is (a) a non-recourse 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73" w:lineRule="exact"/>
        <w:rPr>
          <w:rFonts w:ascii="Arial" w:cs="Arial" w:eastAsia="Arial" w:hAnsi="Arial"/>
          <w:sz w:val="16"/>
          <w:szCs w:val="16"/>
          <w:color w:val="auto"/>
        </w:rPr>
      </w:pPr>
    </w:p>
    <w:p>
      <w:pPr>
        <w:ind w:left="1080" w:right="80" w:hanging="532"/>
        <w:spacing w:after="0" w:line="31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54"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the Company occur and remain undischarged or unstayed for a period of 90 days.</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6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6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7"/>
          <w:szCs w:val="17"/>
          <w:i w:val="1"/>
          <w:iCs w:val="1"/>
          <w:color w:val="auto"/>
        </w:rPr>
        <w:t>provided</w:t>
      </w:r>
      <w:r>
        <w:rPr>
          <w:rFonts w:ascii="Arial" w:cs="Arial" w:eastAsia="Arial" w:hAnsi="Arial"/>
          <w:sz w:val="17"/>
          <w:szCs w:val="17"/>
          <w:color w:val="auto"/>
        </w:rPr>
        <w:t>, however, that, except in the case of a default in the payment of the principal of (or premium, if any, on) or interest, if any, on any of the Notes, the trustee shall be protected in withholding such notice if and so long as it in good faith determines that withholding of such notice is in the interest of the holders of the Notes.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may satisfy and discharge its obligations under the indenture by delivering to the securities registrar for cancellation all outstanding Notes or by depositing with the trustee, in trust, funds in U.S. dollars in an amount sufficient to pay all of the outstanding Notes after the Notes have become due and payable or will become due and payable within one year (or scheduled for redemption within one year). Such discharge is subject to terms contained in the indenture.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subject to covenant defeasance and legal defeasance.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 Defeasance</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spacing w:after="0" w:line="92" w:lineRule="exact"/>
        <w:rPr>
          <w:sz w:val="20"/>
          <w:szCs w:val="20"/>
          <w:color w:val="auto"/>
        </w:rPr>
      </w:pPr>
    </w:p>
    <w:p>
      <w:pPr>
        <w:jc w:val="both"/>
        <w:ind w:left="1080" w:right="160" w:hanging="424"/>
        <w:spacing w:after="0" w:line="286" w:lineRule="auto"/>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70" w:lineRule="exact"/>
        <w:rPr>
          <w:rFonts w:ascii="Arial" w:cs="Arial" w:eastAsia="Arial" w:hAnsi="Arial"/>
          <w:sz w:val="17"/>
          <w:szCs w:val="17"/>
          <w:color w:val="auto"/>
        </w:rPr>
      </w:pPr>
    </w:p>
    <w:p>
      <w:pPr>
        <w:ind w:left="1080" w:right="40" w:hanging="424"/>
        <w:spacing w:after="0" w:line="25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spacing w:after="0" w:line="92"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there is a change in U.S. federal tax law, as described below, the Company can legally release itself from all payment and other obligations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(called “defeasance” or “legal defeasance”) if we put in place the following other arrangements for you to be repaid:</w:t>
      </w:r>
    </w:p>
    <w:p>
      <w:pPr>
        <w:spacing w:after="0" w:line="116" w:lineRule="exact"/>
        <w:rPr>
          <w:sz w:val="20"/>
          <w:szCs w:val="20"/>
          <w:color w:val="auto"/>
        </w:rPr>
      </w:pPr>
    </w:p>
    <w:p>
      <w:pPr>
        <w:ind w:left="1080" w:right="120" w:hanging="424"/>
        <w:spacing w:after="0" w:line="286" w:lineRule="auto"/>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must deposit in trust for the benefit of all holders of the Notes a combination of money and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70" w:lineRule="exact"/>
        <w:rPr>
          <w:rFonts w:ascii="Arial" w:cs="Arial" w:eastAsia="Arial" w:hAnsi="Arial"/>
          <w:sz w:val="17"/>
          <w:szCs w:val="17"/>
          <w:color w:val="auto"/>
        </w:rPr>
      </w:pPr>
    </w:p>
    <w:p>
      <w:pPr>
        <w:ind w:left="1080" w:right="100" w:hanging="424"/>
        <w:spacing w:after="0" w:line="254"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deliver to the trustee a legal opinion confirming, subject to customary limitations and exclusions, that there has been a change in current U.S. federal tax law or an Internal Revenue Service, or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spacing w:after="0" w:line="10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American Stock Transfer &amp; Trust Company, LLC is the trustee, security registrar and paying agent. American Stock Transfer &amp; Trust Company, LLC, in each of its capacities, including without limitation as trustee, security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but not limited to settlement amounts and any other information.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maintain banking relationships in the ordinary course of business with the trustee and its affiliates.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Trustee may resign or be removed with respect to the Notes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No past, present or future director, officer, employee, incorporator or stockholder of the Company, as such, will have any liability for any obligations of the Company’s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Notes will be initially issued in the form of one or more registered Notes in global form, without interest coupons, or the Global Notes. Upon issuance, each of the Global Notes will be deposited with the trustee as custodian for DTC and registered in the name of Cede &amp; Co., as nominee of DTC. Ownership of beneficial interests in a Global Note will be limited to persons who have accounts with DTC, or DTC participants, or persons who hold interests through DTC participants. We expect expects that under procedures established by DTC:</w:t>
      </w:r>
    </w:p>
    <w:p>
      <w:pPr>
        <w:spacing w:after="0" w:line="77" w:lineRule="exact"/>
        <w:rPr>
          <w:sz w:val="20"/>
          <w:szCs w:val="20"/>
          <w:color w:val="auto"/>
        </w:rPr>
      </w:pPr>
    </w:p>
    <w:p>
      <w:pPr>
        <w:ind w:left="1080" w:right="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75"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Beneficial interests in Global Notes may not be exchanged for Notes in physical, certificated form except in the limited circumstances described below.</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None of the Company, the trustee nor the underwriters is responsible for those operations or procedures.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 has advised the Company that it is:</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080"/>
          </w:cols>
          <w:pgMar w:left="320" w:top="459"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78"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2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any proposed transfer outside the book entry only system, there shall be provided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1080" w:right="1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 following discussion is a general summary of certain U.S. federal income tax considerations (and, in the case of a non-U.S. holder (as defined below), certain U.S.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7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U.S. federal tax laws to you in light of your particular situation, as well as any consequences to you of purchasing, owning and disposing of the Notes under the laws of any other taxing jurisdiction.</w:t>
      </w:r>
    </w:p>
    <w:p>
      <w:pPr>
        <w:spacing w:after="0" w:line="17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For purposes of this discussion, the term “U.S. holder” means a beneficial owner of a Note that is, for U.S. federal income tax purposes, (i) an individual who is a citizen or resident of the United States, (ii) a corporation or other entity treated as a corporation for U.S. federal income tax purposes, created or organized in or under the laws of the United States or of any political subdivision thereof, (iii) a trust (a) subject to the control of one or more U.S. persons and the primary supervision of a court in the United States, or (b) that has a valid election (under applicable Treasury Regulations) to be treated as a U.S. person for U.S. federal income tax purposes, or (iv) an estate the income of which is subject to U.S.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U.S. federal income tax as if they were U.S. citizens.</w:t>
      </w:r>
    </w:p>
    <w:p>
      <w:pPr>
        <w:spacing w:after="0" w:line="172" w:lineRule="exact"/>
        <w:rPr>
          <w:sz w:val="20"/>
          <w:szCs w:val="20"/>
          <w:color w:val="auto"/>
        </w:rPr>
      </w:pPr>
    </w:p>
    <w:p>
      <w:pPr>
        <w:jc w:val="both"/>
        <w:ind w:left="120" w:right="400"/>
        <w:spacing w:after="0" w:line="311"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any Notes, the U.S.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We intend to treat, for U.S. federal income tax purposes, the issuance of the Notes offered hereby as a “qualified reopening” of the Existing Notes. Accordingly, we intend to treat the Notes offered hereby as having the same “issue date” and the same “issue price” as the Existing Notes for U.S. federal income tax purposes. Since the Existing Notes were treated as issued with less than a de minimis amount of original issue discount, or OID, for U.S. federal income tax purposes, the new Notes in this offering also do not have OID. If the issuance of the Notes offered hereby is not treated as a “qualified reopening,” the issue date and the issue price of the Notes offered hereby would differ from the issue date and issue price of the Existing Notes for U.S. federal income tax purposes and, if in the case the Notes offered hereby were to be issued with OID that is equal to or greater than the “de minimis amount” (as defined in the Treasury Regulations), the Notes offered hereby would be treated as having OID for U.S. federal income tax purposes. The remainder of this discussion assumes that the issuance of the Notes offered hereby will be treated as a qualified reopening for U.S. federal income tax purposes.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i w:val="1"/>
          <w:iCs w:val="1"/>
          <w:u w:val="single" w:color="auto"/>
          <w:color w:val="auto"/>
        </w:rPr>
        <w:t>Taxation of U.S.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For non-tax purposes, the initial offering price for the Notes offered hereby will include the amount attributable to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accrued from October 1, 2021, which, for purposes of this discussion, is referred to as the “pre-issuance accrued interest.” Pre-issuance accrued interest will be included in the accrued interest to be paid on the Notes offered hereby on the first interest payment date after the issuance of the Notes offered hereby. In accordance with applicable Treasury Regulations, for U.S. federal income tax purposes, we will treat the Notes offered hereby as having been purchased for a price that does not include any pre-issuance accrued interest. Provided that the Notes offered hereby are so treated, the portion of the first stated interest payment equal to the pre-issuance accrued interest will be treated as a non-taxable return of such pre-issuance accrued interest and, accordingly, will not be taxable as interest on the Notes offered hereby. U.S. holders should consult their own tax advisors regarding the tax treatment of any pre-issuance accrued interest.</w:t>
      </w:r>
    </w:p>
    <w:p>
      <w:pPr>
        <w:spacing w:after="0" w:line="1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Payments or accruals of interest on a Note generally will be taxable to a U.S. holder as ordinary interest income at the time they are received (actually or constructively) or accrued, in accordance with the U.S. holder’s regular method of tax accounting.</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a U.S. holder purchases a Note in this offering at a price (excluding any amount attributable to pre-issuance accrued interest) that exceeds the stated principal amount of the Note, such holder will be considered to have purchased the Note with amortizable bond premium equal to the amount of that excess. A U.S. holder generally may elect to amortize the premium using a constant yield method over the remaining term of the Note as an offset to interest when included in income in accordance with such holder’s regular method of tax accounting. This election to amortize premium on a constant yield method will apply to all debt obligations (other than debt obligations the interest on which is excludable from gross income) held by such holder as of the beginning of, or acquired during or after, the first taxable year for which the election applies and may not be revoked without the consent of the IRS. If a U.S. holder makes the election to amortize bond premium with respect to a Note, such holder will be required to reduce its adjusted tax basis in such Note by the amount of the premium amortized. If a U.S. holder does not elect to amortize bond premium, that premium will decrease the gain or increase the loss such holder would otherwise recognize on the sale, exchange, redemption, retirement or other taxable disposition of the Note. Prospective investors should consult their own tax advisors regarding this election.</w:t>
      </w:r>
    </w:p>
    <w:p>
      <w:pPr>
        <w:spacing w:after="0" w:line="18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Upon the sale, exchange, redemption, retirement or other taxable disposition of a Note, a U.S. holder generally will recognize capital gain or loss equal to the difference between the amount realized on the sale, exchange, redemption, retirement or other taxable disposition (excluding any amounts representing accrued and unpaid interest, which are treated as ordinary income) and the U.S. holder’s tax basis in the Note. A U.S. holder’s tax basis in a Note generally will equal the amount of the U.S. holder’s initial investment in the Note (less any amount attributable to pre-issuance accrued interest that is excluded from the purchase price of a Note offered hereby for U.S. federal income tax purposes), reduced by the amount of any bond premium previously amortized by the U.S. holder with respect to the Note as well as any cash payments on the Note other than qualified stated interest. Capital gain or loss generally will be long-term capital gain or loss if the Note was held for more than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one year. Long-term capital gains recognized by individuals and certain other non-corporate U.S. holders generally are eligible for reduced rates of taxation. Currently,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8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Under applicable U.S. Treasury regulations, if a shareholder recognizes a loss with respect to the Notes in excess of certain prescribed thresholds (generally, $2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6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 tax of 3.8% is imposed on certain “net investment income” (or “undistributed net investment income”, in the case of estates and trusts) received by certain taxpayers with modified adjusted gross incomes above certain threshold amounts. “Net investment income” as defined for U.S. federal Medicare contribution purposes generally includes interest payments and gain recognized from the sale, exchange, redemption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1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u w:val="single" w:color="auto"/>
          <w:color w:val="auto"/>
        </w:rPr>
        <w:t>Taxation of Non-U.S. Holders</w:t>
      </w:r>
      <w:r>
        <w:rPr>
          <w:rFonts w:ascii="Arial" w:cs="Arial" w:eastAsia="Arial" w:hAnsi="Arial"/>
          <w:sz w:val="18"/>
          <w:szCs w:val="18"/>
          <w:color w:val="auto"/>
        </w:rPr>
        <w:t>. For purposes of this discussion, interest does not include any pre-issuance accrued interest excluded from the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price of the Notes offered hereby. However, to the extent any amount treated as interest for U.S. federal income tax purposes are or would be subject to U.S. federal withholding tax as described below, the applicable withholding agent may withhold such tax on all payments of interest, including payment of pre-issuance accrued interest, if the withholding agent is unable to determine which portion of the payments is attributable to pre-issuance accrued interest.</w:t>
      </w:r>
    </w:p>
    <w:p>
      <w:pPr>
        <w:spacing w:after="0" w:line="18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A non-U.S. holder generally will not be subject to U.S. federal income or withholding taxes on payments of principal or 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 penalties of perjury that includes its name and address and certifies that it is not a U.S. person in compliance with applicable requirements, or satisfies documentary evidence requirements for establishing that it is a non-U.S. holder. A non-U.S. holder that is not exempt from tax under these rules generally will be subject to withholding of U.S. federal income tax on payments of interest on the Notes at a rate of 30% unless (i) the interest is effectively connected with the conduct of a U.S. trade or business, in which case the interest will be subject to U.S. federal income tax on a net income 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U.S. trade or business, such income may also be subject to a branch profits tax (which is generally imposed on a non-U.S. corporation on the actual or deemed repatriation from the United States of earnings and profits attributable to a</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U.S. trade or business) at a 30% rate. The branch profits tax may not apply (or may apply at a reduced rate) if the non-U.S. holder is a qualified resident of a country with which the United States has an income tax treaty.</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To claim the benefit of an income tax treaty or to claim exemption from withholding because interest is effectively connected with a U.S. trade or business, the non-U.S. holder must timely provide the appropriate, properly executed IRS forms to the applicable withholding agent. These forms may be required to be periodically updated.</w:t>
      </w:r>
    </w:p>
    <w:p>
      <w:pPr>
        <w:spacing w:after="0" w:line="184"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Generally, a non-U.S. holder will not be subject to U.S. federal income or withholding taxes on any amount that constitutes capital gain upon the sale, exchange, redemption or retirement of a Note, provided that the gain is not effectively connected with the conduct of a trade or business in the United States by the non-U.S. holder (and, if required by an applicable income tax treaty, is not attributable to a U.S. “permanent establishment” maintained by the non-U.S. holder). Certain other exceptions may be applicable, and a non-U.S. holder should consult its tax advisor in this regard.</w:t>
      </w:r>
    </w:p>
    <w:p>
      <w:pPr>
        <w:spacing w:after="0" w:line="157"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6"/>
          <w:szCs w:val="16"/>
          <w:color w:val="auto"/>
        </w:rPr>
        <w:t>A Note that is held by an individual who, at the time of death, is not a citizen or resident of the United States (as specially defined for U.S. federal estate tax purposes) generally will not be subject to the U.S. federal estate tax, unless, at the time of death, (i) such individual directly or indirectly, actually or constructively, owns ten percent or more of the total combined voting power of all classes of our stock entitled to vote within the meaning of</w:t>
      </w:r>
    </w:p>
    <w:p>
      <w:pPr>
        <w:spacing w:after="0" w:line="2"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Section 871(h)(3) of the Code and the Treasury Regulations thereunder or (ii) such individual’s interest in the Notes is effectively connected with the individual’s conduct of a U.S. trade or business.</w:t>
      </w:r>
    </w:p>
    <w:p>
      <w:pPr>
        <w:spacing w:after="0" w:line="18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u w:val="single" w:color="auto"/>
          <w:color w:val="auto"/>
        </w:rPr>
        <w:t>Information Reporting and Backup Withholding</w:t>
      </w:r>
      <w:r>
        <w:rPr>
          <w:rFonts w:ascii="Arial" w:cs="Arial" w:eastAsia="Arial" w:hAnsi="Arial"/>
          <w:sz w:val="16"/>
          <w:szCs w:val="16"/>
          <w:color w:val="auto"/>
        </w:rPr>
        <w:t>. A U.S. holder (other than an “exempt recipient,” including a corporation and certain other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61"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8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that the required information is timely furnished to the IRS.</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color w:val="auto"/>
        </w:rPr>
        <w:t>. Sections 1471 through 1474 of the Code (provisions commonly referred to as “FATCA”)</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30% withholding tax on payments of U.S. source interest, and gross proceeds from the sale, redemption, retirement or other disposition of obligations that give rise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United States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5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prospective purchaser should consult its own tax advisor regarding FATCA and how it may affect such investor in its particular circumstances.</w:t>
      </w:r>
    </w:p>
    <w:p>
      <w:pPr>
        <w:spacing w:after="0" w:line="35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offering the Notes described in this prospectus supplement through a number of underwriters. Goldman Sachs &amp; Co. LLC, Keefe, Bruyette &amp; Woods, Inc. and Truist Securities, Inc. are acting as representatives of the several underwriters. We have entered into an underwriting agreement with the underwriters. Subject to the terms and conditions of the underwriting agreement, we have agreed to sell to the underwriters, and each underwriter has severally agreed to purchase, the aggregate principal amount of Notes listed next to its name in the following table:</w:t>
      </w:r>
    </w:p>
    <w:p>
      <w:pPr>
        <w:spacing w:after="0" w:line="17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6740" w:type="dxa"/>
            <w:vAlign w:val="bottom"/>
            <w:vMerge w:val="continue"/>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680" w:type="dxa"/>
            <w:vAlign w:val="bottom"/>
            <w:tcBorders>
              <w:top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Keefe, Bruyette &amp; Woods, Inc.</w:t>
            </w:r>
          </w:p>
        </w:tc>
        <w:tc>
          <w:tcPr>
            <w:tcW w:w="680" w:type="dxa"/>
            <w:vAlign w:val="bottom"/>
          </w:tcPr>
          <w:p>
            <w:pPr>
              <w:jc w:val="right"/>
              <w:ind w:right="498"/>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680" w:type="dxa"/>
            <w:vAlign w:val="bottom"/>
            <w:tcBorders>
              <w:bottom w:val="single" w:sz="8" w:color="auto"/>
            </w:tcBorders>
            <w:shd w:val="clear" w:color="auto" w:fill="CCEEFF"/>
          </w:tcPr>
          <w:p>
            <w:pPr>
              <w:jc w:val="right"/>
              <w:ind w:right="498"/>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8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the Company is to pay to the underwriters in connection with this offering.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Per Note</w:t>
            </w:r>
          </w:p>
        </w:tc>
        <w:tc>
          <w:tcPr>
            <w:tcW w:w="54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236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Company, before expenses</w:t>
            </w:r>
          </w:p>
        </w:tc>
        <w:tc>
          <w:tcPr>
            <w:tcW w:w="236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The public offering price set forth above does not include the Aggregate Accrued Interest of $ from October 1, 2021 up to, but not including, the date of delivery, which will be paid by the purchasers of the Notes offered hereby. On April 1, 2022, we will pay the Aggregate Accrued Interest to</w:t>
      </w:r>
    </w:p>
    <w:p>
      <w:pPr>
        <w:ind w:left="120" w:right="20"/>
        <w:spacing w:after="0" w:line="260" w:lineRule="auto"/>
        <w:rPr>
          <w:sz w:val="20"/>
          <w:szCs w:val="20"/>
          <w:color w:val="auto"/>
        </w:rPr>
      </w:pPr>
      <w:r>
        <w:rPr>
          <w:rFonts w:ascii="Arial" w:cs="Arial" w:eastAsia="Arial" w:hAnsi="Arial"/>
          <w:sz w:val="18"/>
          <w:szCs w:val="18"/>
          <w:color w:val="auto"/>
        </w:rPr>
        <w:t>the holders of the Notes offered hereby as of the applicable record date along with interest accrued on the Notes offered hereby from the date of delivery to such interest payment date.</w:t>
      </w:r>
    </w:p>
    <w:p>
      <w:pPr>
        <w:sectPr>
          <w:pgSz w:w="11900" w:h="16838" w:orient="portrait"/>
          <w:cols w:equalWidth="0" w:num="1">
            <w:col w:w="11120"/>
          </w:cols>
          <w:pgMar w:left="320" w:top="459" w:right="459" w:bottom="1440" w:gutter="0" w:footer="0" w:header="0"/>
        </w:sectPr>
      </w:pPr>
    </w:p>
    <w:p>
      <w:pPr>
        <w:spacing w:after="0" w:line="1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underwriters propose to initially offer some of the Notes in this offering to the public at the public offering price set forth on the cover page of this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prospectus supplement and may offer some of the Notes to certain other dealers at the public offering price less a concession not in excess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aggregate principal amount of the Notes offered hereby. The underwriters may allow, and the dealers may reallow, a discount not in excess</w:t>
      </w:r>
    </w:p>
    <w:p>
      <w:pPr>
        <w:spacing w:after="0" w:line="32" w:lineRule="exact"/>
        <w:rPr>
          <w:sz w:val="20"/>
          <w:szCs w:val="20"/>
          <w:color w:val="auto"/>
        </w:rPr>
      </w:pPr>
    </w:p>
    <w:p>
      <w:pPr>
        <w:ind w:left="120"/>
        <w:spacing w:after="0"/>
        <w:tabs>
          <w:tab w:leader="none" w:pos="960" w:val="left"/>
        </w:tabs>
        <w:rPr>
          <w:sz w:val="20"/>
          <w:szCs w:val="20"/>
          <w:color w:val="auto"/>
        </w:rPr>
      </w:pPr>
      <w:r>
        <w:rPr>
          <w:rFonts w:ascii="Arial" w:cs="Arial" w:eastAsia="Arial" w:hAnsi="Arial"/>
          <w:sz w:val="16"/>
          <w:szCs w:val="16"/>
          <w:color w:val="auto"/>
        </w:rPr>
        <w:t>of</w:t>
      </w:r>
      <w:r>
        <w:rPr>
          <w:sz w:val="20"/>
          <w:szCs w:val="20"/>
          <w:color w:val="auto"/>
        </w:rPr>
        <w:tab/>
      </w:r>
      <w:r>
        <w:rPr>
          <w:rFonts w:ascii="Arial" w:cs="Arial" w:eastAsia="Arial" w:hAnsi="Arial"/>
          <w:sz w:val="16"/>
          <w:szCs w:val="16"/>
          <w:color w:val="auto"/>
        </w:rPr>
        <w:t>% of the aggregate principal amount of the Notes offered hereby. After the initial offering of the Notes to the public, the public offering</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489" w:lineRule="exact"/>
        <w:rPr>
          <w:sz w:val="20"/>
          <w:szCs w:val="20"/>
          <w:color w:val="auto"/>
        </w:rPr>
      </w:pPr>
    </w:p>
    <w:p>
      <w:pPr>
        <w:sectPr>
          <w:pgSz w:w="11900" w:h="16838" w:orient="portrait"/>
          <w:cols w:equalWidth="0" w:num="2">
            <w:col w:w="10960" w:space="20"/>
            <w:col w:w="140"/>
          </w:cols>
          <w:pgMar w:left="320" w:top="459" w:right="459" w:bottom="1440" w:gutter="0" w:footer="0" w:header="0"/>
          <w:type w:val="continuous"/>
        </w:sectPr>
      </w:pPr>
    </w:p>
    <w:p>
      <w:pPr>
        <w:ind w:left="120"/>
        <w:spacing w:after="0" w:line="260" w:lineRule="auto"/>
        <w:rPr>
          <w:sz w:val="20"/>
          <w:szCs w:val="20"/>
          <w:color w:val="auto"/>
        </w:rPr>
      </w:pPr>
      <w:r>
        <w:rPr>
          <w:rFonts w:ascii="Arial" w:cs="Arial" w:eastAsia="Arial" w:hAnsi="Arial"/>
          <w:sz w:val="18"/>
          <w:szCs w:val="18"/>
          <w:color w:val="auto"/>
        </w:rPr>
        <w:t>price and other selling terms may be changed. No such change shall change the amount of proceeds to be received by us as set forth on the cover page of this prospectus supplement.</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7200" w:val="left"/>
        </w:tabs>
        <w:rPr>
          <w:sz w:val="20"/>
          <w:szCs w:val="20"/>
          <w:color w:val="auto"/>
        </w:rPr>
      </w:pPr>
      <w:r>
        <w:rPr>
          <w:rFonts w:ascii="Arial" w:cs="Arial" w:eastAsia="Arial" w:hAnsi="Arial"/>
          <w:sz w:val="18"/>
          <w:szCs w:val="18"/>
          <w:color w:val="auto"/>
        </w:rPr>
        <w:t>The expenses of the offering, not including the underwriting discount, are estimated at $</w:t>
      </w:r>
      <w:r>
        <w:rPr>
          <w:sz w:val="20"/>
          <w:szCs w:val="20"/>
          <w:color w:val="auto"/>
        </w:rPr>
        <w:tab/>
      </w:r>
      <w:r>
        <w:rPr>
          <w:rFonts w:ascii="Arial" w:cs="Arial" w:eastAsia="Arial" w:hAnsi="Arial"/>
          <w:sz w:val="16"/>
          <w:szCs w:val="16"/>
          <w:color w:val="auto"/>
        </w:rPr>
        <w:t>and are payable by us.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through the closing date without first obtaining the written consent of the representatives. This consent may be given at any time without public notice.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Notes offered hereby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While a trading market developed after issuing the Existing Notes, we cannot assure you that an active and liquid market for the Notes will be maintained. We have been advised by certain of the underwriters that they currently intend to make a market in the Notes after completion of this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maintenance of a public trading market for, the Notes. If an active public trading market for the Notes is not maintained, the market price and liquidity of the Notes may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representatives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49"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Affiliates of certain of the underwriters serve as lenders under our New Credit Facility and may serve as lenders or in other roles under any future credit facilities. Some of the underwriters and/or their affiliates were underwriters in connection with our initial public offerings and follow-on public offerings for which they received customary fees. Affiliates of certain of the underwriters are expected to receive part of the proceeds of the offering if we use proceeds from this offering to repay certain amounts outstanding under our New Credit Facility.</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Certain of the net proceeds from the sale of the Notes offered hereby, not including underwriting compensation, may be paid to affiliates of certain of the underwriters as lenders or in other roles. For example, an affiliate of Truist Securities, Inc. is the administrative agent and a lender under our New Credit Facility, and an affiliate of Keefe, Bruyette &amp; Woods, Inc. is a lender. They may receive more than 5% of the proceeds of this offering to the extent the proceeds are used to pay down indebtedness under our New Credit Facility. Affiliates of certain of the underwriters may also serve as lenders or in other roles under any future credit facilities or in connection with follow-on public offerings and other transactions for which they receive customary fees.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We expect that delivery of the Notes offered hereby will be made to investors on or about October , 2021, which will be the business day following the date of pricing of the Notes (such settlement cycle being herein referred to as “T+ ”). Under Rule 15c6-1 under the Exchange</w:t>
      </w:r>
    </w:p>
    <w:p>
      <w:pPr>
        <w:spacing w:after="0" w:line="1"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color w:val="auto"/>
        </w:rPr>
        <w:t>Act, trades in the secondary market generally are required to settle in two business days, unless the parties to any such trade expressly agree otherwise. Accordingly, purchasers who wish to trade notes on the date of pricing will be required, by virtue of the fact that the notes initially will settle</w:t>
      </w:r>
    </w:p>
    <w:p>
      <w:pPr>
        <w:spacing w:after="0" w:line="1"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T+ , to specify an alternate settlement cycle at the time of any such trade to prevent a failed settlement. Purchasers of notes who wish to trade notes on the date of pricing should consult their own advisor.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principal business address of Goldman Sachs &amp; Co. LLC is 200 West Street, New York, New York 10282. The principal business address of Keefe, Bruyette &amp; Woods, Inc. is 787 Seventh Avenue, Fourth Floor, New York, New York 30326. The principal business address of Truist Securities, Inc. is 3333 Peachtree Road NE, Atlanta, Georgia 30326.</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This prospectus constitutes an “exempt offering document” as defined in and for the purposes of applicable Canadian securities laws. No prospectus has been filed with any securities commission or similar regulatory 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Canadian investors are advised that this prospectus has been prepared in reliance on section 3A.3 of National Instrument 33-105 Underwriting Conflicts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Resale Restrictions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of Purchasers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Registration Requirements, Exemptions and Ongoing Registrant Obligations.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17"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Any discussion of taxation and related matters contained in this prospectus does not purport to be a comprehensive description of all of the tax considerations that may be relevant to a Canadian investor when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w:t>
      </w:r>
    </w:p>
    <w:p>
      <w:pPr>
        <w:ind w:left="120"/>
        <w:spacing w:after="0" w:line="252" w:lineRule="auto"/>
        <w:rPr>
          <w:sz w:val="20"/>
          <w:szCs w:val="20"/>
          <w:color w:val="auto"/>
        </w:rPr>
      </w:pPr>
      <w:r>
        <w:rPr>
          <w:rFonts w:ascii="Arial" w:cs="Arial" w:eastAsia="Arial" w:hAnsi="Arial"/>
          <w:sz w:val="18"/>
          <w:szCs w:val="18"/>
          <w:color w:val="auto"/>
        </w:rPr>
        <w:t>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92"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2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or EEA, or in the United Kingdom, or the UK. For these purposes, a retail investor means a person who is one (or more) of: (i) a retail client as defined in point (11) of Article 4(1) of Directive 2014/65/EU, as amended, or the MiFID II; or (ii) a customer within the meaning of Directive (EU) 2016/97, as amended, or the Insurance Distribution Directive, where that customer would not qualify as a professional client as defined in point (10) of Article 4(1) of MiFID II; or (iii) not a qualified investor as defined in Regulation (EU) 2017/1129, as amended, or the Prospectus Regulation. Consequently no key information document required by Regulation (EU) No 1286/2014, as amended, or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the Notes. This prospectus supplement and the accompanying prospectus is not a prospectus for the purposes of the Prospectus Regulation.</w:t>
      </w:r>
    </w:p>
    <w:p>
      <w:pPr>
        <w:spacing w:after="0" w:line="17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References to Regulations or Directives include, in relation to the UK, those Regulations or Directives as they form part of UK domestic law by virtue of the European Union (Withdrawal) Act 2018 or have been implemented in UK domestic law, as appropriate.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 the Securities Law (a “Qualified Investor”), in all cases under the circumstances that will fall within the private placement exemption of the Israeli Securities Law of 1968, or Securities Law. This prospectus supplement and the accompanying prospectus may not be reproduced or used for any other purpose, nor be furnished to any other 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to the sale or offer of securities to Qualified Investors (including those published on September 21, 2014), and that it is purchasing the Notes for its own benefit and on its own account and not with the aim or intention of distributing or offering the Notes to other parties. Nothing in this prospectus supplement or 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This prospectus supplement may not be distributed in the Kingdom of Saudi Arabia except to such persons as are permitted under the Rules on the Offer of Securities and Continuing Obligations as issued by the board of the Saudi Arabian Capital Market Authority, or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to Prospective Investors in Hong Kong</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Notes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S-46</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to Prospective Investors in Singapore</w:t>
      </w:r>
    </w:p>
    <w:p>
      <w:pPr>
        <w:spacing w:after="0" w:line="121"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This offering circular has not been registered as a prospectus with the Monetary Authority of Singapore. Accordingly, this offering circular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(as defined in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Where the Notes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Notes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Where the Notes are subscribed or purchased under Section 275 of the SFA by a relevant person which is a trust (where the trustee is not an accredited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(as defined in Section 4A of the SFA)) whose sole purpose is to hold investments and each beneficiary of the trust is an accredited investor,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beneficiaries’ rights and interest (howsoever described) in that trust shall not be transferable for 6 months after that trust has acquired the Notes under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 of the SFA except: (1) to an institutional investor under Section 274 of the SFA or to a relevant person (as defined in Section 275(2)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SFA), (2) where such transfer arises from an offer that is made on terms that such rights or interest are acquired at a consideration of not less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S$200,000 (or its equivalent in a foreign currency) for each transaction (whether such amount is to be paid for in cash or by exchange of securities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assets), (3) where no consideration is or will be given for the transfer, (4) where the transfer is by operation of law, (5) as specified in Section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276(7) of the SFA, or (6) as specified in Regulation 32.</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S-47</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underwriters by Ropes &amp; Gray LLP.</w:t>
      </w:r>
    </w:p>
    <w:p>
      <w:pPr>
        <w:spacing w:after="0" w:line="33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consolidated financial statements and the related consolidated senior securities table of PennantPark Floating Rate Capital Ltd. as of September 30, 2020 and 2019 and for each of the years in the three-year period ended September 30, 2020 and the effectiveness of internal control over financial reporting as of September 30, 2020 incorporated in this prospectus supplement by reference from the PennantPark Floating Rate Capital Ltd. Annual Report on Form 10-K for the year ended September 30, 2020 have been audited by RSM US LLP, an independent registered public accounting firm, as stated in their reports thereon, incorporated herein by reference, and have been incorporated in this prospectus supplement in reliance upon such reports.</w:t>
      </w: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INDEPENDENT AUDITOR</w:t>
      </w:r>
    </w:p>
    <w:p>
      <w:pPr>
        <w:spacing w:after="0" w:line="22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consolidated financial statements of PSSL as of and for the fiscal years ended September 30, 2020 and September 30, 2019 included as Exhibits 99.3 and 99.4, respectively, in our Annual Report on Form 10-K for the fiscal year ended September 30, 2020 have been so included in reliance on the report of RSM US LLP.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S-48</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540" w:hanging="331"/>
        <w:spacing w:after="0"/>
        <w:tabs>
          <w:tab w:leader="none" w:pos="1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our Annual Report on Form 10-K for the fiscal year ended September 30, 2020, filed with the SEC on </w:t>
      </w:r>
      <w:hyperlink r:id="rId66">
        <w:r>
          <w:rPr>
            <w:rFonts w:ascii="Arial" w:cs="Arial" w:eastAsia="Arial" w:hAnsi="Arial"/>
            <w:sz w:val="17"/>
            <w:szCs w:val="17"/>
            <w:u w:val="single" w:color="auto"/>
            <w:color w:val="0000EE"/>
          </w:rPr>
          <w:t>November 18, 2020</w:t>
        </w:r>
      </w:hyperlink>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1540" w:right="20" w:hanging="331"/>
        <w:spacing w:after="0" w:line="277"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December 31, 2020, March 31, 2021 and June 30, 2021, filed with the SEC on </w:t>
      </w:r>
      <w:hyperlink r:id="rId67">
        <w:r>
          <w:rPr>
            <w:rFonts w:ascii="Arial" w:cs="Arial" w:eastAsia="Arial" w:hAnsi="Arial"/>
            <w:sz w:val="18"/>
            <w:szCs w:val="18"/>
            <w:u w:val="single" w:color="auto"/>
            <w:color w:val="0000EE"/>
          </w:rPr>
          <w:t>February 9, 2021</w:t>
        </w:r>
      </w:hyperlink>
      <w:r>
        <w:rPr>
          <w:rFonts w:ascii="Arial" w:cs="Arial" w:eastAsia="Arial" w:hAnsi="Arial"/>
          <w:sz w:val="18"/>
          <w:szCs w:val="18"/>
          <w:color w:val="auto"/>
        </w:rPr>
        <w:t xml:space="preserve">, </w:t>
      </w:r>
      <w:hyperlink r:id="rId68">
        <w:r>
          <w:rPr>
            <w:rFonts w:ascii="Arial" w:cs="Arial" w:eastAsia="Arial" w:hAnsi="Arial"/>
            <w:sz w:val="18"/>
            <w:szCs w:val="18"/>
            <w:u w:val="single" w:color="auto"/>
            <w:color w:val="0000EE"/>
          </w:rPr>
          <w:t>May 5,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9">
        <w:r>
          <w:rPr>
            <w:rFonts w:ascii="Arial" w:cs="Arial" w:eastAsia="Arial" w:hAnsi="Arial"/>
            <w:sz w:val="18"/>
            <w:szCs w:val="18"/>
            <w:u w:val="single" w:color="auto"/>
            <w:color w:val="0000EE"/>
          </w:rPr>
          <w:t>August 4, 2021</w:t>
        </w:r>
      </w:hyperlink>
      <w:r>
        <w:rPr>
          <w:rFonts w:ascii="Arial" w:cs="Arial" w:eastAsia="Arial" w:hAnsi="Arial"/>
          <w:sz w:val="18"/>
          <w:szCs w:val="18"/>
          <w:color w:val="auto"/>
        </w:rPr>
        <w:t>, respectively;</w:t>
      </w:r>
    </w:p>
    <w:p>
      <w:pPr>
        <w:spacing w:after="0" w:line="75" w:lineRule="exact"/>
        <w:rPr>
          <w:rFonts w:ascii="Arial" w:cs="Arial" w:eastAsia="Arial" w:hAnsi="Arial"/>
          <w:sz w:val="18"/>
          <w:szCs w:val="18"/>
          <w:color w:val="auto"/>
        </w:rPr>
      </w:pPr>
    </w:p>
    <w:p>
      <w:pPr>
        <w:ind w:left="1540" w:right="420" w:hanging="331"/>
        <w:spacing w:after="0" w:line="277" w:lineRule="auto"/>
        <w:tabs>
          <w:tab w:leader="none" w:pos="1540" w:val="left"/>
        </w:tabs>
        <w:numPr>
          <w:ilvl w:val="0"/>
          <w:numId w:val="28"/>
        </w:numPr>
        <w:rPr>
          <w:rFonts w:ascii="Arial" w:cs="Arial" w:eastAsia="Arial" w:hAnsi="Arial"/>
          <w:sz w:val="18"/>
          <w:szCs w:val="18"/>
          <w:color w:val="0000EE"/>
        </w:rPr>
      </w:pPr>
      <w:r>
        <w:rPr>
          <w:rFonts w:ascii="Arial" w:cs="Arial" w:eastAsia="Arial" w:hAnsi="Arial"/>
          <w:sz w:val="18"/>
          <w:szCs w:val="18"/>
          <w:color w:val="auto"/>
        </w:rPr>
        <w:t xml:space="preserve">our Current Reports on Form 8-K, filed with the SEC on </w:t>
      </w:r>
      <w:hyperlink r:id="rId70">
        <w:r>
          <w:rPr>
            <w:rFonts w:ascii="Arial" w:cs="Arial" w:eastAsia="Arial" w:hAnsi="Arial"/>
            <w:sz w:val="18"/>
            <w:szCs w:val="18"/>
            <w:u w:val="single" w:color="auto"/>
            <w:color w:val="0000EE"/>
          </w:rPr>
          <w:t>February 12, 2021</w:t>
        </w:r>
      </w:hyperlink>
      <w:r>
        <w:rPr>
          <w:rFonts w:ascii="Arial" w:cs="Arial" w:eastAsia="Arial" w:hAnsi="Arial"/>
          <w:sz w:val="18"/>
          <w:szCs w:val="18"/>
          <w:color w:val="auto"/>
        </w:rPr>
        <w:t xml:space="preserve">, </w:t>
      </w:r>
      <w:hyperlink r:id="rId71">
        <w:r>
          <w:rPr>
            <w:rFonts w:ascii="Arial" w:cs="Arial" w:eastAsia="Arial" w:hAnsi="Arial"/>
            <w:sz w:val="18"/>
            <w:szCs w:val="18"/>
            <w:u w:val="single" w:color="auto"/>
            <w:color w:val="0000EE"/>
          </w:rPr>
          <w:t>March 19, 2021</w:t>
        </w:r>
      </w:hyperlink>
      <w:r>
        <w:rPr>
          <w:rFonts w:ascii="Arial" w:cs="Arial" w:eastAsia="Arial" w:hAnsi="Arial"/>
          <w:sz w:val="18"/>
          <w:szCs w:val="18"/>
          <w:color w:val="auto"/>
        </w:rPr>
        <w:t xml:space="preserve">, </w:t>
      </w:r>
      <w:hyperlink r:id="rId72">
        <w:r>
          <w:rPr>
            <w:rFonts w:ascii="Arial" w:cs="Arial" w:eastAsia="Arial" w:hAnsi="Arial"/>
            <w:sz w:val="18"/>
            <w:szCs w:val="18"/>
            <w:u w:val="single" w:color="auto"/>
            <w:color w:val="0000EE"/>
          </w:rPr>
          <w:t>March 23, 2021</w:t>
        </w:r>
      </w:hyperlink>
      <w:r>
        <w:rPr>
          <w:rFonts w:ascii="Arial" w:cs="Arial" w:eastAsia="Arial" w:hAnsi="Arial"/>
          <w:sz w:val="18"/>
          <w:szCs w:val="18"/>
          <w:color w:val="auto"/>
        </w:rPr>
        <w:t xml:space="preserve">, </w:t>
      </w:r>
      <w:hyperlink r:id="rId73">
        <w:r>
          <w:rPr>
            <w:rFonts w:ascii="Arial" w:cs="Arial" w:eastAsia="Arial" w:hAnsi="Arial"/>
            <w:sz w:val="18"/>
            <w:szCs w:val="18"/>
            <w:u w:val="single" w:color="auto"/>
            <w:color w:val="0000EE"/>
          </w:rPr>
          <w:t>June 21, 2021</w:t>
        </w:r>
      </w:hyperlink>
      <w:r>
        <w:rPr>
          <w:rFonts w:ascii="Arial" w:cs="Arial" w:eastAsia="Arial" w:hAnsi="Arial"/>
          <w:sz w:val="18"/>
          <w:szCs w:val="18"/>
          <w:color w:val="auto"/>
        </w:rPr>
        <w:t xml:space="preserve">, </w:t>
      </w:r>
      <w:hyperlink r:id="rId74">
        <w:r>
          <w:rPr>
            <w:rFonts w:ascii="Arial" w:cs="Arial" w:eastAsia="Arial" w:hAnsi="Arial"/>
            <w:sz w:val="18"/>
            <w:szCs w:val="18"/>
            <w:u w:val="single" w:color="auto"/>
            <w:color w:val="0000EE"/>
          </w:rPr>
          <w:t>August 18, 2021</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75">
        <w:r>
          <w:rPr>
            <w:rFonts w:ascii="Arial" w:cs="Arial" w:eastAsia="Arial" w:hAnsi="Arial"/>
            <w:sz w:val="18"/>
            <w:szCs w:val="18"/>
            <w:u w:val="single" w:color="auto"/>
            <w:color w:val="0000EE"/>
          </w:rPr>
          <w:t>August 20, 2021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540" w:right="120" w:hanging="331"/>
        <w:spacing w:after="0" w:line="277" w:lineRule="auto"/>
        <w:tabs>
          <w:tab w:leader="none" w:pos="1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76">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December 8, 2020 (to the extent incorporated by reference into Part III of our Annual Report on Form 10-K for the fiscal year ended September 30, 2020).</w:t>
      </w:r>
    </w:p>
    <w:p>
      <w:pPr>
        <w:spacing w:after="0" w:line="170" w:lineRule="exact"/>
        <w:rPr>
          <w:rFonts w:ascii="Arial" w:cs="Arial" w:eastAsia="Arial" w:hAnsi="Arial"/>
          <w:sz w:val="18"/>
          <w:szCs w:val="18"/>
          <w:color w:val="0000EE"/>
        </w:rPr>
      </w:pPr>
    </w:p>
    <w:p>
      <w:pPr>
        <w:ind w:left="12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158" w:lineRule="exact"/>
        <w:rPr>
          <w:rFonts w:ascii="Arial" w:cs="Arial" w:eastAsia="Arial" w:hAnsi="Arial"/>
          <w:sz w:val="18"/>
          <w:szCs w:val="18"/>
          <w:color w:val="0000EE"/>
        </w:rPr>
      </w:pPr>
    </w:p>
    <w:p>
      <w:pPr>
        <w:jc w:val="center"/>
        <w:ind w:right="-139"/>
        <w:spacing w:after="0"/>
        <w:rPr>
          <w:sz w:val="20"/>
          <w:szCs w:val="20"/>
          <w:color w:val="auto"/>
        </w:rPr>
      </w:pPr>
      <w:r>
        <w:rPr>
          <w:rFonts w:ascii="Arial" w:cs="Arial" w:eastAsia="Arial" w:hAnsi="Arial"/>
          <w:sz w:val="18"/>
          <w:szCs w:val="18"/>
          <w:color w:val="auto"/>
        </w:rPr>
        <w:t>S-49</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S-50</w:t>
      </w:r>
    </w:p>
    <w:p>
      <w:pPr>
        <w:sectPr>
          <w:pgSz w:w="11900" w:h="16838" w:orient="portrait"/>
          <w:cols w:equalWidth="0" w:num="1">
            <w:col w:w="10940"/>
          </w:cols>
          <w:pgMar w:left="320" w:top="459" w:right="6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75565</wp:posOffset>
            </wp:positionV>
            <wp:extent cx="2219960" cy="514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Common Stock</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Preferred Stock</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Warrants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Subscription Rights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8"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120" w:right="160" w:firstLine="551"/>
        <w:spacing w:after="0" w:line="323" w:lineRule="auto"/>
        <w:rPr>
          <w:sz w:val="20"/>
          <w:szCs w:val="20"/>
          <w:color w:val="auto"/>
        </w:rPr>
      </w:pPr>
      <w:r>
        <w:rPr>
          <w:rFonts w:ascii="Arial" w:cs="Arial" w:eastAsia="Arial" w:hAnsi="Arial"/>
          <w:sz w:val="15"/>
          <w:szCs w:val="15"/>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6" w:lineRule="exact"/>
        <w:rPr>
          <w:sz w:val="20"/>
          <w:szCs w:val="20"/>
          <w:color w:val="auto"/>
        </w:rPr>
      </w:pPr>
    </w:p>
    <w:p>
      <w:pPr>
        <w:ind w:left="12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120" w:firstLine="551"/>
        <w:spacing w:after="0" w:line="286"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13 of this prospectus for more information.</w:t>
      </w:r>
    </w:p>
    <w:p>
      <w:pPr>
        <w:spacing w:after="0" w:line="45" w:lineRule="exact"/>
        <w:rPr>
          <w:sz w:val="20"/>
          <w:szCs w:val="20"/>
          <w:color w:val="auto"/>
        </w:rPr>
      </w:pPr>
    </w:p>
    <w:p>
      <w:pPr>
        <w:ind w:left="120" w:right="200" w:firstLine="551"/>
        <w:spacing w:after="0" w:line="259" w:lineRule="auto"/>
        <w:rPr>
          <w:sz w:val="20"/>
          <w:szCs w:val="20"/>
          <w:color w:val="auto"/>
        </w:rPr>
      </w:pPr>
      <w:r>
        <w:rPr>
          <w:rFonts w:ascii="Arial" w:cs="Arial" w:eastAsia="Arial" w:hAnsi="Arial"/>
          <w:sz w:val="18"/>
          <w:szCs w:val="18"/>
          <w:color w:val="auto"/>
        </w:rPr>
        <w:t>Our common stock is traded on The Nasdaq Global Select Market and the Tel Aviv Stock Exchange, or TASE, under the symbol “PFLT.” The last reported closing price for our common stock on The Nasdaq Global Select Market on January 27, 2020 was $12.01 per share, and our NAV on September 30, 2019 was $12.97 per share.</w:t>
      </w:r>
    </w:p>
    <w:p>
      <w:pPr>
        <w:spacing w:after="0" w:line="59" w:lineRule="exact"/>
        <w:rPr>
          <w:sz w:val="20"/>
          <w:szCs w:val="20"/>
          <w:color w:val="auto"/>
        </w:rPr>
      </w:pPr>
    </w:p>
    <w:p>
      <w:pPr>
        <w:ind w:left="120" w:right="60" w:firstLine="551"/>
        <w:spacing w:after="0" w:line="288"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0"/>
          <w:szCs w:val="20"/>
          <w:color w:val="auto"/>
        </w:rPr>
      </w:pPr>
    </w:p>
    <w:p>
      <w:pPr>
        <w:ind w:left="120" w:right="340" w:firstLine="44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62">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56515</wp:posOffset>
            </wp:positionV>
            <wp:extent cx="1474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49" w:lineRule="exact"/>
        <w:rPr>
          <w:sz w:val="20"/>
          <w:szCs w:val="20"/>
          <w:color w:val="auto"/>
        </w:rPr>
      </w:pPr>
    </w:p>
    <w:p>
      <w:pPr>
        <w:ind w:left="120" w:right="480" w:firstLine="440"/>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dated January 29, 2020</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551"/>
        <w:spacing w:after="0" w:line="288"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16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680" w:type="dxa"/>
            <w:vAlign w:val="bottom"/>
            <w:gridSpan w:val="24"/>
            <w:vMerge w:val="restart"/>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PROSPECTUS SUMMARY</w:t>
              </w:r>
            </w:hyperlink>
          </w:p>
        </w:tc>
        <w:tc>
          <w:tcPr>
            <w:tcW w:w="300" w:type="dxa"/>
            <w:vAlign w:val="bottom"/>
            <w:gridSpan w:val="2"/>
          </w:tcPr>
          <w:p>
            <w:pPr>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169"/>
        </w:trPr>
        <w:tc>
          <w:tcPr>
            <w:tcW w:w="10680" w:type="dxa"/>
            <w:vAlign w:val="bottom"/>
            <w:gridSpan w:val="24"/>
            <w:vMerge w:val="continue"/>
          </w:tcPr>
          <w:p>
            <w:pPr>
              <w:spacing w:after="0"/>
              <w:rPr>
                <w:sz w:val="14"/>
                <w:szCs w:val="14"/>
                <w:color w:val="auto"/>
              </w:rPr>
            </w:pPr>
          </w:p>
        </w:tc>
        <w:tc>
          <w:tcPr>
            <w:tcW w:w="2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FEES AND EXPENSES</w:t>
              </w:r>
            </w:hyperlink>
          </w:p>
        </w:tc>
        <w:tc>
          <w:tcPr>
            <w:tcW w:w="866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RISK FACTORS</w:t>
              </w:r>
            </w:hyperlink>
          </w:p>
        </w:tc>
        <w:tc>
          <w:tcPr>
            <w:tcW w:w="520" w:type="dxa"/>
            <w:vAlign w:val="bottom"/>
            <w:tcBorders>
              <w:top w:val="single" w:sz="8" w:color="0000EE"/>
            </w:tcBorders>
            <w:gridSpan w:val="5"/>
          </w:tcPr>
          <w:p>
            <w:pPr>
              <w:spacing w:after="0"/>
              <w:rPr>
                <w:sz w:val="17"/>
                <w:szCs w:val="17"/>
                <w:color w:val="auto"/>
              </w:rPr>
            </w:pPr>
          </w:p>
        </w:tc>
        <w:tc>
          <w:tcPr>
            <w:tcW w:w="8940" w:type="dxa"/>
            <w:vAlign w:val="bottom"/>
            <w:gridSpan w:val="1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FORWARD-LOOKING STATEMENTS</w:t>
              </w:r>
            </w:hyperlink>
          </w:p>
        </w:tc>
        <w:tc>
          <w:tcPr>
            <w:tcW w:w="78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USE OF PROCEEDS</w:t>
              </w:r>
            </w:hyperlink>
          </w:p>
        </w:tc>
        <w:tc>
          <w:tcPr>
            <w:tcW w:w="9140" w:type="dxa"/>
            <w:vAlign w:val="bottom"/>
            <w:gridSpan w:val="2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SENIOR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PRICE RANGE OF COMMON STOCK</w:t>
              </w:r>
            </w:hyperlink>
          </w:p>
        </w:tc>
        <w:tc>
          <w:tcPr>
            <w:tcW w:w="78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20"/>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SALES OF COMMON STOCK BELOW NET ASSET VALUE</w:t>
              </w:r>
            </w:hyperlink>
          </w:p>
        </w:tc>
        <w:tc>
          <w:tcPr>
            <w:tcW w:w="61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DISTRIBUTIONS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74">
              <w:r>
                <w:rPr>
                  <w:rFonts w:ascii="Arial" w:cs="Arial" w:eastAsia="Arial" w:hAnsi="Arial"/>
                  <w:sz w:val="18"/>
                  <w:szCs w:val="18"/>
                  <w:color w:val="0000EE"/>
                  <w:w w:val="91"/>
                </w:rPr>
                <w:t>PORTFOLIO COMPANIES</w:t>
              </w:r>
            </w:hyperlink>
          </w:p>
        </w:tc>
        <w:tc>
          <w:tcPr>
            <w:tcW w:w="868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PORTFOLIO MANAGEMENT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DETERMINATION OF NET ASSET VALUE</w:t>
              </w:r>
            </w:hyperlink>
          </w:p>
        </w:tc>
        <w:tc>
          <w:tcPr>
            <w:tcW w:w="740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DESCRIPTION OF OUR CAPITAL STOCK</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DESCRIPTION OF OUR PREFERRED STOCK</w:t>
              </w:r>
            </w:hyperlink>
          </w:p>
        </w:tc>
        <w:tc>
          <w:tcPr>
            <w:tcW w:w="720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DESCRIPTION OF OUR WARRANTS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DESCRIPTION OF OUR SUBSCRIPTION RIGHTS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33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1"/>
              </w:rPr>
            </w:pPr>
            <w:hyperlink w:anchor="page98">
              <w:r>
                <w:rPr>
                  <w:rFonts w:ascii="Arial" w:cs="Arial" w:eastAsia="Arial" w:hAnsi="Arial"/>
                  <w:sz w:val="18"/>
                  <w:szCs w:val="18"/>
                  <w:color w:val="0000EE"/>
                  <w:w w:val="91"/>
                </w:rPr>
                <w:t>DESCRIPTION OF OUR DEBT SECURITIES</w:t>
              </w:r>
            </w:hyperlink>
          </w:p>
        </w:tc>
        <w:tc>
          <w:tcPr>
            <w:tcW w:w="420" w:type="dxa"/>
            <w:vAlign w:val="bottom"/>
            <w:tcBorders>
              <w:top w:val="single" w:sz="8" w:color="0000EE"/>
            </w:tcBorders>
            <w:gridSpan w:val="2"/>
          </w:tcPr>
          <w:p>
            <w:pPr>
              <w:spacing w:after="0"/>
              <w:rPr>
                <w:sz w:val="17"/>
                <w:szCs w:val="17"/>
                <w:color w:val="auto"/>
              </w:rPr>
            </w:pPr>
          </w:p>
        </w:tc>
        <w:tc>
          <w:tcPr>
            <w:tcW w:w="690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BROKERAGE ALLOCATIONS AND OTHER PRACTICES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42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1620" w:type="dxa"/>
            <w:vAlign w:val="bottom"/>
            <w:gridSpan w:val="9"/>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MATERIAL U.S. FEDERAL INCOME TAX CONSIDERATIONS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4"/>
              </w:rPr>
            </w:pPr>
            <w:hyperlink w:anchor="page120">
              <w:r>
                <w:rPr>
                  <w:rFonts w:ascii="Arial" w:cs="Arial" w:eastAsia="Arial" w:hAnsi="Arial"/>
                  <w:sz w:val="18"/>
                  <w:szCs w:val="18"/>
                  <w:color w:val="0000EE"/>
                  <w:w w:val="94"/>
                </w:rPr>
                <w:t>PLAN OF DISTRIBUTION</w:t>
              </w:r>
            </w:hyperlink>
          </w:p>
        </w:tc>
        <w:tc>
          <w:tcPr>
            <w:tcW w:w="2740" w:type="dxa"/>
            <w:vAlign w:val="bottom"/>
            <w:tcBorders>
              <w:top w:val="single" w:sz="8" w:color="0000EE"/>
            </w:tcBorders>
            <w:gridSpan w:val="15"/>
          </w:tcPr>
          <w:p>
            <w:pPr>
              <w:spacing w:after="0"/>
              <w:rPr>
                <w:sz w:val="17"/>
                <w:szCs w:val="17"/>
                <w:color w:val="auto"/>
              </w:rPr>
            </w:pPr>
          </w:p>
        </w:tc>
        <w:tc>
          <w:tcPr>
            <w:tcW w:w="594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SUB-ADMINISTRATOR, CUSTODIAN, TRANSFER AGENT AND TRUSTEE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LEGAL MATTERS</w:t>
              </w:r>
            </w:hyperlink>
          </w:p>
        </w:tc>
        <w:tc>
          <w:tcPr>
            <w:tcW w:w="4360" w:type="dxa"/>
            <w:vAlign w:val="bottom"/>
            <w:tcBorders>
              <w:top w:val="single" w:sz="8" w:color="0000EE"/>
            </w:tcBorders>
            <w:gridSpan w:val="20"/>
          </w:tcPr>
          <w:p>
            <w:pPr>
              <w:spacing w:after="0"/>
              <w:rPr>
                <w:sz w:val="17"/>
                <w:szCs w:val="17"/>
                <w:color w:val="auto"/>
              </w:rPr>
            </w:pPr>
          </w:p>
        </w:tc>
        <w:tc>
          <w:tcPr>
            <w:tcW w:w="49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680" w:type="dxa"/>
            <w:vAlign w:val="bottom"/>
            <w:tcBorders>
              <w:bottom w:val="single" w:sz="8" w:color="0000EE"/>
            </w:tcBorders>
            <w:gridSpan w:val="21"/>
          </w:tcPr>
          <w:p>
            <w:pPr>
              <w:spacing w:after="0" w:line="196" w:lineRule="exact"/>
              <w:rPr>
                <w:rFonts w:ascii="Arial" w:cs="Arial" w:eastAsia="Arial" w:hAnsi="Arial"/>
                <w:sz w:val="18"/>
                <w:szCs w:val="18"/>
                <w:color w:val="0000EE"/>
                <w:w w:val="93"/>
              </w:rPr>
            </w:pPr>
            <w:hyperlink w:anchor="page122">
              <w:r>
                <w:rPr>
                  <w:rFonts w:ascii="Arial" w:cs="Arial" w:eastAsia="Arial" w:hAnsi="Arial"/>
                  <w:sz w:val="18"/>
                  <w:szCs w:val="18"/>
                  <w:color w:val="0000EE"/>
                  <w:w w:val="93"/>
                </w:rPr>
                <w:t>INDEPENDENT REGISTERED PUBLIC ACCOUNTING FIRM</w:t>
              </w:r>
            </w:hyperlink>
          </w:p>
        </w:tc>
        <w:tc>
          <w:tcPr>
            <w:tcW w:w="60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680" w:type="dxa"/>
            <w:vAlign w:val="bottom"/>
            <w:gridSpan w:val="24"/>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INCORPORATION BY REFERENCE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27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AVAILABLE INFORMATION</w:t>
              </w:r>
            </w:hyperlink>
          </w:p>
        </w:tc>
        <w:tc>
          <w:tcPr>
            <w:tcW w:w="79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left="120" w:firstLine="551"/>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 titled “Available Information,” before you make an investment decision.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82"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“Code” refers to the Internal Revenue Code of 1986, as amended; “RIC” refers to a regulated investment company under the Code; “1940 Act” refers to the Investment Company Act of 1940, as amended; “BDC” refers to a business development company under the 1940 Act; “Credit Facility” refers to our multi-currency senior secured revolving credit facility, as amended and restated with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w:t>
      </w:r>
    </w:p>
    <w:p>
      <w:pPr>
        <w:spacing w:after="0" w:line="10" w:lineRule="exact"/>
        <w:rPr>
          <w:sz w:val="20"/>
          <w:szCs w:val="20"/>
          <w:color w:val="auto"/>
        </w:rPr>
      </w:pPr>
    </w:p>
    <w:p>
      <w:pPr>
        <w:ind w:left="300" w:right="720" w:hanging="2"/>
        <w:spacing w:after="0" w:line="260" w:lineRule="auto"/>
        <w:tabs>
          <w:tab w:leader="none" w:pos="565"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borrowing of the Class A-1 Senior Secured Floating Rate Notes due 2031 by the Securitization Issuers in connection with the Debt Securitization.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300" w:firstLine="426"/>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6" w:lineRule="exact"/>
        <w:rPr>
          <w:sz w:val="20"/>
          <w:szCs w:val="20"/>
          <w:color w:val="auto"/>
        </w:rPr>
      </w:pPr>
    </w:p>
    <w:p>
      <w:pPr>
        <w:ind w:left="300" w:right="320" w:firstLine="426"/>
        <w:spacing w:after="0" w:line="291"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w:t>
      </w:r>
    </w:p>
    <w:p>
      <w:pPr>
        <w:ind w:left="300" w:right="60"/>
        <w:spacing w:after="0" w:line="269" w:lineRule="auto"/>
        <w:rPr>
          <w:sz w:val="20"/>
          <w:szCs w:val="20"/>
          <w:color w:val="auto"/>
        </w:rPr>
      </w:pPr>
      <w:r>
        <w:rPr>
          <w:rFonts w:ascii="Arial" w:cs="Arial" w:eastAsia="Arial" w:hAnsi="Arial"/>
          <w:sz w:val="17"/>
          <w:szCs w:val="17"/>
          <w:color w:val="auto"/>
        </w:rPr>
        <w:t>$1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6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93"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64"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see “Management’s Discussion and Analysis of Financial Condition and Results of Operations—Liquidity and Capital Resources” in our most recent Annual Report on Form 10-K or Quarterly Report on Form 10-Q.</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formed Funding I in order to establish our Credit Facility.</w:t>
      </w:r>
    </w:p>
    <w:p>
      <w:pPr>
        <w:spacing w:after="0" w:line="211"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84"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35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that with a large pool of uninvested private equity capital seeking debt capital to complete private investments and a substantial supply of refinancing opportunities, there is an opportunity to attain attractive risk-reward with debt investments. See “Business” in our most recent Annual Report on Form 10-K for more information.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00" w:right="560" w:firstLine="426"/>
        <w:spacing w:after="0" w:line="277"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Distributions may include a return of capital. See “Distributions”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16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0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Sales load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Estimated annual expenses (as a percentage of average net assets attributable</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 common shares)</w:t>
            </w:r>
            <w:r>
              <w:rPr>
                <w:rFonts w:ascii="Arial" w:cs="Arial" w:eastAsia="Arial" w:hAnsi="Arial"/>
                <w:sz w:val="15"/>
                <w:szCs w:val="15"/>
                <w:b w:val="1"/>
                <w:bCs w:val="1"/>
                <w:color w:val="auto"/>
              </w:rPr>
              <w:t>(3)</w:t>
            </w:r>
          </w:p>
        </w:tc>
        <w:tc>
          <w:tcPr>
            <w:tcW w:w="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Management fees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expenses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14.81%</w:t>
            </w:r>
            <w:r>
              <w:rPr>
                <w:rFonts w:ascii="Arial" w:cs="Arial" w:eastAsia="Arial" w:hAnsi="Arial"/>
                <w:sz w:val="15"/>
                <w:szCs w:val="15"/>
                <w:color w:val="auto"/>
                <w:w w:val="98"/>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760" w:hanging="424"/>
        <w:spacing w:after="0" w:line="25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2019.</w:t>
      </w:r>
    </w:p>
    <w:p>
      <w:pPr>
        <w:spacing w:after="0" w:line="9"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2019. See “Business—Investment Management Agreement” and “Business—Investment Advisory Fees” in our most recent Annual Report on Form 10-K for more information.</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“Business—Investment Advisory Fees” in our most recent Annual Report on Form 10-K for more information.</w:t>
      </w:r>
    </w:p>
    <w:p>
      <w:pPr>
        <w:spacing w:after="0" w:line="1" w:lineRule="exact"/>
        <w:rPr>
          <w:rFonts w:ascii="Arial" w:cs="Arial" w:eastAsia="Arial" w:hAnsi="Arial"/>
          <w:sz w:val="17"/>
          <w:szCs w:val="17"/>
          <w:color w:val="auto"/>
        </w:rPr>
      </w:pPr>
    </w:p>
    <w:p>
      <w:pPr>
        <w:jc w:val="both"/>
        <w:ind w:left="54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September 30, 2019, we had $265.3 million in borrowings outstanding under our Credit Facility, $138.6 million outstanding under our 2023 Notes and $228.0 million outstanding under the 2031 Asset-Backed Debt. We may use proceeds of an offering of securities under this registration statement to repay</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outstanding obligations under our Credit Facility. After completing any such offering, we may continue to borrow under our Credit Facility to finance our investment objectives. Annual interest expense on borrowed funds represents actual interest expense, amendment costs incurred on our Credit Facility, and debt issuance costs, if any, for the fiscal year ended September 30, 2019 and we caution you that our actual interest expense in the future will depend on prevailing interest rates and our rate of borrowing, which may be substantially higher than the amount provided in this table.</w:t>
      </w:r>
    </w:p>
    <w:p>
      <w:pPr>
        <w:spacing w:after="0" w:line="3" w:lineRule="exact"/>
        <w:rPr>
          <w:sz w:val="20"/>
          <w:szCs w:val="20"/>
          <w:color w:val="auto"/>
        </w:rPr>
      </w:pPr>
    </w:p>
    <w:p>
      <w:pPr>
        <w:ind w:left="540" w:hanging="424"/>
        <w:spacing w:after="0" w:line="28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2019. Expenses for PSSL may fluctuate over time and may be substantially higher or lower in the future.</w:t>
      </w:r>
    </w:p>
    <w:p>
      <w:pPr>
        <w:spacing w:after="0" w:line="2"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8"/>
          <w:szCs w:val="18"/>
          <w:color w:val="auto"/>
        </w:rPr>
      </w:pPr>
    </w:p>
    <w:p>
      <w:pPr>
        <w:ind w:left="540" w:right="60" w:hanging="424"/>
        <w:spacing w:after="0" w:line="270"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7.23% of average total assets.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120" w:right="600" w:firstLine="440"/>
        <w:spacing w:after="0" w:line="291" w:lineRule="auto"/>
        <w:rPr>
          <w:sz w:val="20"/>
          <w:szCs w:val="20"/>
          <w:color w:val="auto"/>
        </w:rPr>
      </w:pPr>
      <w:r>
        <w:rPr>
          <w:rFonts w:ascii="Arial" w:cs="Arial" w:eastAsia="Arial" w:hAnsi="Arial"/>
          <w:sz w:val="16"/>
          <w:szCs w:val="16"/>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w:t>
      </w:r>
    </w:p>
    <w:p>
      <w:pPr>
        <w:ind w:left="120" w:right="700" w:hanging="4"/>
        <w:spacing w:after="0" w:line="260" w:lineRule="auto"/>
        <w:tabs>
          <w:tab w:leader="none" w:pos="3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net estimated annual expenses of 13.61% of average net assets attributable to common shares as set forth in the table above (other than performance-based incentive fees) and (3) a 5% annual return.</w:t>
      </w:r>
    </w:p>
    <w:p>
      <w:pPr>
        <w:spacing w:after="0" w:line="1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 investment:</w:t>
            </w: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260" w:type="dxa"/>
            <w:vAlign w:val="bottom"/>
          </w:tcPr>
          <w:p>
            <w:pPr>
              <w:spacing w:after="0"/>
              <w:rPr>
                <w:sz w:val="16"/>
                <w:szCs w:val="16"/>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26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175"/>
        </w:trPr>
        <w:tc>
          <w:tcPr>
            <w:tcW w:w="65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Assuming a 5% annual return (assumes no return from net realized capital gains or net</w:t>
            </w:r>
          </w:p>
        </w:tc>
        <w:tc>
          <w:tcPr>
            <w:tcW w:w="2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$ 161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381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564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r>
      <w:tr>
        <w:trPr>
          <w:trHeight w:val="202"/>
        </w:trPr>
        <w:tc>
          <w:tcPr>
            <w:tcW w:w="6540" w:type="dxa"/>
            <w:vAlign w:val="bottom"/>
            <w:gridSpan w:val="2"/>
          </w:tcPr>
          <w:p>
            <w:pPr>
              <w:spacing w:after="0" w:line="201" w:lineRule="exact"/>
              <w:rPr>
                <w:sz w:val="20"/>
                <w:szCs w:val="20"/>
                <w:color w:val="auto"/>
              </w:rPr>
            </w:pPr>
            <w:r>
              <w:rPr>
                <w:rFonts w:ascii="Arial" w:cs="Arial" w:eastAsia="Arial" w:hAnsi="Arial"/>
                <w:sz w:val="18"/>
                <w:szCs w:val="18"/>
                <w:color w:val="auto"/>
                <w:w w:val="93"/>
              </w:rPr>
              <w:t>Assuming a 5% annual return (assumes return from only realized capital gains and thus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$ 169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589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923</w:t>
            </w:r>
          </w:p>
        </w:tc>
      </w:tr>
    </w:tbl>
    <w:p>
      <w:pPr>
        <w:spacing w:after="0" w:line="20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20,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Securities Exchange Act of 1934, as amended, or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Information about our senior securities shown in the following table as of September 30, 2019, 2018,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w w:val="89"/>
              </w:rPr>
              <w:t>Asset</w:t>
            </w:r>
          </w:p>
        </w:tc>
        <w:tc>
          <w:tcPr>
            <w:tcW w:w="7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266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Coverage</w:t>
            </w:r>
          </w:p>
        </w:tc>
        <w:tc>
          <w:tcPr>
            <w:tcW w:w="16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660" w:type="dxa"/>
            <w:vAlign w:val="bottom"/>
            <w:gridSpan w:val="3"/>
          </w:tcPr>
          <w:p>
            <w:pPr>
              <w:ind w:left="174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380" w:type="dxa"/>
            <w:vAlign w:val="bottom"/>
            <w:gridSpan w:val="3"/>
          </w:tcPr>
          <w:p>
            <w:pPr>
              <w:ind w:left="700"/>
              <w:spacing w:after="0" w:line="158" w:lineRule="exact"/>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2"/>
                <w:szCs w:val="12"/>
                <w:b w:val="1"/>
                <w:bCs w:val="1"/>
                <w:color w:val="auto"/>
                <w:w w:val="97"/>
              </w:rPr>
              <w:t>(2)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17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265,308</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333,728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253,783</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2,780</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29,600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13,598</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99,600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3,109</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24,650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4,735</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2023 Notes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138,580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2031 Asset-Backed Debt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 in the United States of America.</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2017. On January 27, 2020, the last reported closing price of our common stock on The Nasdaq Global Select Market was $12.01 per share.</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Closing Sales Price</w:t>
            </w: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Premium / (Discount)</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Premium / (Discount)</w:t>
            </w:r>
          </w:p>
        </w:tc>
        <w:tc>
          <w:tcPr>
            <w:tcW w:w="24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70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on NASDAQ</w:t>
            </w: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of High Sales</w:t>
            </w: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of Low Sales</w:t>
            </w: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98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7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19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17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Fiscal Year Ending September 30,</w:t>
            </w:r>
          </w:p>
        </w:tc>
        <w:tc>
          <w:tcPr>
            <w:tcW w:w="5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(through</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January 27, 2020)</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 N/A</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$12.40</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$12.01</w:t>
            </w:r>
          </w:p>
        </w:tc>
        <w:tc>
          <w:tcPr>
            <w:tcW w:w="19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72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w w:val="97"/>
              </w:rPr>
              <w:t>0.095</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12.56</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11.33</w:t>
            </w:r>
          </w:p>
        </w:tc>
        <w:tc>
          <w:tcPr>
            <w:tcW w:w="19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17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1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11.79</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11.22</w:t>
            </w:r>
          </w:p>
        </w:tc>
        <w:tc>
          <w:tcPr>
            <w:tcW w:w="1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13.07</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13.35</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11.44</w:t>
            </w: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13.38</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11.80</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13.66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13.34</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11.20</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13.82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13.83</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13.15</w:t>
            </w: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14.10</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13.08</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13.98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13.85</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12.19</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14.61</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13.72</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60" w:hanging="424"/>
        <w:spacing w:after="0" w:line="25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 dividend of $0.095 per share payable on February 3, 2020 to stockholders of record as of January 16, 2020.</w:t>
      </w:r>
    </w:p>
    <w:p>
      <w:pPr>
        <w:spacing w:after="0" w:line="21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$11.60 and $13.15 on September 30, 2019 and 2018, respectively. Our NAV per share was $12.97 and $13.82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43 stockholders of record.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8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5540" w:right="5040" w:hanging="4884"/>
        <w:spacing w:after="0" w:line="535" w:lineRule="auto"/>
        <w:tabs>
          <w:tab w:leader="none" w:pos="1094"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13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1</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Example 2</w:t>
            </w: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00" w:type="dxa"/>
            <w:vAlign w:val="bottom"/>
          </w:tcPr>
          <w:p>
            <w:pPr>
              <w:spacing w:after="0"/>
              <w:rPr>
                <w:sz w:val="12"/>
                <w:szCs w:val="12"/>
                <w:color w:val="auto"/>
              </w:rPr>
            </w:pPr>
          </w:p>
        </w:tc>
        <w:tc>
          <w:tcPr>
            <w:tcW w:w="17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4"/>
              </w:rPr>
              <w:t>at 10% Discount</w:t>
            </w:r>
          </w:p>
        </w:tc>
        <w:tc>
          <w:tcPr>
            <w:tcW w:w="10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2"/>
              </w:rPr>
              <w:t>1,000,000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1,050,000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7"/>
              </w:rPr>
              <w:t>1,250,000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9.98</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(0.90)%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99,800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95,000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3700" w:type="dxa"/>
            <w:vAlign w:val="bottom"/>
          </w:tcPr>
          <w:p>
            <w:pPr>
              <w:ind w:left="320"/>
              <w:spacing w:after="0"/>
              <w:rPr>
                <w:sz w:val="20"/>
                <w:szCs w:val="20"/>
                <w:color w:val="auto"/>
              </w:rPr>
            </w:pPr>
            <w:r>
              <w:rPr>
                <w:rFonts w:ascii="Arial" w:cs="Arial" w:eastAsia="Arial" w:hAnsi="Arial"/>
                <w:sz w:val="16"/>
                <w:szCs w:val="16"/>
                <w:color w:val="auto"/>
              </w:rPr>
              <w:t>Total investment by stockholder A (assumed to</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00" w:type="dxa"/>
            <w:vAlign w:val="bottom"/>
          </w:tcPr>
          <w:p>
            <w:pPr>
              <w:ind w:left="480"/>
              <w:spacing w:after="0"/>
              <w:rPr>
                <w:sz w:val="20"/>
                <w:szCs w:val="20"/>
                <w:color w:val="auto"/>
              </w:rPr>
            </w:pPr>
            <w:r>
              <w:rPr>
                <w:rFonts w:ascii="Arial" w:cs="Arial" w:eastAsia="Arial" w:hAnsi="Arial"/>
                <w:sz w:val="16"/>
                <w:szCs w:val="16"/>
                <w:color w:val="auto"/>
              </w:rPr>
              <w:t>be $10.00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100,000</w:t>
            </w:r>
          </w:p>
        </w:tc>
        <w:tc>
          <w:tcPr>
            <w:tcW w:w="80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100,000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 to stockholder A (total NAV less</w:t>
            </w:r>
          </w:p>
        </w:tc>
        <w:tc>
          <w:tcPr>
            <w:tcW w:w="10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investment)</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(200)</w:t>
            </w:r>
          </w:p>
        </w:tc>
        <w:tc>
          <w:tcPr>
            <w:tcW w:w="80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(900)</w:t>
            </w: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(5,000)</w:t>
            </w: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Example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Example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Amounts</w:t>
            </w: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20"/>
              <w:spacing w:after="0"/>
              <w:rPr>
                <w:sz w:val="20"/>
                <w:szCs w:val="20"/>
                <w:color w:val="auto"/>
              </w:rPr>
            </w:pPr>
            <w:r>
              <w:rPr>
                <w:rFonts w:ascii="Arial" w:cs="Arial" w:eastAsia="Arial" w:hAnsi="Arial"/>
                <w:sz w:val="16"/>
                <w:szCs w:val="16"/>
                <w:color w:val="auto"/>
              </w:rPr>
              <w:t>NAV per share held by stockholder A</w:t>
            </w:r>
          </w:p>
        </w:tc>
        <w:tc>
          <w:tcPr>
            <w:tcW w:w="24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9.98</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9.91</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Investment per share held by stockholder A (assumed to</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be $10.00 per share on shares held prior to sale)</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10.00</w:t>
            </w:r>
          </w:p>
        </w:tc>
        <w:tc>
          <w:tcPr>
            <w:tcW w:w="820" w:type="dxa"/>
            <w:vAlign w:val="bottom"/>
            <w:gridSpan w:val="2"/>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00" w:type="dxa"/>
            <w:vAlign w:val="bottom"/>
            <w:gridSpan w:val="2"/>
            <w:vMerge w:val="continue"/>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10.00</w:t>
            </w: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20" w:type="dxa"/>
            <w:vAlign w:val="bottom"/>
          </w:tcPr>
          <w:p>
            <w:pPr>
              <w:ind w:left="320"/>
              <w:spacing w:after="0"/>
              <w:rPr>
                <w:sz w:val="20"/>
                <w:szCs w:val="20"/>
                <w:color w:val="auto"/>
              </w:rPr>
            </w:pPr>
            <w:r>
              <w:rPr>
                <w:rFonts w:ascii="Arial" w:cs="Arial" w:eastAsia="Arial" w:hAnsi="Arial"/>
                <w:sz w:val="16"/>
                <w:szCs w:val="16"/>
                <w:color w:val="auto"/>
              </w:rPr>
              <w:t>Dilution per share held by stockholder A (NAV per share</w:t>
            </w:r>
          </w:p>
        </w:tc>
        <w:tc>
          <w:tcPr>
            <w:tcW w:w="2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tcPr>
          <w:p>
            <w:pPr>
              <w:ind w:left="480"/>
              <w:spacing w:after="0"/>
              <w:rPr>
                <w:sz w:val="20"/>
                <w:szCs w:val="20"/>
                <w:color w:val="auto"/>
              </w:rPr>
            </w:pPr>
            <w:r>
              <w:rPr>
                <w:rFonts w:ascii="Arial" w:cs="Arial" w:eastAsia="Arial" w:hAnsi="Arial"/>
                <w:sz w:val="16"/>
                <w:szCs w:val="16"/>
                <w:color w:val="auto"/>
              </w:rPr>
              <w:t>less investment per share)</w:t>
            </w:r>
          </w:p>
        </w:tc>
        <w:tc>
          <w:tcPr>
            <w:tcW w:w="2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(0.02)</w:t>
            </w:r>
          </w:p>
        </w:tc>
        <w:tc>
          <w:tcPr>
            <w:tcW w:w="820" w:type="dxa"/>
            <w:vAlign w:val="bottom"/>
            <w:gridSpan w:val="2"/>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(0.09)</w:t>
            </w:r>
          </w:p>
        </w:tc>
        <w:tc>
          <w:tcPr>
            <w:tcW w:w="800" w:type="dxa"/>
            <w:vAlign w:val="bottom"/>
            <w:gridSpan w:val="2"/>
            <w:vMerge w:val="continue"/>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Percentage dilution to stockholder A (dilution per share</w:t>
            </w:r>
          </w:p>
        </w:tc>
        <w:tc>
          <w:tcPr>
            <w:tcW w:w="2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divided by investment per share)</w:t>
            </w:r>
          </w:p>
        </w:tc>
        <w:tc>
          <w:tcPr>
            <w:tcW w:w="2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6"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their proportionate share of the offering (i.e. 3,750 shares which is 1.50% of the offering of 250,000 shares rather than their 1.00% proportionate share).</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Increases in Shares and Decrease to NAV</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NAV per share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5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11,250</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13,750</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106,875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24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160"/>
              <w:spacing w:after="0"/>
              <w:rPr>
                <w:sz w:val="20"/>
                <w:szCs w:val="20"/>
                <w:color w:val="auto"/>
              </w:rPr>
            </w:pPr>
            <w:r>
              <w:rPr>
                <w:rFonts w:ascii="Arial" w:cs="Arial" w:eastAsia="Arial" w:hAnsi="Arial"/>
                <w:sz w:val="16"/>
                <w:szCs w:val="16"/>
                <w:color w:val="auto"/>
              </w:rPr>
              <w:t>held prior to sale)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109,863</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9.86%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129,588</w:t>
            </w: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6"/>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w w:val="99"/>
              </w:rPr>
              <w:t>Total (dilution)/accretion to stockholder A (total NAV less total investment)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(2,988)</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240" w:type="dxa"/>
            <w:vAlign w:val="bottom"/>
          </w:tcPr>
          <w:p>
            <w:pPr>
              <w:ind w:left="320"/>
              <w:spacing w:after="0"/>
              <w:rPr>
                <w:sz w:val="20"/>
                <w:szCs w:val="20"/>
                <w:color w:val="auto"/>
              </w:rPr>
            </w:pPr>
            <w:r>
              <w:rPr>
                <w:rFonts w:ascii="Arial" w:cs="Arial" w:eastAsia="Arial" w:hAnsi="Arial"/>
                <w:sz w:val="16"/>
                <w:szCs w:val="16"/>
                <w:color w:val="auto"/>
                <w:w w:val="97"/>
              </w:rPr>
              <w:t>Investment per share held by stockholder A (assumed to be $10.00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480"/>
              <w:spacing w:after="0"/>
              <w:rPr>
                <w:sz w:val="20"/>
                <w:szCs w:val="20"/>
                <w:color w:val="auto"/>
              </w:rPr>
            </w:pPr>
            <w:r>
              <w:rPr>
                <w:rFonts w:ascii="Arial" w:cs="Arial" w:eastAsia="Arial" w:hAnsi="Arial"/>
                <w:sz w:val="16"/>
                <w:szCs w:val="16"/>
                <w:color w:val="auto"/>
              </w:rPr>
              <w:t>share on shares held prior to sale)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9.77</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9.42</w:t>
            </w:r>
          </w:p>
        </w:tc>
        <w:tc>
          <w:tcPr>
            <w:tcW w:w="5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(Dilution)/accretion per share held by stockholder A (NAV per share less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(0.27)</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240" w:type="dxa"/>
            <w:vAlign w:val="bottom"/>
          </w:tcPr>
          <w:p>
            <w:pPr>
              <w:ind w:left="320"/>
              <w:spacing w:after="0"/>
              <w:rPr>
                <w:sz w:val="20"/>
                <w:szCs w:val="20"/>
                <w:color w:val="auto"/>
              </w:rPr>
            </w:pPr>
            <w:r>
              <w:rPr>
                <w:rFonts w:ascii="Arial" w:cs="Arial" w:eastAsia="Arial" w:hAnsi="Arial"/>
                <w:sz w:val="16"/>
                <w:szCs w:val="16"/>
                <w:color w:val="auto"/>
                <w:w w:val="97"/>
              </w:rPr>
              <w:t>Percentage (dilution)/accretion to stockholder A ((dilution)/accretion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2</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80" w:type="dxa"/>
            <w:vAlign w:val="bottom"/>
          </w:tcPr>
          <w:p>
            <w:pPr>
              <w:spacing w:after="0"/>
              <w:rPr>
                <w:sz w:val="12"/>
                <w:szCs w:val="12"/>
                <w:color w:val="auto"/>
              </w:rPr>
            </w:pPr>
          </w:p>
        </w:tc>
        <w:tc>
          <w:tcPr>
            <w:tcW w:w="18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6"/>
              </w:rPr>
              <w:t>at 10% Discount</w:t>
            </w:r>
          </w:p>
        </w:tc>
        <w:tc>
          <w:tcPr>
            <w:tcW w:w="80" w:type="dxa"/>
            <w:vAlign w:val="bottom"/>
          </w:tcPr>
          <w:p>
            <w:pPr>
              <w:spacing w:after="0"/>
              <w:rPr>
                <w:sz w:val="14"/>
                <w:szCs w:val="14"/>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b w:val="1"/>
                <w:bCs w:val="1"/>
                <w:color w:val="auto"/>
              </w:rPr>
              <w:t>Decrease to NAV</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7"/>
              </w:rPr>
              <w:t>1,050,000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1,100,000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9"/>
              </w:rPr>
              <w:t>1,250,000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NAV per share</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 to Stockholder A</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500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2,500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0.90%</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4,990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6"/>
                <w:szCs w:val="16"/>
                <w:color w:val="auto"/>
              </w:rPr>
              <w:t>Total investment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5,000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9,470</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19,725</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(dilution)/accretion to stockholder A</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4,025</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66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6"/>
                <w:szCs w:val="16"/>
                <w:color w:val="auto"/>
              </w:rPr>
              <w:t>Investment per share held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1.61</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tcPr>
          <w:p>
            <w:pPr>
              <w:ind w:left="320"/>
              <w:spacing w:after="0"/>
              <w:rPr>
                <w:sz w:val="20"/>
                <w:szCs w:val="20"/>
                <w:color w:val="auto"/>
              </w:rPr>
            </w:pPr>
            <w:r>
              <w:rPr>
                <w:rFonts w:ascii="Arial" w:cs="Arial" w:eastAsia="Arial" w:hAnsi="Arial"/>
                <w:sz w:val="16"/>
                <w:szCs w:val="16"/>
                <w:color w:val="auto"/>
              </w:rPr>
              <w:t>Percentage (dilution)/accretion to</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80"/>
              <w:spacing w:after="0"/>
              <w:rPr>
                <w:sz w:val="20"/>
                <w:szCs w:val="20"/>
                <w:color w:val="auto"/>
              </w:rPr>
            </w:pPr>
            <w:r>
              <w:rPr>
                <w:rFonts w:ascii="Arial" w:cs="Arial" w:eastAsia="Arial" w:hAnsi="Arial"/>
                <w:sz w:val="16"/>
                <w:szCs w:val="16"/>
                <w:color w:val="auto"/>
              </w:rPr>
              <w:t>stockholder A ((dilution)/accretion per</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6"/>
                <w:szCs w:val="16"/>
                <w:color w:val="auto"/>
              </w:rPr>
              <w:t>4.65%</w:t>
            </w:r>
          </w:p>
        </w:tc>
        <w:tc>
          <w:tcPr>
            <w:tcW w:w="80" w:type="dxa"/>
            <w:vAlign w:val="bottom"/>
          </w:tcPr>
          <w:p>
            <w:pPr>
              <w:spacing w:after="0"/>
              <w:rPr>
                <w:sz w:val="17"/>
                <w:szCs w:val="17"/>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w:t>
      </w:r>
    </w:p>
    <w:p>
      <w:pPr>
        <w:spacing w:after="0" w:line="46"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2018 from ordinary income (including short-term gains, if any), totaled $44.2 million and $42.8 million, or $1.14 and $1.14 per share, respectively, based on the weighted average shares outstanding for the respective periods. Additionally, for the year ended September 30, 2019 and 2018, we had long-term capital gain distributions of zero and $0.8 million, or zero and $0.02 per share, respectively, based on the weighted average shares outstanding.</w:t>
      </w:r>
    </w:p>
    <w:p>
      <w:pPr>
        <w:spacing w:after="0" w:line="193"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w:t>
      </w:r>
    </w:p>
    <w:p>
      <w:pPr>
        <w:spacing w:after="0" w:line="188"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38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440" w:type="dxa"/>
            <w:vAlign w:val="bottom"/>
            <w:gridSpan w:val="2"/>
            <w:vMerge w:val="continue"/>
          </w:tcPr>
          <w:p>
            <w:pPr>
              <w:spacing w:after="0"/>
              <w:rPr>
                <w:sz w:val="12"/>
                <w:szCs w:val="12"/>
                <w:color w:val="auto"/>
              </w:rPr>
            </w:pPr>
          </w:p>
        </w:tc>
        <w:tc>
          <w:tcPr>
            <w:tcW w:w="1220" w:type="dxa"/>
            <w:vAlign w:val="bottom"/>
            <w:gridSpan w:val="2"/>
          </w:tcPr>
          <w:p>
            <w:pPr>
              <w:jc w:val="right"/>
              <w:ind w:right="4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5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33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18 Fremont Street Acquisition, LLC</w:t>
            </w:r>
          </w:p>
        </w:tc>
        <w:tc>
          <w:tcPr>
            <w:tcW w:w="206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1"/>
              </w:rPr>
              <w:t>Hotels, Restaurants and Leisure</w:t>
            </w:r>
          </w:p>
        </w:tc>
        <w:tc>
          <w:tcPr>
            <w:tcW w:w="344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 1M L+800, 08/11/2025</w:t>
            </w:r>
          </w:p>
        </w:tc>
        <w:tc>
          <w:tcPr>
            <w:tcW w:w="1220" w:type="dxa"/>
            <w:vAlign w:val="bottom"/>
            <w:gridSpan w:val="2"/>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1 Fremont Street</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Las Vegas, NV 89101</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20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Goods: Durable</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87"/>
              </w:rPr>
              <w:t>Warrants</w:t>
            </w:r>
          </w:p>
        </w:tc>
        <w:tc>
          <w:tcPr>
            <w:tcW w:w="122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AG Investco LP</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Software</w:t>
            </w:r>
          </w:p>
        </w:tc>
        <w:tc>
          <w:tcPr>
            <w:tcW w:w="34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251 Little Falls Drive</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Herndon, VA 19808</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20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IT Services</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L+600, 07/24/2025</w:t>
            </w:r>
          </w:p>
        </w:tc>
        <w:tc>
          <w:tcPr>
            <w:tcW w:w="122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American Auto Auction Group, LLC</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Transportation: Consumer</w:t>
            </w: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 3M L+475, 01/02/2024</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10333 N. Meridian, Suite 200</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Indianapolis, IN 46290</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20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5"/>
              </w:rPr>
              <w:t>Building Products</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L+550, 12/21/2023</w:t>
            </w:r>
          </w:p>
        </w:tc>
        <w:tc>
          <w:tcPr>
            <w:tcW w:w="122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15,023</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American Teleconferencing Services, Ltd.</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Telecommunications</w:t>
            </w: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 3M L+650, 12/08/2021</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6,771</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3280 Peachtree Road, NE</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Atlanta, GA 30305</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API Technologies Corp.</w:t>
            </w:r>
          </w:p>
        </w:tc>
        <w:tc>
          <w:tcPr>
            <w:tcW w:w="20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Electronic Equipment,</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 1M L+425, 05/11/2026</w:t>
            </w:r>
          </w:p>
        </w:tc>
        <w:tc>
          <w:tcPr>
            <w:tcW w:w="122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4705 S. Apopka Vineland Rd., Suite 210</w:t>
            </w:r>
          </w:p>
        </w:tc>
        <w:tc>
          <w:tcPr>
            <w:tcW w:w="20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Instruments, and Components</w:t>
            </w: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Orlando, FL 32819</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0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BEI Precision Systems &amp; Space Company,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Aerospace and Defense</w:t>
            </w:r>
          </w:p>
        </w:tc>
        <w:tc>
          <w:tcPr>
            <w:tcW w:w="26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11,613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1100 Murphy Drive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04/28/2023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Maumelle, AR 72113</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By Light Professional IT Services,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22,316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(By Light Investco LP)</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L+625, 05/16/2022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3101 Wilson Boulevard, Suite 850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Arlington, VA 22201</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Cadence Aerospace,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 Newport Center Drive, Suite 950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L+650, 11/14/2023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Cano Health, LLC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23,913</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(ITC Rumba, LLC)</w:t>
            </w:r>
          </w:p>
        </w:tc>
        <w:tc>
          <w:tcPr>
            <w:tcW w:w="1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L+650, 12/23/2021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680 N. University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Pembroke Pines, FL 33024</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Cardenas Markets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2501 East Guasti Road</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L+575, 11/29/2023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Ontario, CA 91761</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CHA Holdings, Inc.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Environmental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575 Broadway, Suite 301</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L+450, 04/10/2025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Albany, NY 12207</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Challenger Performance Optimization, Inc.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Wilson Blvd.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L+575, 08/31/2023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CI (Summit) Investment Holdings,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Construction and Building</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575 Minnehaha Ave. W.</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St. Paul, MN 55103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High Tech Industries</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(3)</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L+875, 04/25/2025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(3)</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Confluent Health, LLC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Health Providers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75 S English Station Road</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L+500, 06/24/2026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Louisville, KY 40245</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DBI Holding,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Second Lien Secured Debt, 8.0% fixed PIK,</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North Conahan Drive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02/01/2026</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Hazleton, PA 18201</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DecoPac,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Beverage, Food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12,888</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(DecoPac Holdings Inc.)</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L+825, 03/31/2025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3500 Thurston Avenue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Anoka, MN 55303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Consumer Goods: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Non-Durable</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10/31/2023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Digital Room Holdings,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Media: Advertising,</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9,495</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8000 Haskell Ave.</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L+500, 05/22/2026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Van Nuys, CA 91406</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0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Douglas Products and Packaging Company LLC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Chemicals, Plastics and</w:t>
            </w:r>
          </w:p>
        </w:tc>
        <w:tc>
          <w:tcPr>
            <w:tcW w:w="26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26,403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Sewer Intermediate, LLC)</w:t>
            </w:r>
          </w:p>
        </w:tc>
        <w:tc>
          <w:tcPr>
            <w:tcW w:w="18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Rubber</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L+575, 10/19/2022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(Plant Health Intermediate, Inc.)</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1550 East Old 210 Highway</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Liberty, MO 64068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East Valley Tourist Development Authority</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Hotel, Gaming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18,406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84245 Indio Springs Dr.</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L+800, 03/07/2022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Indio, CA 92203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(3)</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Banking, Finance,</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21,935</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11612 Bee Caves Road, Building II, Suite 200</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2"/>
              </w:rPr>
              <w:t>Insurance &amp; Real Estate</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L+500, 10/05/2023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78738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Education Networks of America,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Telecommunications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First Lien Secured Debt</w:t>
            </w:r>
            <w:r>
              <w:rPr>
                <w:rFonts w:ascii="Arial" w:cs="Arial" w:eastAsia="Arial" w:hAnsi="Arial"/>
                <w:sz w:val="12"/>
                <w:szCs w:val="12"/>
                <w:color w:val="auto"/>
                <w:w w:val="95"/>
              </w:rPr>
              <w:t>(4)</w:t>
            </w:r>
            <w:r>
              <w:rPr>
                <w:rFonts w:ascii="Arial" w:cs="Arial" w:eastAsia="Arial" w:hAnsi="Arial"/>
                <w:sz w:val="14"/>
                <w:szCs w:val="14"/>
                <w:color w:val="auto"/>
                <w:w w:val="95"/>
              </w:rPr>
              <w:t>, 1M L+750 (PIK</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618 Grassmere Park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4"/>
              </w:rPr>
              <w:t>2.5%), 05/06/2021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Suite 12</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Nashville, TN 37211</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Efficient Collaborative Retail Marketing Company, LLC</w:t>
            </w:r>
          </w:p>
        </w:tc>
        <w:tc>
          <w:tcPr>
            <w:tcW w:w="18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Media: Diversified and</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7,178</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27070 Miles Road, Suite A</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Production</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L+675, 06/15/2022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FlexPrint,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Professional Services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2845 N. Omaha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L+620, 01/02/2024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Mesa, AZ 85215</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Construction and Building</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GCOM Software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14,346</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(GCOM InvestCo LP)</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L+625, 11/14/2022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24 Madison Avenue (Extension 4)</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Albany, NY 12203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Good2Grow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89"/>
              </w:rPr>
              <w:t>Beverages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6,914</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2859 Paces Ferry Road SE #2100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L+425, 11/18/2024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30339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GSM Holdings, Inc.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Consumer Goods: Durable</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3385 Roy Orr Blvd., Suite B</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L+450, 06/03/2024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Grand Prairie, TX 75050</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L+625, 12/10/2024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IMIA Holdings,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 10/28/2024</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6470 Spanish Fort Boulevard Suite 300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Spanish Fort, AL 36527</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Impact Group,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Wholesale</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12,679</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L+650, 06/27/2023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Innova Medical Ophthalmics Inc.</w:t>
            </w:r>
            <w:r>
              <w:rPr>
                <w:rFonts w:ascii="Arial" w:cs="Arial" w:eastAsia="Arial" w:hAnsi="Arial"/>
                <w:sz w:val="12"/>
                <w:szCs w:val="12"/>
                <w:color w:val="auto"/>
              </w:rPr>
              <w:t>(3)</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Capital Equipment</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17,506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(Lombart Brothers, Inc.)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L+625, 04/13/2022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5358 Robin Hood Road</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Norfolk, VA 23513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Nature of</w:t>
            </w:r>
          </w:p>
        </w:tc>
        <w:tc>
          <w:tcPr>
            <w:tcW w:w="3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578"/>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3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1260" w:type="dxa"/>
            <w:vAlign w:val="bottom"/>
            <w:gridSpan w:val="2"/>
          </w:tcPr>
          <w:p>
            <w:pPr>
              <w:jc w:val="right"/>
              <w:ind w:right="4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4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3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Integrative Nutrition, LLC</w:t>
            </w:r>
          </w:p>
        </w:tc>
        <w:tc>
          <w:tcPr>
            <w:tcW w:w="11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Consumer Services</w:t>
            </w:r>
          </w:p>
        </w:tc>
        <w:tc>
          <w:tcPr>
            <w:tcW w:w="280" w:type="dxa"/>
            <w:vAlign w:val="bottom"/>
            <w:tcBorders>
              <w:top w:val="single" w:sz="8" w:color="CCEEFF"/>
            </w:tcBorders>
            <w:shd w:val="clear" w:color="auto" w:fill="CCEEFF"/>
          </w:tcPr>
          <w:p>
            <w:pPr>
              <w:spacing w:after="0"/>
              <w:rPr>
                <w:sz w:val="9"/>
                <w:szCs w:val="9"/>
                <w:color w:val="auto"/>
              </w:rPr>
            </w:pPr>
          </w:p>
        </w:tc>
        <w:tc>
          <w:tcPr>
            <w:tcW w:w="27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1.5</w:t>
            </w:r>
          </w:p>
        </w:tc>
        <w:tc>
          <w:tcPr>
            <w:tcW w:w="440" w:type="dxa"/>
            <w:vAlign w:val="bottom"/>
            <w:tcBorders>
              <w:top w:val="single" w:sz="8" w:color="CCEEFF"/>
            </w:tcBorders>
            <w:shd w:val="clear" w:color="auto" w:fill="CCEEFF"/>
          </w:tcPr>
          <w:p>
            <w:pPr>
              <w:jc w:val="right"/>
              <w:ind w:right="258"/>
              <w:spacing w:after="0" w:line="109" w:lineRule="exact"/>
              <w:rPr>
                <w:sz w:val="20"/>
                <w:szCs w:val="20"/>
                <w:color w:val="auto"/>
              </w:rPr>
            </w:pPr>
            <w:r>
              <w:rPr>
                <w:rFonts w:ascii="Arial" w:cs="Arial" w:eastAsia="Arial" w:hAnsi="Arial"/>
                <w:sz w:val="12"/>
                <w:szCs w:val="12"/>
                <w:color w:val="auto"/>
                <w:w w:val="93"/>
              </w:rPr>
              <w:t>%</w:t>
            </w: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27,148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(IIN Group Holdings, LLC)</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L+475, 09/29/2023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245 5</w:t>
            </w:r>
            <w:r>
              <w:rPr>
                <w:rFonts w:ascii="Arial" w:cs="Arial" w:eastAsia="Arial" w:hAnsi="Arial"/>
                <w:sz w:val="12"/>
                <w:szCs w:val="12"/>
                <w:color w:val="auto"/>
              </w:rPr>
              <w:t>th</w:t>
            </w:r>
            <w:r>
              <w:rPr>
                <w:rFonts w:ascii="Arial" w:cs="Arial" w:eastAsia="Arial" w:hAnsi="Arial"/>
                <w:sz w:val="14"/>
                <w:szCs w:val="14"/>
                <w:color w:val="auto"/>
              </w:rPr>
              <w:t xml:space="preserve"> Avenue</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Inventus Power,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3,777</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1200 Internationale Parkway</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Durable</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L+650, 04/30/2020</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Woodridge, IL 60517</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JWC/UMA Holdings, L.P.</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1515 Broad Street, Suite 120</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Bloomfield, NJ 07003</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Chemicals, Plastics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and Rubber</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L+525, 12/20/2023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Uniontown, OH 44685</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Kentucky Downs, LLC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Hotels, Restaurants</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5,596</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(Kentucky Racing Holdco, LLC)</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and 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L+850, 03/07/2025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5629 Nashville Road</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Warrants</w:t>
            </w:r>
            <w:r>
              <w:rPr>
                <w:rFonts w:ascii="Arial" w:cs="Arial" w:eastAsia="Arial" w:hAnsi="Arial"/>
                <w:sz w:val="12"/>
                <w:szCs w:val="12"/>
                <w:color w:val="auto"/>
                <w:w w:val="92"/>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Franklin, KY 42134</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KHC Holdings,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Wholesale</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12,511</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3300 Brother Boulevard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L+600, 10/31/2022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Memphis, TN 38133</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Lago Resort &amp; Casino, LLC</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Hotel, Gaming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9,176</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1133 Ridge Road (Rt 414)</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L+950, 03/07/2022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Waterloo, NY 13165</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LAV Gear Holdings,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Capital Equipment</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8,475</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3165 W Sunset Rd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L+550, 10/31/2024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Las Vegas, NV 89118</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LifeCare Holdings LLC</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5340 Legacy Drive</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 11/30/2021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 150, Building 4</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Long Island Vision Management, LLC</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Healthcare and</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8,116</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805 Broadway</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L+475, 09/11/2023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New York, NY 11701</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Long’s Drugs Incorporated</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 Executive Center Drive, Suite 228</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L+500, 08/19/2022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SC 29210</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Retail</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12,712</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775 Prairie Center Drive, Suite 420</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L+600, 05/01/2023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Eden Prairie, MN 55344</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Media: Advertising,</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Printing and</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12M L+925, 10/23/2024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5"/>
              </w:rPr>
              <w:t>Publishing</w:t>
            </w: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Manna Pro Products, LLC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8,159</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707 Spirit 40 Park Drive, #150</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L+600, 12/08/2023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Chesterfield, MO 63005</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Marketplace Events LLC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Media: Diversified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5"/>
              </w:rPr>
              <w:t>First Lien Secured Debt</w:t>
            </w:r>
            <w:r>
              <w:rPr>
                <w:rFonts w:ascii="Arial" w:cs="Arial" w:eastAsia="Arial" w:hAnsi="Arial"/>
                <w:sz w:val="12"/>
                <w:szCs w:val="12"/>
                <w:color w:val="auto"/>
                <w:w w:val="95"/>
              </w:rPr>
              <w:t>(4)</w:t>
            </w:r>
            <w:r>
              <w:rPr>
                <w:rFonts w:ascii="Arial" w:cs="Arial" w:eastAsia="Arial" w:hAnsi="Arial"/>
                <w:sz w:val="14"/>
                <w:szCs w:val="14"/>
                <w:color w:val="auto"/>
                <w:w w:val="95"/>
              </w:rPr>
              <w:t>, USD (3M L+525,</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18,034</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and Production</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01/27/2023), CAD (P+275, 01/27/2023)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McAfee, LLC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High Tech</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2821 Mission College Boulevard</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Industries</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L+850, 09/29/2025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Santa Clara, CA 95054</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Type of Investment,</w:t>
            </w:r>
          </w:p>
        </w:tc>
        <w:tc>
          <w:tcPr>
            <w:tcW w:w="1420" w:type="dxa"/>
            <w:vAlign w:val="bottom"/>
            <w:gridSpan w:val="2"/>
          </w:tcPr>
          <w:p>
            <w:pPr>
              <w:jc w:val="center"/>
              <w:ind w:right="518"/>
              <w:spacing w:after="0"/>
              <w:rPr>
                <w:sz w:val="20"/>
                <w:szCs w:val="20"/>
                <w:color w:val="auto"/>
              </w:rPr>
            </w:pPr>
            <w:r>
              <w:rPr>
                <w:rFonts w:ascii="Arial" w:cs="Arial" w:eastAsia="Arial" w:hAnsi="Arial"/>
                <w:sz w:val="14"/>
                <w:szCs w:val="14"/>
                <w:b w:val="1"/>
                <w:bCs w:val="1"/>
                <w:color w:val="auto"/>
                <w:w w:val="91"/>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4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40" w:type="dxa"/>
            <w:vAlign w:val="bottom"/>
            <w:gridSpan w:val="2"/>
            <w:vMerge w:val="continue"/>
          </w:tcPr>
          <w:p>
            <w:pPr>
              <w:spacing w:after="0"/>
              <w:rPr>
                <w:sz w:val="12"/>
                <w:szCs w:val="12"/>
                <w:color w:val="auto"/>
              </w:rPr>
            </w:pPr>
          </w:p>
        </w:tc>
        <w:tc>
          <w:tcPr>
            <w:tcW w:w="1420" w:type="dxa"/>
            <w:vAlign w:val="bottom"/>
            <w:gridSpan w:val="2"/>
          </w:tcPr>
          <w:p>
            <w:pPr>
              <w:jc w:val="right"/>
              <w:ind w:right="598"/>
              <w:spacing w:after="0" w:line="145" w:lineRule="exact"/>
              <w:rPr>
                <w:sz w:val="20"/>
                <w:szCs w:val="20"/>
                <w:color w:val="auto"/>
              </w:rPr>
            </w:pPr>
            <w:r>
              <w:rPr>
                <w:rFonts w:ascii="Arial" w:cs="Arial" w:eastAsia="Arial" w:hAnsi="Arial"/>
                <w:sz w:val="14"/>
                <w:szCs w:val="14"/>
                <w:b w:val="1"/>
                <w:bCs w:val="1"/>
                <w:color w:val="auto"/>
                <w:w w:val="97"/>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420" w:type="dxa"/>
            <w:vAlign w:val="bottom"/>
            <w:gridSpan w:val="2"/>
          </w:tcPr>
          <w:p>
            <w:pPr>
              <w:jc w:val="center"/>
              <w:ind w:right="49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0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MeritDirect, LLC</w:t>
            </w:r>
          </w:p>
        </w:tc>
        <w:tc>
          <w:tcPr>
            <w:tcW w:w="14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Media</w:t>
            </w:r>
          </w:p>
        </w:tc>
        <w:tc>
          <w:tcPr>
            <w:tcW w:w="24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ind w:left="660"/>
              <w:spacing w:after="0" w:line="109" w:lineRule="exact"/>
              <w:rPr>
                <w:sz w:val="20"/>
                <w:szCs w:val="20"/>
                <w:color w:val="auto"/>
              </w:rPr>
            </w:pPr>
            <w:r>
              <w:rPr>
                <w:rFonts w:ascii="Arial" w:cs="Arial" w:eastAsia="Arial" w:hAnsi="Arial"/>
                <w:sz w:val="12"/>
                <w:szCs w:val="12"/>
                <w:color w:val="auto"/>
                <w:w w:val="95"/>
              </w:rPr>
              <w:t>1.0</w:t>
            </w:r>
          </w:p>
        </w:tc>
        <w:tc>
          <w:tcPr>
            <w:tcW w:w="580" w:type="dxa"/>
            <w:vAlign w:val="bottom"/>
            <w:tcBorders>
              <w:top w:val="single" w:sz="8" w:color="CCEEFF"/>
            </w:tcBorders>
            <w:shd w:val="clear" w:color="auto" w:fill="CCEEFF"/>
          </w:tcPr>
          <w:p>
            <w:pPr>
              <w:jc w:val="right"/>
              <w:ind w:right="398"/>
              <w:spacing w:after="0" w:line="109" w:lineRule="exact"/>
              <w:rPr>
                <w:sz w:val="20"/>
                <w:szCs w:val="20"/>
                <w:color w:val="auto"/>
              </w:rPr>
            </w:pPr>
            <w:r>
              <w:rPr>
                <w:rFonts w:ascii="Arial" w:cs="Arial" w:eastAsia="Arial" w:hAnsi="Arial"/>
                <w:sz w:val="12"/>
                <w:szCs w:val="12"/>
                <w:color w:val="auto"/>
                <w:w w:val="93"/>
              </w:rPr>
              <w:t>%</w:t>
            </w: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35,285</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L+550, 05/23/2024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Mission Critical Electronics,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Capital Equipment</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2911 W. Garry Ave.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L+500, 09/28/2021</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Santa Ana, CA 92704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Montreign Operating Company, LLC</w:t>
            </w:r>
          </w:p>
        </w:tc>
        <w:tc>
          <w:tcPr>
            <w:tcW w:w="170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Hotel, Gaming and</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24,345</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204 State Route 17B</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L+825, 01/24/2023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Monticello, NY 12701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Nuvei Technologies Corp.</w:t>
            </w:r>
            <w:r>
              <w:rPr>
                <w:rFonts w:ascii="Arial" w:cs="Arial" w:eastAsia="Arial" w:hAnsi="Arial"/>
                <w:sz w:val="12"/>
                <w:szCs w:val="12"/>
                <w:color w:val="auto"/>
              </w:rPr>
              <w:t>(3)</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Diversified Financial</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First Lien Secured Debt, P+400, 09/28/2025</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19,651</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1100 Rene Levsque West Suite 900</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Montreal, Quebec, H3B 4N4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Olde Thompson,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3250 Camino Del Sol</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L+450, 05/14/2024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Oxnard, CA 93030</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Output Services Group,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Business Services</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2,548</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100 Challenger Road #303</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L+450, 03/27/2024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Ridgefield Park, NJ 07660</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Ox Two,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Construction and</w:t>
            </w:r>
          </w:p>
        </w:tc>
        <w:tc>
          <w:tcPr>
            <w:tcW w:w="29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13,289</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700 Centreville Rd.</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rPr>
              <w:t>Building</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L+625, 02/27/2023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Constantine, MI 49042</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Peninsula Pacific Entertainment LLC</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Hotel, Gaming and</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13,276</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1M L+725, 11/13/2024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New Kent, VA 23124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(3)</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141 Hamilton Road</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L+525, 06/01/2023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PlayPower,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Leisure Products</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L+550, 05/08/2026</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Huntersville, NC 28078</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PRA Events, Inc.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L+700, 08/08/2022</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PT Network, LLC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and</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Second Lien Secured Debt, 3M L+1,000 PIK,</w:t>
            </w:r>
          </w:p>
        </w:tc>
        <w:tc>
          <w:tcPr>
            <w:tcW w:w="1420" w:type="dxa"/>
            <w:vAlign w:val="bottom"/>
            <w:gridSpan w:val="2"/>
          </w:tcPr>
          <w:p>
            <w:pPr>
              <w:ind w:left="660"/>
              <w:spacing w:after="0"/>
              <w:rPr>
                <w:sz w:val="20"/>
                <w:szCs w:val="20"/>
                <w:color w:val="auto"/>
              </w:rPr>
            </w:pPr>
            <w:r>
              <w:rPr>
                <w:rFonts w:ascii="Arial" w:cs="Arial" w:eastAsia="Arial" w:hAnsi="Arial"/>
                <w:sz w:val="14"/>
                <w:szCs w:val="14"/>
                <w:color w:val="auto"/>
              </w:rPr>
              <w:t>2.5%</w:t>
            </w:r>
            <w:r>
              <w:rPr>
                <w:rFonts w:ascii="Arial" w:cs="Arial" w:eastAsia="Arial" w:hAnsi="Arial"/>
                <w:sz w:val="12"/>
                <w:szCs w:val="12"/>
                <w:color w:val="auto"/>
              </w:rPr>
              <w:t>(6)</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(PT Network Intermediate Holdings, LLC)</w:t>
            </w: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Pharmaceuticals</w:t>
            </w: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1"/>
              </w:rPr>
              <w:t>11/30/2024</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(CI (PTN) Investment Holdings II, LLC)</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501 Fairmount Avenue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Towson, MD 21286</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18,715</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L+525, 09/04/2024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Questex, LLC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Media: Diversified and</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7,339</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Production</w:t>
            </w: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3M L+500, 09/09/2024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Media: Advertising,</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L+625, 06/28/2022</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9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Nature of Business</w:t>
            </w:r>
          </w:p>
        </w:tc>
        <w:tc>
          <w:tcPr>
            <w:tcW w:w="3040" w:type="dxa"/>
            <w:vAlign w:val="bottom"/>
            <w:gridSpan w:val="3"/>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0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39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Research Now Group, Inc. and Survey Sampling International</w:t>
            </w: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6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gridSpan w:val="2"/>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24,601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LLC</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3M L+550, 12/20/2024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5800 Tennyson Parkway, Suite 600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Riverpoint Medical, LLC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Equipment and</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825 NE 25th Avenue</w:t>
            </w: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Supplies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Portland, OR 97232</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Salient CRGT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High Tech Industries</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Legato Road, Suite 600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L+600, 02/28/2022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Fairfax, VA 22033</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Schlesinger Global,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Professional Services</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19,327</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07/14/2025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Iselin, NJ 08830</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Commercial Services &amp;</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14,174</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Supplies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L+650, 05/03/2024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Smile Brands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Healthcare and</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100 Spectrum Center Drive</w:t>
            </w: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L+450, 10/14/2024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Irvine, CA 92618</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Snak Club,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89"/>
              </w:rPr>
              <w:t>Beverage, Food and</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5560 E Slauson Ave</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Tobacco</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L+600, 07/19/2021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Commerce, CA 90040</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Solutionreach,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Healthcare Technology</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2600 N. Ashton Blvd.</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L+575, 01/17/2024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Lehi, UT 84043</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 Suite 200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TeleGuam Holdings, LLC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Telecommunications</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7,399</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624 North Marine Corps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07/25/2023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Tamuning, Guam 96913</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Teneo Holdings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Diversified Financial</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280 Park Avenue, 4th Floor</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Services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L+525, 07/18/2025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Tensar Corporation</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Construction and</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21,716</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2500 Northwinds Parkway, Ste. 500</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Buildings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L+475, 07/09/2021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Alpharetta, GA 30009</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Infosoft Group,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 Broadcasting and</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18,978</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InfosoftCoInvest, LLC)</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Subscription</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L+525, 09/16/2024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North Water Street, Suite 1100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Milwaukee, WI 53202</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The Original Cakerie, Co.</w:t>
            </w:r>
            <w:r>
              <w:rPr>
                <w:rFonts w:ascii="Arial" w:cs="Arial" w:eastAsia="Arial" w:hAnsi="Arial"/>
                <w:sz w:val="12"/>
                <w:szCs w:val="12"/>
                <w:color w:val="auto"/>
              </w:rPr>
              <w:t>(3)</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13,154</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The Original Cakerie Ltd.</w:t>
            </w:r>
            <w:r>
              <w:rPr>
                <w:rFonts w:ascii="Arial" w:cs="Arial" w:eastAsia="Arial" w:hAnsi="Arial"/>
                <w:sz w:val="12"/>
                <w:szCs w:val="12"/>
                <w:color w:val="auto"/>
              </w:rPr>
              <w:t>(3)</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0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4"/>
              </w:rPr>
              <w:t>The Original Cakerie, Co.</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1345 Cliveden Ave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(2M L+500, 07/20/2022),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Delta, BC V3M 6C7, Canada</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5"/>
              </w:rPr>
              <w:t>The Original Cakerie, Ltd.</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(2M</w:t>
            </w:r>
          </w:p>
        </w:tc>
        <w:tc>
          <w:tcPr>
            <w:tcW w:w="2120" w:type="dxa"/>
            <w:vAlign w:val="bottom"/>
            <w:gridSpan w:val="2"/>
          </w:tcPr>
          <w:p>
            <w:pPr>
              <w:jc w:val="right"/>
              <w:ind w:right="940"/>
              <w:spacing w:after="0"/>
              <w:rPr>
                <w:sz w:val="20"/>
                <w:szCs w:val="20"/>
                <w:color w:val="auto"/>
              </w:rPr>
            </w:pPr>
            <w:r>
              <w:rPr>
                <w:rFonts w:ascii="Arial" w:cs="Arial" w:eastAsia="Arial" w:hAnsi="Arial"/>
                <w:sz w:val="14"/>
                <w:szCs w:val="14"/>
                <w:color w:val="auto"/>
                <w:w w:val="95"/>
              </w:rPr>
              <w:t>L+450, 07/20/2022)</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TPC Broadband Investors, LP</w:t>
            </w:r>
            <w:r>
              <w:rPr>
                <w:rFonts w:ascii="Arial" w:cs="Arial" w:eastAsia="Arial" w:hAnsi="Arial"/>
                <w:sz w:val="12"/>
                <w:szCs w:val="12"/>
                <w:color w:val="auto"/>
              </w:rPr>
              <w:t>(5)</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Telecommunications</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12409 NW 35 Street</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Coral Springs, FL 33065</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Type of Investment,</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8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2960" w:type="dxa"/>
            <w:vAlign w:val="bottom"/>
            <w:gridSpan w:val="2"/>
            <w:vMerge w:val="continue"/>
          </w:tcPr>
          <w:p>
            <w:pPr>
              <w:spacing w:after="0"/>
              <w:rPr>
                <w:sz w:val="12"/>
                <w:szCs w:val="12"/>
                <w:color w:val="auto"/>
              </w:rPr>
            </w:pPr>
          </w:p>
        </w:tc>
        <w:tc>
          <w:tcPr>
            <w:tcW w:w="1320" w:type="dxa"/>
            <w:vAlign w:val="bottom"/>
            <w:gridSpan w:val="2"/>
          </w:tcPr>
          <w:p>
            <w:pPr>
              <w:jc w:val="right"/>
              <w:ind w:right="5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2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9"/>
        </w:trPr>
        <w:tc>
          <w:tcPr>
            <w:tcW w:w="40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Triad Manufacturing, Inc.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Capital Equipment</w:t>
            </w:r>
          </w:p>
        </w:tc>
        <w:tc>
          <w:tcPr>
            <w:tcW w:w="20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7,633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4321 Semple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1M L+1,125, 12/28/2020</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 63120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TVC Enterprises,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Professional Services</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6,796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(Gauge TVC Coinvest,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L+550, 01/18/2024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6100 Lake Forrest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TWS Acquisition Corporation</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Diversified Consumer</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7,690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Services</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L+625, 06/16/2025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Tyto Athene,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Aerospace and Defense</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22,089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(NXOF Holdings, Inc.)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L+575, 08/27/2024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510 Spring St.,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Herndon, VA 20170</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Capital Equipment</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13,990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L+450, 04/03/2024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UniTek Global Services,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Telecommunications</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9,802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1777 Sentry Parkway West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L+550, 08/20/2024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Gwynedd Hall, Ste. 202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Blue Bell, PA 19422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Med Acquisition,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Healthcare and</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2,996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8260 NW 27</w:t>
            </w:r>
            <w:r>
              <w:rPr>
                <w:rFonts w:ascii="Arial" w:cs="Arial" w:eastAsia="Arial" w:hAnsi="Arial"/>
                <w:sz w:val="12"/>
                <w:szCs w:val="12"/>
                <w:color w:val="auto"/>
              </w:rPr>
              <w:t>th</w:t>
            </w:r>
            <w:r>
              <w:rPr>
                <w:rFonts w:ascii="Arial" w:cs="Arial" w:eastAsia="Arial" w:hAnsi="Arial"/>
                <w:sz w:val="14"/>
                <w:szCs w:val="14"/>
                <w:color w:val="auto"/>
              </w:rPr>
              <w:t xml:space="preserve"> Street, Suite 401</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Pharmaceuticals</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L+900, 08/13/2021</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Doral, FL 33122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Vision Purchaser Corporation</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Media</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3,407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7650 185th Street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06/10/2025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Tinley Park, IL 60477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JWC-WE Holdings, L.P.</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Wholesale</w:t>
            </w:r>
          </w:p>
        </w:tc>
        <w:tc>
          <w:tcPr>
            <w:tcW w:w="29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3,596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Whitney, Bradley &amp; Brown,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Aerospace and Defense</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5,686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(WBB Equity,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L+750, 10/18/2022</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Reston, VA 20191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Country Fresh Holdings, LLC</w:t>
            </w:r>
          </w:p>
        </w:tc>
        <w:tc>
          <w:tcPr>
            <w:tcW w:w="17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89"/>
              </w:rPr>
              <w:t>Beverage, Food and</w:t>
            </w:r>
          </w:p>
        </w:tc>
        <w:tc>
          <w:tcPr>
            <w:tcW w:w="29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1"/>
                <w:szCs w:val="11"/>
                <w:color w:val="auto"/>
              </w:rPr>
            </w:pPr>
          </w:p>
        </w:tc>
        <w:tc>
          <w:tcPr>
            <w:tcW w:w="8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14,492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 Company Inc.)</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Tobacco</w:t>
            </w: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L+500, 05/01/2023</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15479 Pin Oaks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Second Lien Secured Debt, 1M L+850 PIK,</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Conroe, TX 77384</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color w:val="auto"/>
                <w:w w:val="91"/>
              </w:rPr>
              <w:t>04/29/2024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Quick Weight Loss Centers,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Beverage, Food and</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24.0%</w:t>
            </w:r>
            <w:r>
              <w:rPr>
                <w:rFonts w:ascii="Arial" w:cs="Arial" w:eastAsia="Arial" w:hAnsi="Arial"/>
                <w:sz w:val="12"/>
                <w:szCs w:val="12"/>
                <w:color w:val="auto"/>
              </w:rPr>
              <w:t>(6)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5,939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(Quick Weight Loss Centers Holdings, LLC)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Tobacco</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3161 Mcnab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Second Lien Secured Debt,</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Pompano Beach, FL 33069</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PennantPark Senior Secured Loan Fund I LLC</w:t>
            </w:r>
            <w:r>
              <w:rPr>
                <w:rFonts w:ascii="Arial" w:cs="Arial" w:eastAsia="Arial" w:hAnsi="Arial"/>
                <w:sz w:val="12"/>
                <w:szCs w:val="12"/>
                <w:color w:val="auto"/>
              </w:rPr>
              <w:t>(3)</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w:t>
            </w:r>
            <w:r>
              <w:rPr>
                <w:rFonts w:ascii="Arial" w:cs="Arial" w:eastAsia="Arial" w:hAnsi="Arial"/>
                <w:sz w:val="12"/>
                <w:szCs w:val="12"/>
                <w:color w:val="auto"/>
              </w:rPr>
              <w:t>(6)</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172,163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L+800, 05/06/2024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Equity Interest</w:t>
            </w:r>
            <w:r>
              <w:rPr>
                <w:rFonts w:ascii="Arial" w:cs="Arial" w:eastAsia="Arial" w:hAnsi="Arial"/>
                <w:sz w:val="12"/>
                <w:szCs w:val="12"/>
                <w:color w:val="auto"/>
                <w:w w:val="95"/>
              </w:rPr>
              <w:t>(4)</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8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20" w:hanging="424"/>
        <w:spacing w:after="0" w:line="243" w:lineRule="auto"/>
        <w:tabs>
          <w:tab w:leader="none" w:pos="5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basis point spread above index for floating rate instruments that accrue interest at a predetermined spread relative to an index, typically the applicable London Interbank Offered Rate, or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540" w:hanging="424"/>
        <w:spacing w:after="0" w:line="221"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ind w:left="540" w:hanging="424"/>
        <w:spacing w:after="0" w:line="221"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540" w:hanging="424"/>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spacing w:after="0" w:line="19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2680" w:type="dxa"/>
            <w:vAlign w:val="bottom"/>
          </w:tcPr>
          <w:p>
            <w:pPr>
              <w:spacing w:after="0"/>
              <w:rPr>
                <w:sz w:val="14"/>
                <w:szCs w:val="14"/>
                <w:color w:val="auto"/>
              </w:rPr>
            </w:pPr>
          </w:p>
        </w:tc>
        <w:tc>
          <w:tcPr>
            <w:tcW w:w="30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2019</w:t>
            </w:r>
            <w:r>
              <w:rPr>
                <w:rFonts w:ascii="Arial" w:cs="Arial" w:eastAsia="Arial" w:hAnsi="Arial"/>
                <w:sz w:val="12"/>
                <w:szCs w:val="12"/>
                <w:b w:val="1"/>
                <w:bCs w:val="1"/>
                <w:color w:val="auto"/>
              </w:rPr>
              <w:t>(1)</w:t>
            </w:r>
          </w:p>
        </w:tc>
        <w:tc>
          <w:tcPr>
            <w:tcW w:w="2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2018</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9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100" w:type="dxa"/>
            <w:vAlign w:val="bottom"/>
            <w:gridSpan w:val="3"/>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1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7%</w:t>
            </w:r>
          </w:p>
        </w:tc>
        <w:tc>
          <w:tcPr>
            <w:tcW w:w="60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Capital Equipment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Consumer Goods: Non-Durable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Diversified Financial Services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Building Products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Services &amp; Supplies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Hotels, Restaurants and Leisure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 Broadcasting and Subscription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Diversified Consumer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Healthcare Technology</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9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4"/>
          </w:tcPr>
          <w:p>
            <w:pPr>
              <w:ind w:left="88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21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High-Yield Capital Markets at Lehman Brothers.</w:t>
      </w:r>
    </w:p>
    <w:p>
      <w:pPr>
        <w:spacing w:after="0" w:line="185"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00" w:type="dxa"/>
            <w:vAlign w:val="bottom"/>
            <w:vMerge w:val="restart"/>
          </w:tcPr>
          <w:p>
            <w:pPr>
              <w:spacing w:after="0"/>
              <w:rPr>
                <w:sz w:val="14"/>
                <w:szCs w:val="14"/>
                <w:color w:val="auto"/>
              </w:rPr>
            </w:pPr>
          </w:p>
        </w:tc>
        <w:tc>
          <w:tcPr>
            <w:tcW w:w="21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410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Investment Focus</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Gross Assets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4100" w:type="dxa"/>
            <w:vAlign w:val="bottom"/>
            <w:gridSpan w:val="2"/>
            <w:vMerge w:val="continue"/>
          </w:tcPr>
          <w:p>
            <w:pPr>
              <w:spacing w:after="0"/>
              <w:rPr>
                <w:sz w:val="15"/>
                <w:szCs w:val="15"/>
                <w:color w:val="auto"/>
              </w:rPr>
            </w:pPr>
          </w:p>
        </w:tc>
        <w:tc>
          <w:tcPr>
            <w:tcW w:w="9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in millions)</w:t>
            </w:r>
          </w:p>
        </w:tc>
        <w:tc>
          <w:tcPr>
            <w:tcW w:w="0" w:type="dxa"/>
            <w:vAlign w:val="bottom"/>
          </w:tcPr>
          <w:p>
            <w:pPr>
              <w:spacing w:after="0"/>
              <w:rPr>
                <w:sz w:val="1"/>
                <w:szCs w:val="1"/>
                <w:color w:val="auto"/>
              </w:rPr>
            </w:pPr>
          </w:p>
        </w:tc>
      </w:tr>
      <w:tr>
        <w:trPr>
          <w:trHeight w:val="180"/>
        </w:trPr>
        <w:tc>
          <w:tcPr>
            <w:tcW w:w="386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PennantPark Investment Corporation</w:t>
            </w:r>
          </w:p>
        </w:tc>
        <w:tc>
          <w:tcPr>
            <w:tcW w:w="19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w w:val="96"/>
              </w:rPr>
              <w:t>Primarily in U.S. middle-market companies in the form of</w:t>
            </w: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$1,286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company</w:t>
            </w: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 secured loans, second lien secured debt,</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and equity investments</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3860" w:type="dxa"/>
            <w:vAlign w:val="bottom"/>
            <w:gridSpan w:val="2"/>
          </w:tcPr>
          <w:p>
            <w:pPr>
              <w:spacing w:after="0"/>
              <w:rPr>
                <w:sz w:val="20"/>
                <w:szCs w:val="20"/>
                <w:color w:val="auto"/>
              </w:rPr>
            </w:pPr>
            <w:r>
              <w:rPr>
                <w:rFonts w:ascii="Arial" w:cs="Arial" w:eastAsia="Arial" w:hAnsi="Arial"/>
                <w:sz w:val="16"/>
                <w:szCs w:val="16"/>
                <w:color w:val="auto"/>
              </w:rPr>
              <w:t>PennantPark Senior Secured Loan Fund I LLC</w:t>
            </w:r>
          </w:p>
        </w:tc>
        <w:tc>
          <w:tcPr>
            <w:tcW w:w="2160" w:type="dxa"/>
            <w:vAlign w:val="bottom"/>
            <w:gridSpan w:val="2"/>
          </w:tcPr>
          <w:p>
            <w:pPr>
              <w:spacing w:after="0"/>
              <w:rPr>
                <w:sz w:val="20"/>
                <w:szCs w:val="20"/>
                <w:color w:val="auto"/>
              </w:rPr>
            </w:pPr>
            <w:r>
              <w:rPr>
                <w:rFonts w:ascii="Arial" w:cs="Arial" w:eastAsia="Arial" w:hAnsi="Arial"/>
                <w:sz w:val="16"/>
                <w:szCs w:val="16"/>
                <w:color w:val="auto"/>
              </w:rPr>
              <w:t>Joint Venture</w:t>
            </w:r>
          </w:p>
        </w:tc>
        <w:tc>
          <w:tcPr>
            <w:tcW w:w="4100" w:type="dxa"/>
            <w:vAlign w:val="bottom"/>
            <w:gridSpan w:val="2"/>
          </w:tcPr>
          <w:p>
            <w:pPr>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Managed Funds</w:t>
            </w: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Direct Lending Funds</w:t>
            </w: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credit opportunities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27, 2020.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Dollar Range of the</w:t>
            </w:r>
          </w:p>
        </w:tc>
      </w:tr>
      <w:tr>
        <w:trPr>
          <w:trHeight w:val="148"/>
        </w:trPr>
        <w:tc>
          <w:tcPr>
            <w:tcW w:w="606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9"/>
        </w:trPr>
        <w:tc>
          <w:tcPr>
            <w:tcW w:w="60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PennantPark Floating</w:t>
            </w:r>
          </w:p>
        </w:tc>
      </w:tr>
      <w:tr>
        <w:trPr>
          <w:trHeight w:val="171"/>
        </w:trPr>
        <w:tc>
          <w:tcPr>
            <w:tcW w:w="6060" w:type="dxa"/>
            <w:vAlign w:val="bottom"/>
          </w:tcPr>
          <w:p>
            <w:pPr>
              <w:spacing w:after="0"/>
              <w:rPr>
                <w:sz w:val="14"/>
                <w:szCs w:val="1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Rate Capital Ltd.</w:t>
            </w:r>
            <w:r>
              <w:rPr>
                <w:rFonts w:ascii="Arial" w:cs="Arial" w:eastAsia="Arial" w:hAnsi="Arial"/>
                <w:sz w:val="12"/>
                <w:szCs w:val="12"/>
                <w:b w:val="1"/>
                <w:bCs w:val="1"/>
                <w:color w:val="auto"/>
                <w:w w:val="97"/>
              </w:rPr>
              <w:t>(1)</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Over $</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Jose A. Briones</w:t>
            </w:r>
          </w:p>
        </w:tc>
        <w:tc>
          <w:tcPr>
            <w:tcW w:w="580" w:type="dxa"/>
            <w:vAlign w:val="bottom"/>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1,000,000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Salvatore Giannetti III</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1,000,000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P. Whitridge Williams, Jr.</w:t>
            </w:r>
          </w:p>
        </w:tc>
        <w:tc>
          <w:tcPr>
            <w:tcW w:w="580" w:type="dxa"/>
            <w:vAlign w:val="bottom"/>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680" w:hanging="424"/>
        <w:spacing w:after="0" w:line="291"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8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80" w:right="80" w:hanging="532"/>
        <w:spacing w:after="0" w:line="31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80" w:right="1180" w:hanging="1120"/>
        <w:spacing w:after="0" w:line="277"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80" w:right="440" w:hanging="1120"/>
        <w:spacing w:after="0" w:line="263"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680" w:right="880" w:hanging="1120"/>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are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of December 31, 2019,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7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last reported closing market price of our common stock on January 27, 2020 was $12.01 per share. As of December 31, 2019, we had 43 stockholders of record.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438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Authorized</w:t>
            </w:r>
          </w:p>
        </w:tc>
        <w:tc>
          <w:tcPr>
            <w:tcW w:w="580" w:type="dxa"/>
            <w:vAlign w:val="bottom"/>
          </w:tcPr>
          <w:p>
            <w:pPr>
              <w:spacing w:after="0"/>
              <w:rPr>
                <w:sz w:val="15"/>
                <w:szCs w:val="15"/>
                <w:color w:val="auto"/>
              </w:rPr>
            </w:pPr>
          </w:p>
        </w:tc>
        <w:tc>
          <w:tcPr>
            <w:tcW w:w="16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100,000,000</w:t>
            </w:r>
          </w:p>
        </w:tc>
        <w:tc>
          <w:tcPr>
            <w:tcW w:w="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38,772,074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2021, 2022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charter and bylaws provide that the affirmative vote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9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Maryland Business Combination Act, or any provision of our charter or bylaws conflicts with any provision of the 1940 Act, the applicable provision of the 1940 Act will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Circuit Court for Baltimore City, Maryland, or, if that court does not have jurisdiction, the United States District Court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District of Maryland, Baltimore Division, will be the sole and absolute forum for (a) any derivative action or proceeding brought on our behalf,</w:t>
      </w:r>
    </w:p>
    <w:p>
      <w:pPr>
        <w:spacing w:after="0" w:line="46" w:lineRule="exact"/>
        <w:rPr>
          <w:sz w:val="20"/>
          <w:szCs w:val="20"/>
          <w:color w:val="auto"/>
        </w:rPr>
      </w:pPr>
    </w:p>
    <w:p>
      <w:pPr>
        <w:ind w:left="120" w:hanging="4"/>
        <w:spacing w:after="0" w:line="253" w:lineRule="auto"/>
        <w:tabs>
          <w:tab w:leader="none" w:pos="3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of breach of any duty owed by any of our directors, officers or other agents to us or to our stockholders, (c) any action asserting a claim against us or any of our directors, officers or other agents arising pursuant to any provision of the Maryland General Corporation Law or our charter or bylaws or (d) any action asserting a claim against us or any of our directors, officers or other agents that is governed by the internal affairs doctrine.</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320" w:top="459" w:right="5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left="120" w:firstLine="440"/>
        <w:spacing w:after="0" w:line="264"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01" w:lineRule="exact"/>
        <w:rPr>
          <w:rFonts w:ascii="Arial" w:cs="Arial" w:eastAsia="Arial" w:hAnsi="Arial"/>
          <w:sz w:val="17"/>
          <w:szCs w:val="17"/>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8"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8"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3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November 2017, we issued $138.6 million in aggregate principal amount of our 2023 Notes. The 2023 Notes were issued pursuant to a deed of trust between the Company and Mishmeret Trust Company, Ltd. as trustee.</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Second, the trustee performs certain administrative duties for us, such as sending interest and principal payments to holders.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54"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depositary that holds the global security will be considered the holder of the debt securities represented by the global security.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8"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11"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3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5"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8"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8"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p>
      <w:pPr>
        <w:ind w:left="1080" w:right="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9" w:right="5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120" w:right="260" w:firstLine="55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80" w:right="1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9" w:right="5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120" w:firstLine="55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2" w:lineRule="exact"/>
        <w:rPr>
          <w:sz w:val="20"/>
          <w:szCs w:val="20"/>
          <w:color w:val="auto"/>
        </w:rPr>
      </w:pPr>
    </w:p>
    <w:p>
      <w:pPr>
        <w:ind w:left="1080" w:right="80" w:hanging="424"/>
        <w:spacing w:after="0" w:line="286"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00" w:hanging="424"/>
        <w:spacing w:after="0" w:line="286"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American Stock Transfer &amp; Trust Company, LLC is the trustee under the indenture. Mishmeret Trust Company, Ltd. serves as trustee for our 2023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320" w:top="459" w:right="5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jc w:val="both"/>
        <w:ind w:left="1540" w:right="240" w:hanging="439"/>
        <w:spacing w:after="0" w:line="263"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ind w:left="1540" w:hanging="439"/>
        <w:spacing w:after="0" w:line="286" w:lineRule="auto"/>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purposes. The Taxable Subsidiary generally will be subject to corporate income taxes on its earnings, which ultimately will reduce our return on such income and fees.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7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120" w:right="520" w:firstLine="440"/>
        <w:spacing w:after="0" w:line="301"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3"/>
          <w:szCs w:val="13"/>
          <w:color w:val="auto"/>
        </w:rPr>
        <w:t>th</w:t>
      </w:r>
      <w:r>
        <w:rPr>
          <w:rFonts w:ascii="Arial" w:cs="Arial" w:eastAsia="Arial" w:hAnsi="Arial"/>
          <w:sz w:val="16"/>
          <w:szCs w:val="16"/>
          <w:color w:val="auto"/>
        </w:rPr>
        <w:t xml:space="preserve"> Avenue, 3</w:t>
      </w:r>
      <w:r>
        <w:rPr>
          <w:rFonts w:ascii="Arial" w:cs="Arial" w:eastAsia="Arial" w:hAnsi="Arial"/>
          <w:sz w:val="13"/>
          <w:szCs w:val="13"/>
          <w:color w:val="auto"/>
        </w:rPr>
        <w:t>rd</w:t>
      </w:r>
      <w:r>
        <w:rPr>
          <w:rFonts w:ascii="Arial" w:cs="Arial" w:eastAsia="Arial" w:hAnsi="Arial"/>
          <w:sz w:val="16"/>
          <w:szCs w:val="16"/>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 Certain legal matters will be passed upon for underwriters, if any, by the counsel named in the prospectus supplement, if any.</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42nd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the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080" w:right="12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6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2019, filed with the SEC on November 20, 2019, including the information specifically incorporated by reference to the Form 10-K from our Definitive Proxy Statement on </w:t>
      </w:r>
      <w:hyperlink r:id="rId164">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17, 2019; and</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165">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001-35127), as filed with the SEC on April 7, 2011,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7">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634365</wp:posOffset>
            </wp:positionV>
            <wp:extent cx="2219960" cy="514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9">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980"/>
        <w:spacing w:after="0"/>
        <w:rPr>
          <w:sz w:val="20"/>
          <w:szCs w:val="20"/>
          <w:color w:val="auto"/>
        </w:rPr>
      </w:pPr>
      <w:r>
        <w:rPr>
          <w:rFonts w:ascii="Arial" w:cs="Arial" w:eastAsia="Arial" w:hAnsi="Arial"/>
          <w:sz w:val="29"/>
          <w:szCs w:val="29"/>
          <w:b w:val="1"/>
          <w:bCs w:val="1"/>
          <w:color w:val="auto"/>
        </w:rPr>
        <w:t>$</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4.25%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1675130</wp:posOffset>
            </wp:positionV>
            <wp:extent cx="14744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PRELIMINARY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Joint Book-Running Managers</w:t>
      </w:r>
    </w:p>
    <w:p>
      <w:pPr>
        <w:spacing w:after="0" w:line="243" w:lineRule="exact"/>
        <w:rPr>
          <w:sz w:val="20"/>
          <w:szCs w:val="20"/>
          <w:color w:val="auto"/>
        </w:rPr>
      </w:pPr>
    </w:p>
    <w:p>
      <w:pPr>
        <w:ind w:left="660"/>
        <w:spacing w:after="0"/>
        <w:tabs>
          <w:tab w:leader="none" w:pos="5120" w:val="left"/>
          <w:tab w:leader="none" w:pos="93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Keefe, Bruyette &amp; Woods</w:t>
      </w:r>
      <w:r>
        <w:rPr>
          <w:sz w:val="20"/>
          <w:szCs w:val="20"/>
          <w:color w:val="auto"/>
        </w:rPr>
        <w:tab/>
      </w:r>
      <w:r>
        <w:rPr>
          <w:rFonts w:ascii="Arial" w:cs="Arial" w:eastAsia="Arial" w:hAnsi="Arial"/>
          <w:sz w:val="22"/>
          <w:szCs w:val="22"/>
          <w:b w:val="1"/>
          <w:bCs w:val="1"/>
          <w:color w:val="auto"/>
        </w:rPr>
        <w:t>Truist Securities</w:t>
      </w:r>
    </w:p>
    <w:p>
      <w:pPr>
        <w:spacing w:after="0" w:line="34" w:lineRule="exact"/>
        <w:rPr>
          <w:sz w:val="20"/>
          <w:szCs w:val="20"/>
          <w:color w:val="auto"/>
        </w:rPr>
      </w:pPr>
    </w:p>
    <w:p>
      <w:pPr>
        <w:ind w:left="6640"/>
        <w:spacing w:after="0"/>
        <w:rPr>
          <w:sz w:val="20"/>
          <w:szCs w:val="20"/>
          <w:color w:val="auto"/>
        </w:rPr>
      </w:pPr>
      <w:r>
        <w:rPr>
          <w:rFonts w:ascii="Arial" w:cs="Arial" w:eastAsia="Arial" w:hAnsi="Arial"/>
          <w:sz w:val="18"/>
          <w:szCs w:val="18"/>
          <w:i w:val="1"/>
          <w:iCs w:val="1"/>
          <w:color w:val="auto"/>
        </w:rPr>
        <w:t>A Stifel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99"/>
        <w:spacing w:after="0"/>
        <w:tabs>
          <w:tab w:leader="none" w:pos="200" w:val="left"/>
        </w:tabs>
        <w:rPr>
          <w:sz w:val="20"/>
          <w:szCs w:val="20"/>
          <w:color w:val="auto"/>
        </w:rPr>
      </w:pPr>
      <w:r>
        <w:rPr>
          <w:rFonts w:ascii="Arial" w:cs="Arial" w:eastAsia="Arial" w:hAnsi="Arial"/>
          <w:sz w:val="18"/>
          <w:szCs w:val="18"/>
          <w:b w:val="1"/>
          <w:bCs w:val="1"/>
          <w:color w:val="auto"/>
        </w:rPr>
        <w:t>The date of this prospectus supplement is October</w:t>
      </w:r>
      <w:r>
        <w:rPr>
          <w:sz w:val="20"/>
          <w:szCs w:val="20"/>
          <w:color w:val="auto"/>
        </w:rPr>
        <w:tab/>
      </w:r>
      <w:r>
        <w:rPr>
          <w:rFonts w:ascii="Arial" w:cs="Arial" w:eastAsia="Arial" w:hAnsi="Arial"/>
          <w:sz w:val="16"/>
          <w:szCs w:val="16"/>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lvl w:ilvl="1">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1)"/>
      <w:numFmt w:val="decimal"/>
      <w:start w:val="1"/>
    </w:lvl>
  </w:abstractNum>
  <w:abstractNum w:abstractNumId="20">
    <w:nsid w:val="38437FDB"/>
    <w:multiLevelType w:val="hybridMultilevel"/>
    <w:lvl w:ilvl="0">
      <w:lvlJc w:val="left"/>
      <w:lvlText w:val="(%1)"/>
      <w:numFmt w:val="lowerRoman"/>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lowerRoman"/>
      <w:start w:val="2"/>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7"/>
    </w:lvl>
  </w:abstractNum>
  <w:abstractNum w:abstractNumId="31">
    <w:nsid w:val="70C6A529"/>
    <w:multiLevelType w:val="hybridMultilevel"/>
    <w:lvl w:ilvl="0">
      <w:lvlJc w:val="left"/>
      <w:lvlText w:val="(%1)"/>
      <w:numFmt w:val="decimal"/>
      <w:start w:val="2"/>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1)"/>
      <w:numFmt w:val="lowerLetter"/>
      <w:start w:val="2"/>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lvl w:ilvl="1">
      <w:lvlJc w:val="left"/>
      <w:lvlText w:val="%2)"/>
      <w:numFmt w:val="decimal"/>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jpe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6" Type="http://schemas.openxmlformats.org/officeDocument/2006/relationships/image" Target="media/image145.png"/><Relationship Id="rId167" Type="http://schemas.openxmlformats.org/officeDocument/2006/relationships/image" Target="media/image146.png"/><Relationship Id="rId168" Type="http://schemas.openxmlformats.org/officeDocument/2006/relationships/image" Target="media/image147.png"/><Relationship Id="rId169" Type="http://schemas.openxmlformats.org/officeDocument/2006/relationships/image" Target="media/image148.jpeg"/><Relationship Id="rId170" Type="http://schemas.openxmlformats.org/officeDocument/2006/relationships/image" Target="media/image149.png"/><Relationship Id="rId171" Type="http://schemas.openxmlformats.org/officeDocument/2006/relationships/image" Target="media/image150.png"/><Relationship Id="rId172" Type="http://schemas.openxmlformats.org/officeDocument/2006/relationships/image" Target="media/image151.png"/><Relationship Id="rId173" Type="http://schemas.openxmlformats.org/officeDocument/2006/relationships/image" Target="media/image152.png"/><Relationship Id="rId66" Type="http://schemas.openxmlformats.org/officeDocument/2006/relationships/hyperlink" Target="http://www.sec.gov/Archives/edgar/data/1504619/000156459020054484/pflt-10k_20200930.htm" TargetMode="External"/><Relationship Id="rId67" Type="http://schemas.openxmlformats.org/officeDocument/2006/relationships/hyperlink" Target="http://www.sec.gov/Archives/edgar/data/1504619/000156459021004982/pflt-10q_20201231.htm" TargetMode="External"/><Relationship Id="rId68" Type="http://schemas.openxmlformats.org/officeDocument/2006/relationships/hyperlink" Target="http://www.sec.gov/Archives/edgar/data/0001504619/000156459021024031/pflt-10q_20210331.htm" TargetMode="External"/><Relationship Id="rId69" Type="http://schemas.openxmlformats.org/officeDocument/2006/relationships/hyperlink" Target="http://www.sec.gov/Archives/edgar/data/0001504619/000156459021040930/pflt-10q_20210630.htm" TargetMode="External"/><Relationship Id="rId70" Type="http://schemas.openxmlformats.org/officeDocument/2006/relationships/hyperlink" Target="http://www.sec.gov/Archives/edgar/data/1504619/000156459021005779/pflt-8k_20210209.htm" TargetMode="External"/><Relationship Id="rId71" Type="http://schemas.openxmlformats.org/officeDocument/2006/relationships/hyperlink" Target="http://www.sec.gov/Archives/edgar/data/0001504619/000117184321001931/f8k_031921.htm" TargetMode="External"/><Relationship Id="rId72" Type="http://schemas.openxmlformats.org/officeDocument/2006/relationships/hyperlink" Target="http://www.sec.gov/Archives/edgar/data/0001504619/000119312521091350/d156339d8k.htm" TargetMode="External"/><Relationship Id="rId73" Type="http://schemas.openxmlformats.org/officeDocument/2006/relationships/hyperlink" Target="http://www.sec.gov/Archives/edgar/data/0001504619/000119312521195209/d160401d8k.htm" TargetMode="External"/><Relationship Id="rId74" Type="http://schemas.openxmlformats.org/officeDocument/2006/relationships/hyperlink" Target="http://www.sec.gov/Archives/edgar/data/0001504619/000119312521250566/d198449d8k.htm" TargetMode="External"/><Relationship Id="rId75" Type="http://schemas.openxmlformats.org/officeDocument/2006/relationships/hyperlink" Target="http://www.sec.gov/Archives/edgar/data/0001504619/000119312521252880/d197563d8k.htm" TargetMode="External"/><Relationship Id="rId76" Type="http://schemas.openxmlformats.org/officeDocument/2006/relationships/hyperlink" Target="http://www.sec.gov/Archives/edgar/data/1504619/000095012320012520/pflt-def14a_RD4.htm" TargetMode="External"/><Relationship Id="rId163" Type="http://schemas.openxmlformats.org/officeDocument/2006/relationships/hyperlink" Target="http://www.sec.gov/Archives/edgar/data/1504619/000156459019043972/pflt-10k_20190930.htm" TargetMode="External"/><Relationship Id="rId164" Type="http://schemas.openxmlformats.org/officeDocument/2006/relationships/hyperlink" Target="http://www.sec.gov/Archives/edgar/data/1504619/000095012319011902/DEF14A.htm" TargetMode="External"/><Relationship Id="rId165" Type="http://schemas.openxmlformats.org/officeDocument/2006/relationships/hyperlink" Target="http://www.sec.gov/Archives/edgar/data/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2021-10-06T07:58:40Z</dcterms:created>
  <dcterms:modified xsi:type="dcterms:W3CDTF">2021-10-06T07:58:40Z</dcterms:modified>
</cp:coreProperties>
</file>