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10, 2018 (April 5, 2018)</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April 10, 2018, PennantPark Floating Rate Capital Ltd. (the “Company”) issued a press release, included as Exhibit 99.1 to this Form 8-K, announcing that on April 5, 2018 the board of directors of the Company (the “Board”), including a “required majority” (as such term is defined in Section 57(o) of the Investment Company Act of 1940, as amended (the “1940 Act”)) of the Board, approved the application of the modified asset coverage requirements set forth in Section 61(a)(2) of the 1940 Act, as amended by the Consolidated Appropriations Act of 2018 (which includes the Small Business Credit Availability Act). As a result, the Company’s asset coverage requirements applicable to senior securities will be reduced from 200% to 150%, effective as of April 5, 2019.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as amended, or the 1995 Act. You should understand that under Section 27A(b)(2)(B) of the Securities Act of 1933, as amended, and Section 21E(b)(2)(B) of the Securities Exchange Act of 1934, as amended, or the Exchange Act, the “safe harbor” provisions of the 1995 Act do not apply to forward-looking statements made in periodic reports the registrant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registrant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280" w:hanging="547"/>
        <w:spacing w:after="0" w:line="293" w:lineRule="auto"/>
        <w:tabs>
          <w:tab w:leader="none" w:pos="31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Financial statements: </w:t>
      </w:r>
      <w:r>
        <w:rPr>
          <w:rFonts w:ascii="Arial" w:cs="Arial" w:eastAsia="Arial" w:hAnsi="Arial"/>
          <w:sz w:val="16"/>
          <w:szCs w:val="16"/>
          <w:color w:val="auto"/>
        </w:rPr>
        <w:t>None</w:t>
      </w:r>
    </w:p>
    <w:p>
      <w:pPr>
        <w:spacing w:after="0" w:line="1" w:lineRule="exact"/>
        <w:rPr>
          <w:rFonts w:ascii="Arial" w:cs="Arial" w:eastAsia="Arial" w:hAnsi="Arial"/>
          <w:sz w:val="16"/>
          <w:szCs w:val="16"/>
          <w:b w:val="1"/>
          <w:bCs w:val="1"/>
          <w:color w:val="auto"/>
        </w:rPr>
      </w:pPr>
    </w:p>
    <w:p>
      <w:pPr>
        <w:ind w:left="600" w:right="8400" w:hanging="547"/>
        <w:spacing w:after="0" w:line="250" w:lineRule="auto"/>
        <w:tabs>
          <w:tab w:leader="none" w:pos="32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780" w:hanging="547"/>
        <w:spacing w:after="0" w:line="250" w:lineRule="auto"/>
        <w:tabs>
          <w:tab w:leader="none" w:pos="305"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38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April 10,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April 10, 2018</w:t>
            </w:r>
          </w:p>
        </w:tc>
        <w:tc>
          <w:tcPr>
            <w:tcW w:w="5080" w:type="dxa"/>
            <w:vAlign w:val="bottom"/>
            <w:gridSpan w:val="3"/>
          </w:tcPr>
          <w:p>
            <w:pPr>
              <w:ind w:left="1980"/>
              <w:spacing w:after="0"/>
              <w:rPr>
                <w:sz w:val="20"/>
                <w:szCs w:val="20"/>
                <w:color w:val="auto"/>
              </w:rPr>
            </w:pPr>
            <w:r>
              <w:rPr>
                <w:rFonts w:ascii="Arial" w:cs="Arial" w:eastAsia="Arial" w:hAnsi="Arial"/>
                <w:sz w:val="18"/>
                <w:szCs w:val="18"/>
                <w:color w:val="auto"/>
              </w:rPr>
              <w:t>By: /s/ Aviv Efrat</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340" w:right="620"/>
        <w:spacing w:after="0" w:line="256" w:lineRule="auto"/>
        <w:rPr>
          <w:sz w:val="20"/>
          <w:szCs w:val="20"/>
          <w:color w:val="auto"/>
        </w:rPr>
      </w:pPr>
      <w:r>
        <w:rPr>
          <w:rFonts w:ascii="Arial" w:cs="Arial" w:eastAsia="Arial" w:hAnsi="Arial"/>
          <w:sz w:val="22"/>
          <w:szCs w:val="22"/>
          <w:b w:val="1"/>
          <w:bCs w:val="1"/>
          <w:color w:val="auto"/>
        </w:rPr>
        <w:t>PennantPark Floating Rate Capital Ltd.’s Board of Directors Approves the Reduction in the Asset Coverage Requirements</w:t>
      </w:r>
    </w:p>
    <w:p>
      <w:pPr>
        <w:spacing w:after="0" w:line="16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NEW YORK, April 10, 2018 (GLOBE NEWSWIRE) -- PennantPark Floating Rate Capital Ltd. (the “Company”) (NASDAQ:PFLT) (TASE:PFLT) announced today that on April 5, 2018, its board of directors approved the application of the modified asset coverage requirements set forth in Section 61(a)(2) of the Investment Company Act of 1940, as amended by the Consolidated Appropriations Act of 2018 (which includes the Small Business Credit Availability Act). As a result, the Company’s asset coverage requirements applicable to senior securities will be reduced from 200% to 150%, effective as of April 5, 2019.</w:t>
      </w:r>
    </w:p>
    <w:p>
      <w:pPr>
        <w:spacing w:after="0" w:line="188"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Company has generated an excellent track record over the last seven years investing in lower risk first lien senior secured floating rate assets. We believe that such assets represent an appropriate risk profile that can be prudently leveraged under the revised statute to provide attractive returns for our investors. Our successful operation of the PennantPark Senior Secured Loan Fund I LLC joint venture is evidence of this strategy,” said Arthur H. Penn, Chairman and Chief Executive Officer of the Company. “Over the next year, we look forward to working closely with our lenders, bondholders, rating agencies and stockholders to discuss our roadmap into the future.”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as amended.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2"/>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2020-05-05T12:04:41Z</dcterms:created>
  <dcterms:modified xsi:type="dcterms:W3CDTF">2020-05-05T12:04:41Z</dcterms:modified>
</cp:coreProperties>
</file>