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24,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Set forth below are certain preliminary estimates of our financial condition for the quarter ended September 30, 2017. These estimates are subject to the completion of our financial closing procedures and are not a comprehensive statement of our financial results for the year ended September 30, 2017. We advise you that our actual results may differ materially from these estimates as a result of the completion of our financial closing procedures, final adjustments and other developments arising between now and the time that our financial results for the year ended September 30, 2017 are finalized.</w:t>
      </w:r>
    </w:p>
    <w:p>
      <w:pPr>
        <w:spacing w:after="0" w:line="1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Net investment income is estimated to have totaled between $0.30 and $0.33 per share for the quarter ended September 30, 2017. This includes amounts received in a litigation settlement related to a former portfolio company which was acquired as a result of an August 2015 merger with MCG Capital Corporation of $0.07 per share net of incentive fee payable on such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Net asset value as of September 30, 2017 is estimated to be between $14.08 and $14.11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had borrowed $253.8 million under our $375 million Credit Facility.</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and PennantPark Senior Secured Loan Fund I LLC’s total investments at fair value are estimated to have increased by approximately $12 million and $29 million, respectively, during the three months ended September 30, 2017, after giving effect to purchases, sales, repayments and net change in unrealized appreciation.</w:t>
      </w:r>
    </w:p>
    <w:p>
      <w:pPr>
        <w:spacing w:after="0" w:line="143" w:lineRule="exact"/>
        <w:rPr>
          <w:sz w:val="20"/>
          <w:szCs w:val="20"/>
          <w:color w:val="auto"/>
        </w:rPr>
      </w:pPr>
    </w:p>
    <w:p>
      <w:pPr>
        <w:ind w:right="680"/>
        <w:spacing w:after="0" w:line="311" w:lineRule="auto"/>
        <w:rPr>
          <w:sz w:val="20"/>
          <w:szCs w:val="20"/>
          <w:color w:val="auto"/>
        </w:rPr>
      </w:pPr>
      <w:r>
        <w:rPr>
          <w:rFonts w:ascii="Arial" w:cs="Arial" w:eastAsia="Arial" w:hAnsi="Arial"/>
          <w:sz w:val="16"/>
          <w:szCs w:val="16"/>
          <w:color w:val="auto"/>
        </w:rPr>
        <w:t>The preliminary financial data included herein have been prepared by, and is the responsibility of, management. Our independent registered public accounting firm has not audited, reviewed, compiled or performed any procedures with respect to the accompanying preliminary financial data. Accordingly, our independent registered public accounting firm does not express an opinion or any other form of assurance with respect thereto.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Based on our historic activity levels and current pipeline, we anticipate an active fourth calendar quarter of origination activity.</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near term, we intend to organize a series of debt investor meetings outside of the United States. A debt transaction may follow, subject to market conditions. We cannot assure you as to when a transaction would occur, if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October 24, 2017, PennantPark Floating Rate Capital Ltd. issued a press release announcing its plans for a public offering. A copy of the press release is furnished as Exhibit 99.1 to this report pursuant to Item 7.01 and Regulation FD.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61" w:lineRule="auto"/>
        <w:tabs>
          <w:tab w:leader="none" w:pos="2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240" w:right="8440" w:hanging="23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240" w:right="8820" w:hanging="23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2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of PennantPark Floating Rate Capital Ltd. October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3"/>
          </w:tcPr>
          <w:p>
            <w:pPr>
              <w:ind w:left="214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320" w:type="dxa"/>
            <w:vAlign w:val="bottom"/>
          </w:tcPr>
          <w:p>
            <w:pPr>
              <w:spacing w:after="0"/>
              <w:rPr>
                <w:sz w:val="20"/>
                <w:szCs w:val="20"/>
                <w:color w:val="auto"/>
              </w:rPr>
            </w:pPr>
            <w:r>
              <w:rPr>
                <w:rFonts w:ascii="Arial" w:cs="Arial" w:eastAsia="Arial" w:hAnsi="Arial"/>
                <w:sz w:val="18"/>
                <w:szCs w:val="18"/>
                <w:color w:val="auto"/>
              </w:rPr>
              <w:t>Date: October 24, 2017</w:t>
            </w:r>
          </w:p>
        </w:tc>
        <w:tc>
          <w:tcPr>
            <w:tcW w:w="7920" w:type="dxa"/>
            <w:vAlign w:val="bottom"/>
            <w:gridSpan w:val="3"/>
          </w:tcPr>
          <w:p>
            <w:pPr>
              <w:ind w:left="2140"/>
              <w:spacing w:after="0"/>
              <w:rPr>
                <w:sz w:val="20"/>
                <w:szCs w:val="20"/>
                <w:color w:val="auto"/>
              </w:rPr>
            </w:pPr>
            <w:r>
              <w:rPr>
                <w:rFonts w:ascii="Arial" w:cs="Arial" w:eastAsia="Arial" w:hAnsi="Arial"/>
                <w:sz w:val="18"/>
                <w:szCs w:val="18"/>
                <w:color w:val="auto"/>
              </w:rPr>
              <w:t>By: /s/ Aviv Efrat</w:t>
            </w:r>
          </w:p>
        </w:tc>
      </w:tr>
      <w:tr>
        <w:trPr>
          <w:trHeight w:val="222"/>
        </w:trPr>
        <w:tc>
          <w:tcPr>
            <w:tcW w:w="3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39"/>
        </w:trPr>
        <w:tc>
          <w:tcPr>
            <w:tcW w:w="33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r>
        <w:trPr>
          <w:trHeight w:val="432"/>
        </w:trPr>
        <w:tc>
          <w:tcPr>
            <w:tcW w:w="3320" w:type="dxa"/>
            <w:vAlign w:val="bottom"/>
          </w:tcPr>
          <w:p>
            <w:pPr>
              <w:spacing w:after="0"/>
              <w:rPr>
                <w:sz w:val="24"/>
                <w:szCs w:val="24"/>
                <w:color w:val="auto"/>
              </w:rPr>
            </w:pPr>
          </w:p>
        </w:tc>
        <w:tc>
          <w:tcPr>
            <w:tcW w:w="7920" w:type="dxa"/>
            <w:vAlign w:val="bottom"/>
            <w:gridSpan w:val="3"/>
          </w:tcPr>
          <w:p>
            <w:pPr>
              <w:ind w:left="1600"/>
              <w:spacing w:after="0"/>
              <w:rPr>
                <w:sz w:val="20"/>
                <w:szCs w:val="20"/>
                <w:color w:val="auto"/>
              </w:rPr>
            </w:pPr>
            <w:r>
              <w:rPr>
                <w:rFonts w:ascii="Arial" w:cs="Arial" w:eastAsia="Arial" w:hAnsi="Arial"/>
                <w:sz w:val="18"/>
                <w:szCs w:val="18"/>
                <w:b w:val="1"/>
                <w:bCs w:val="1"/>
                <w:color w:val="auto"/>
              </w:rPr>
              <w:t>EXHIBIT INDEX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-282575</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 Description</w:t>
      </w:r>
    </w:p>
    <w:p>
      <w:pPr>
        <w:spacing w:after="0" w:line="40" w:lineRule="exact"/>
        <w:rPr>
          <w:sz w:val="20"/>
          <w:szCs w:val="20"/>
          <w:color w:val="auto"/>
        </w:rPr>
      </w:pPr>
    </w:p>
    <w:p>
      <w:pPr>
        <w:ind w:left="300"/>
        <w:spacing w:after="0"/>
        <w:tabs>
          <w:tab w:leader="none" w:pos="10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October 24, 2017</w:t>
      </w:r>
    </w:p>
    <w:p>
      <w:pPr>
        <w:sectPr>
          <w:pgSz w:w="11900" w:h="16838" w:orient="portrait"/>
          <w:cols w:equalWidth="0" w:num="1">
            <w:col w:w="11240"/>
          </w:cols>
          <w:pgMar w:left="320" w:top="337" w:right="33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Public Offering</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NEW YORK, Oct. 24, 2017 (GLOBE NEWSWIRE) -- PennantPark Floating Rate Capital Ltd. (the "Company") (NASDAQ:PFLT) announced that it plans to make a public offering of 6,000,000 shares of its common stock. The Company also expects to grant the underwriters an option to purchase up to an additional 900,000 shares of common stock. The offering price of the shares, subject to the approval of the Company's Board of Directors and Pricing Committee, will be determined by market conditions at the time of pricing in consultation with the underwriters of the offering. The Company’s investment adviser, PennantPark Investment Advisers, LLC, has agreed to pay a portion of the underwriting discounts and/or commission in connection with this offering. The offering of the shares will be made under the Company's shelf registration statement, which was filed with, and has been declared effective by, the Securities and Exchange Commission.</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expects to use the net proceeds to reduce outstanding debt obligations, to invest in new or existing portfolio companies, to capitalize a subsidiary or new joint venture or for other general corporate or strategic purposes.</w:t>
      </w:r>
    </w:p>
    <w:p>
      <w:pPr>
        <w:spacing w:after="0" w:line="15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Morgan Stanley &amp; Co. LLC, Goldman Sachs &amp; Co. LLC, J.P. Morgan Securities LLC, Keefe, Bruyette &amp; Woods, </w:t>
      </w:r>
      <w:r>
        <w:rPr>
          <w:rFonts w:ascii="Arial" w:cs="Arial" w:eastAsia="Arial" w:hAnsi="Arial"/>
          <w:sz w:val="19"/>
          <w:szCs w:val="19"/>
          <w:i w:val="1"/>
          <w:iCs w:val="1"/>
          <w:color w:val="auto"/>
        </w:rPr>
        <w:t>A Stifel</w:t>
      </w:r>
      <w:r>
        <w:rPr>
          <w:rFonts w:ascii="Arial" w:cs="Arial" w:eastAsia="Arial" w:hAnsi="Arial"/>
          <w:sz w:val="19"/>
          <w:szCs w:val="19"/>
          <w:color w:val="auto"/>
        </w:rPr>
        <w:t xml:space="preserve"> </w:t>
      </w:r>
      <w:r>
        <w:rPr>
          <w:rFonts w:ascii="Arial" w:cs="Arial" w:eastAsia="Arial" w:hAnsi="Arial"/>
          <w:sz w:val="19"/>
          <w:szCs w:val="19"/>
          <w:i w:val="1"/>
          <w:iCs w:val="1"/>
          <w:color w:val="auto"/>
        </w:rPr>
        <w:t>Company</w:t>
      </w:r>
      <w:r>
        <w:rPr>
          <w:rFonts w:ascii="Arial" w:cs="Arial" w:eastAsia="Arial" w:hAnsi="Arial"/>
          <w:sz w:val="19"/>
          <w:szCs w:val="19"/>
          <w:color w:val="auto"/>
        </w:rPr>
        <w:t>, RBC Capital Markets, LLC and SunTrust Robinson Humphrey, Inc. are acting as joint bookrunning underwriters.</w:t>
      </w:r>
    </w:p>
    <w:p>
      <w:pPr>
        <w:spacing w:after="0" w:line="9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Investors are advised to carefully consider the investment objectives, risks and charges and expenses of the Company before investing. The preliminary prospectus supplement dated October 24, 2017 and the accompanying prospectus dated January 19, 2017, which have been filed with the Securities and Exchange Commission, contain this and other information about the Company and should be read carefully before investing.</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80"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LLC, 200 West Street, New York, NY 10282; J.P. Morgan Securities LLC, c/o Broadridge Financial Solutions, 1155 Long Island Avenue, Edgewood, NY 11717; Keefe, Bruyette &amp; Woods, Inc., 787 Seventh Avenue, New York, NY 10019; RBC Capital Markets, LLC, 200 Vesey Street, New York, NY 10281; and SunTrust Robinson Humphrey, Inc., 3333 Peachtree Road NE, Atlanta, GA 30326.</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 905-1000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2020-05-05T12:05:25Z</dcterms:created>
  <dcterms:modified xsi:type="dcterms:W3CDTF">2020-05-05T12:05:25Z</dcterms:modified>
</cp:coreProperties>
</file>