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August 7,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August 7, 2019, PennantPark Floating Rate Capital Ltd. issued a press release announcing its financial results for the third fiscal quarter ended June 30, 2019. A copy of the press release is furnished as Exhibit 99.1 to this report pursuant to Item 2.02 on Form 8-K and Regulation FD.</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PennantPark Floating Rate Capital Ltd.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August 7,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5060" w:type="dxa"/>
            <w:vAlign w:val="bottom"/>
            <w:gridSpan w:val="3"/>
          </w:tcPr>
          <w:p>
            <w:pPr>
              <w:ind w:left="196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500" w:type="dxa"/>
            <w:vAlign w:val="bottom"/>
          </w:tcPr>
          <w:p>
            <w:pPr>
              <w:spacing w:after="0"/>
              <w:rPr>
                <w:sz w:val="20"/>
                <w:szCs w:val="20"/>
                <w:color w:val="auto"/>
              </w:rPr>
            </w:pPr>
            <w:r>
              <w:rPr>
                <w:rFonts w:ascii="Arial" w:cs="Arial" w:eastAsia="Arial" w:hAnsi="Arial"/>
                <w:sz w:val="18"/>
                <w:szCs w:val="18"/>
                <w:color w:val="auto"/>
              </w:rPr>
              <w:t>Date: August 7, 2019</w:t>
            </w:r>
          </w:p>
        </w:tc>
        <w:tc>
          <w:tcPr>
            <w:tcW w:w="5060" w:type="dxa"/>
            <w:vAlign w:val="bottom"/>
            <w:gridSpan w:val="3"/>
          </w:tcPr>
          <w:p>
            <w:pPr>
              <w:ind w:left="1960"/>
              <w:spacing w:after="0"/>
              <w:rPr>
                <w:sz w:val="20"/>
                <w:szCs w:val="20"/>
                <w:color w:val="auto"/>
              </w:rPr>
            </w:pPr>
            <w:r>
              <w:rPr>
                <w:rFonts w:ascii="Arial" w:cs="Arial" w:eastAsia="Arial" w:hAnsi="Arial"/>
                <w:sz w:val="18"/>
                <w:szCs w:val="18"/>
                <w:color w:val="auto"/>
              </w:rPr>
              <w:t>By: /s/ Aviv Efrat</w:t>
            </w:r>
          </w:p>
        </w:tc>
      </w:tr>
      <w:tr>
        <w:trPr>
          <w:trHeight w:val="222"/>
        </w:trPr>
        <w:tc>
          <w:tcPr>
            <w:tcW w:w="35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5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Financial Results for the Quarter Ended June 30, 2019</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NEW YORK, Aug. 07, 2019 (GLOBE NEWSWIRE) -- PennantPark Floating Rate Capital Ltd. (NASDAQ: PFLT) (TASE: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PFLT) announced today financial results for the third fiscal quarter ended June 30, 2019.</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Quarter ended June 30, 2019</w:t>
      </w:r>
    </w:p>
    <w:p>
      <w:pPr>
        <w:spacing w:after="0"/>
        <w:rPr>
          <w:sz w:val="20"/>
          <w:szCs w:val="20"/>
          <w:color w:val="auto"/>
        </w:rPr>
      </w:pPr>
      <w:r>
        <w:rPr>
          <w:rFonts w:ascii="Arial" w:cs="Arial" w:eastAsia="Arial" w:hAnsi="Arial"/>
          <w:sz w:val="22"/>
          <w:szCs w:val="22"/>
          <w:color w:val="auto"/>
        </w:rPr>
        <w:t>($ in millions, except per share amounts)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5380" w:type="dxa"/>
            <w:vAlign w:val="bottom"/>
          </w:tcPr>
          <w:p>
            <w:pPr>
              <w:spacing w:after="0"/>
              <w:rPr>
                <w:sz w:val="20"/>
                <w:szCs w:val="20"/>
                <w:color w:val="auto"/>
              </w:rPr>
            </w:pPr>
            <w:r>
              <w:rPr>
                <w:rFonts w:ascii="Arial" w:cs="Arial" w:eastAsia="Arial" w:hAnsi="Arial"/>
                <w:sz w:val="22"/>
                <w:szCs w:val="22"/>
                <w:color w:val="auto"/>
              </w:rPr>
              <w:t>Assets and Liabilities:</w:t>
            </w:r>
          </w:p>
        </w:tc>
        <w:tc>
          <w:tcPr>
            <w:tcW w:w="1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320"/>
        </w:trPr>
        <w:tc>
          <w:tcPr>
            <w:tcW w:w="5380" w:type="dxa"/>
            <w:vAlign w:val="bottom"/>
          </w:tcPr>
          <w:p>
            <w:pPr>
              <w:ind w:left="200"/>
              <w:spacing w:after="0" w:line="319" w:lineRule="exact"/>
              <w:rPr>
                <w:sz w:val="20"/>
                <w:szCs w:val="20"/>
                <w:color w:val="auto"/>
              </w:rPr>
            </w:pPr>
            <w:r>
              <w:rPr>
                <w:rFonts w:ascii="Arial" w:cs="Arial" w:eastAsia="Arial" w:hAnsi="Arial"/>
                <w:sz w:val="22"/>
                <w:szCs w:val="22"/>
                <w:color w:val="auto"/>
              </w:rPr>
              <w:t xml:space="preserve">Investment portfolio </w:t>
            </w:r>
            <w:r>
              <w:rPr>
                <w:rFonts w:ascii="Arial" w:cs="Arial" w:eastAsia="Arial" w:hAnsi="Arial"/>
                <w:sz w:val="35"/>
                <w:szCs w:val="35"/>
                <w:color w:val="auto"/>
                <w:vertAlign w:val="superscript"/>
              </w:rPr>
              <w:t>(1)</w:t>
            </w:r>
          </w:p>
        </w:tc>
        <w:tc>
          <w:tcPr>
            <w:tcW w:w="132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72"/>
              <w:spacing w:after="0"/>
              <w:rPr>
                <w:sz w:val="20"/>
                <w:szCs w:val="20"/>
                <w:color w:val="auto"/>
              </w:rPr>
            </w:pPr>
            <w:r>
              <w:rPr>
                <w:rFonts w:ascii="Arial" w:cs="Arial" w:eastAsia="Arial" w:hAnsi="Arial"/>
                <w:sz w:val="22"/>
                <w:szCs w:val="22"/>
                <w:color w:val="auto"/>
              </w:rPr>
              <w:t>1,072.2</w:t>
            </w:r>
          </w:p>
        </w:tc>
      </w:tr>
      <w:tr>
        <w:trPr>
          <w:trHeight w:val="270"/>
        </w:trPr>
        <w:tc>
          <w:tcPr>
            <w:tcW w:w="5380" w:type="dxa"/>
            <w:vAlign w:val="bottom"/>
          </w:tcPr>
          <w:p>
            <w:pPr>
              <w:ind w:left="200"/>
              <w:spacing w:after="0"/>
              <w:rPr>
                <w:sz w:val="20"/>
                <w:szCs w:val="20"/>
                <w:color w:val="auto"/>
              </w:rPr>
            </w:pPr>
            <w:r>
              <w:rPr>
                <w:rFonts w:ascii="Arial" w:cs="Arial" w:eastAsia="Arial" w:hAnsi="Arial"/>
                <w:sz w:val="22"/>
                <w:szCs w:val="22"/>
                <w:color w:val="auto"/>
              </w:rPr>
              <w:t>PSSL investment portfolio</w:t>
            </w:r>
          </w:p>
        </w:tc>
        <w:tc>
          <w:tcPr>
            <w:tcW w:w="132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72"/>
              <w:spacing w:after="0"/>
              <w:rPr>
                <w:sz w:val="20"/>
                <w:szCs w:val="20"/>
                <w:color w:val="auto"/>
              </w:rPr>
            </w:pPr>
            <w:r>
              <w:rPr>
                <w:rFonts w:ascii="Arial" w:cs="Arial" w:eastAsia="Arial" w:hAnsi="Arial"/>
                <w:sz w:val="22"/>
                <w:szCs w:val="22"/>
                <w:color w:val="auto"/>
              </w:rPr>
              <w:t>470.0</w:t>
            </w:r>
          </w:p>
        </w:tc>
      </w:tr>
      <w:tr>
        <w:trPr>
          <w:trHeight w:val="270"/>
        </w:trPr>
        <w:tc>
          <w:tcPr>
            <w:tcW w:w="5380" w:type="dxa"/>
            <w:vAlign w:val="bottom"/>
          </w:tcPr>
          <w:p>
            <w:pPr>
              <w:ind w:left="200"/>
              <w:spacing w:after="0"/>
              <w:rPr>
                <w:sz w:val="20"/>
                <w:szCs w:val="20"/>
                <w:color w:val="auto"/>
              </w:rPr>
            </w:pPr>
            <w:r>
              <w:rPr>
                <w:rFonts w:ascii="Arial" w:cs="Arial" w:eastAsia="Arial" w:hAnsi="Arial"/>
                <w:sz w:val="22"/>
                <w:szCs w:val="22"/>
                <w:color w:val="auto"/>
              </w:rPr>
              <w:t>Net assets</w:t>
            </w:r>
          </w:p>
        </w:tc>
        <w:tc>
          <w:tcPr>
            <w:tcW w:w="132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72"/>
              <w:spacing w:after="0"/>
              <w:rPr>
                <w:sz w:val="20"/>
                <w:szCs w:val="20"/>
                <w:color w:val="auto"/>
              </w:rPr>
            </w:pPr>
            <w:r>
              <w:rPr>
                <w:rFonts w:ascii="Arial" w:cs="Arial" w:eastAsia="Arial" w:hAnsi="Arial"/>
                <w:sz w:val="22"/>
                <w:szCs w:val="22"/>
                <w:color w:val="auto"/>
              </w:rPr>
              <w:t>506.7</w:t>
            </w:r>
          </w:p>
        </w:tc>
      </w:tr>
      <w:tr>
        <w:trPr>
          <w:trHeight w:val="274"/>
        </w:trPr>
        <w:tc>
          <w:tcPr>
            <w:tcW w:w="5380" w:type="dxa"/>
            <w:vAlign w:val="bottom"/>
          </w:tcPr>
          <w:p>
            <w:pPr>
              <w:ind w:left="200"/>
              <w:spacing w:after="0"/>
              <w:rPr>
                <w:sz w:val="20"/>
                <w:szCs w:val="20"/>
                <w:color w:val="auto"/>
              </w:rPr>
            </w:pPr>
            <w:r>
              <w:rPr>
                <w:rFonts w:ascii="Arial" w:cs="Arial" w:eastAsia="Arial" w:hAnsi="Arial"/>
                <w:sz w:val="22"/>
                <w:szCs w:val="22"/>
                <w:color w:val="auto"/>
              </w:rPr>
              <w:t>Net asset value per share</w:t>
            </w:r>
          </w:p>
        </w:tc>
        <w:tc>
          <w:tcPr>
            <w:tcW w:w="132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72"/>
              <w:spacing w:after="0"/>
              <w:rPr>
                <w:sz w:val="20"/>
                <w:szCs w:val="20"/>
                <w:color w:val="auto"/>
              </w:rPr>
            </w:pPr>
            <w:r>
              <w:rPr>
                <w:rFonts w:ascii="Arial" w:cs="Arial" w:eastAsia="Arial" w:hAnsi="Arial"/>
                <w:sz w:val="22"/>
                <w:szCs w:val="22"/>
                <w:color w:val="auto"/>
              </w:rPr>
              <w:t>13.07</w:t>
            </w:r>
          </w:p>
        </w:tc>
      </w:tr>
      <w:tr>
        <w:trPr>
          <w:trHeight w:val="536"/>
        </w:trPr>
        <w:tc>
          <w:tcPr>
            <w:tcW w:w="5380" w:type="dxa"/>
            <w:vAlign w:val="bottom"/>
          </w:tcPr>
          <w:p>
            <w:pPr>
              <w:ind w:left="200"/>
              <w:spacing w:after="0"/>
              <w:rPr>
                <w:sz w:val="20"/>
                <w:szCs w:val="20"/>
                <w:color w:val="auto"/>
              </w:rPr>
            </w:pPr>
            <w:r>
              <w:rPr>
                <w:rFonts w:ascii="Arial" w:cs="Arial" w:eastAsia="Arial" w:hAnsi="Arial"/>
                <w:sz w:val="22"/>
                <w:szCs w:val="22"/>
                <w:color w:val="auto"/>
              </w:rPr>
              <w:t>Credit Facility</w:t>
            </w:r>
          </w:p>
        </w:tc>
        <w:tc>
          <w:tcPr>
            <w:tcW w:w="132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72"/>
              <w:spacing w:after="0"/>
              <w:rPr>
                <w:sz w:val="20"/>
                <w:szCs w:val="20"/>
                <w:color w:val="auto"/>
              </w:rPr>
            </w:pPr>
            <w:r>
              <w:rPr>
                <w:rFonts w:ascii="Arial" w:cs="Arial" w:eastAsia="Arial" w:hAnsi="Arial"/>
                <w:sz w:val="22"/>
                <w:szCs w:val="22"/>
                <w:color w:val="auto"/>
              </w:rPr>
              <w:t>412.1</w:t>
            </w:r>
          </w:p>
        </w:tc>
      </w:tr>
      <w:tr>
        <w:trPr>
          <w:trHeight w:val="274"/>
        </w:trPr>
        <w:tc>
          <w:tcPr>
            <w:tcW w:w="5380" w:type="dxa"/>
            <w:vAlign w:val="bottom"/>
          </w:tcPr>
          <w:p>
            <w:pPr>
              <w:ind w:left="200"/>
              <w:spacing w:after="0"/>
              <w:rPr>
                <w:sz w:val="20"/>
                <w:szCs w:val="20"/>
                <w:color w:val="auto"/>
              </w:rPr>
            </w:pPr>
            <w:r>
              <w:rPr>
                <w:rFonts w:ascii="Arial" w:cs="Arial" w:eastAsia="Arial" w:hAnsi="Arial"/>
                <w:sz w:val="22"/>
                <w:szCs w:val="22"/>
                <w:color w:val="auto"/>
              </w:rPr>
              <w:t>2023 Notes</w:t>
            </w:r>
          </w:p>
        </w:tc>
        <w:tc>
          <w:tcPr>
            <w:tcW w:w="132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72"/>
              <w:spacing w:after="0"/>
              <w:rPr>
                <w:sz w:val="20"/>
                <w:szCs w:val="20"/>
                <w:color w:val="auto"/>
              </w:rPr>
            </w:pPr>
            <w:r>
              <w:rPr>
                <w:rFonts w:ascii="Arial" w:cs="Arial" w:eastAsia="Arial" w:hAnsi="Arial"/>
                <w:sz w:val="22"/>
                <w:szCs w:val="22"/>
                <w:color w:val="auto"/>
              </w:rPr>
              <w:t>137.5</w:t>
            </w:r>
          </w:p>
        </w:tc>
      </w:tr>
      <w:tr>
        <w:trPr>
          <w:trHeight w:val="540"/>
        </w:trPr>
        <w:tc>
          <w:tcPr>
            <w:tcW w:w="5380" w:type="dxa"/>
            <w:vAlign w:val="bottom"/>
          </w:tcPr>
          <w:p>
            <w:pPr>
              <w:ind w:left="200"/>
              <w:spacing w:after="0"/>
              <w:rPr>
                <w:sz w:val="20"/>
                <w:szCs w:val="20"/>
                <w:color w:val="auto"/>
              </w:rPr>
            </w:pPr>
            <w:r>
              <w:rPr>
                <w:rFonts w:ascii="Arial" w:cs="Arial" w:eastAsia="Arial" w:hAnsi="Arial"/>
                <w:sz w:val="22"/>
                <w:szCs w:val="22"/>
                <w:color w:val="auto"/>
              </w:rPr>
              <w:t>Yield on debt investments at quarter-end</w:t>
            </w:r>
          </w:p>
        </w:tc>
        <w:tc>
          <w:tcPr>
            <w:tcW w:w="1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941"/>
        </w:trPr>
        <w:tc>
          <w:tcPr>
            <w:tcW w:w="5380" w:type="dxa"/>
            <w:vAlign w:val="bottom"/>
          </w:tcPr>
          <w:p>
            <w:pPr>
              <w:spacing w:after="0"/>
              <w:rPr>
                <w:sz w:val="20"/>
                <w:szCs w:val="20"/>
                <w:color w:val="auto"/>
              </w:rPr>
            </w:pPr>
            <w:r>
              <w:rPr>
                <w:rFonts w:ascii="Arial" w:cs="Arial" w:eastAsia="Arial" w:hAnsi="Arial"/>
                <w:sz w:val="22"/>
                <w:szCs w:val="22"/>
                <w:color w:val="auto"/>
              </w:rPr>
              <w:t>Operating Results:</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5380" w:type="dxa"/>
            <w:vAlign w:val="bottom"/>
          </w:tcPr>
          <w:p>
            <w:pPr>
              <w:ind w:left="200"/>
              <w:spacing w:after="0"/>
              <w:rPr>
                <w:sz w:val="20"/>
                <w:szCs w:val="20"/>
                <w:color w:val="auto"/>
              </w:rPr>
            </w:pPr>
            <w:r>
              <w:rPr>
                <w:rFonts w:ascii="Arial" w:cs="Arial" w:eastAsia="Arial" w:hAnsi="Arial"/>
                <w:sz w:val="22"/>
                <w:szCs w:val="22"/>
                <w:color w:val="auto"/>
              </w:rPr>
              <w:t>Net investment income</w:t>
            </w:r>
          </w:p>
        </w:tc>
        <w:tc>
          <w:tcPr>
            <w:tcW w:w="132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92"/>
              <w:spacing w:after="0"/>
              <w:rPr>
                <w:sz w:val="20"/>
                <w:szCs w:val="20"/>
                <w:color w:val="auto"/>
              </w:rPr>
            </w:pPr>
            <w:r>
              <w:rPr>
                <w:rFonts w:ascii="Arial" w:cs="Arial" w:eastAsia="Arial" w:hAnsi="Arial"/>
                <w:sz w:val="22"/>
                <w:szCs w:val="22"/>
                <w:color w:val="auto"/>
              </w:rPr>
              <w:t>11.3</w:t>
            </w:r>
          </w:p>
        </w:tc>
      </w:tr>
      <w:tr>
        <w:trPr>
          <w:trHeight w:val="270"/>
        </w:trPr>
        <w:tc>
          <w:tcPr>
            <w:tcW w:w="5380" w:type="dxa"/>
            <w:vAlign w:val="bottom"/>
          </w:tcPr>
          <w:p>
            <w:pPr>
              <w:ind w:left="200"/>
              <w:spacing w:after="0"/>
              <w:rPr>
                <w:sz w:val="20"/>
                <w:szCs w:val="20"/>
                <w:color w:val="auto"/>
              </w:rPr>
            </w:pPr>
            <w:r>
              <w:rPr>
                <w:rFonts w:ascii="Arial" w:cs="Arial" w:eastAsia="Arial" w:hAnsi="Arial"/>
                <w:sz w:val="22"/>
                <w:szCs w:val="22"/>
                <w:color w:val="auto"/>
              </w:rPr>
              <w:t>Net investment income per share</w:t>
            </w:r>
          </w:p>
        </w:tc>
        <w:tc>
          <w:tcPr>
            <w:tcW w:w="132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92"/>
              <w:spacing w:after="0"/>
              <w:rPr>
                <w:sz w:val="20"/>
                <w:szCs w:val="20"/>
                <w:color w:val="auto"/>
              </w:rPr>
            </w:pPr>
            <w:r>
              <w:rPr>
                <w:rFonts w:ascii="Arial" w:cs="Arial" w:eastAsia="Arial" w:hAnsi="Arial"/>
                <w:sz w:val="22"/>
                <w:szCs w:val="22"/>
                <w:color w:val="auto"/>
              </w:rPr>
              <w:t>0.29</w:t>
            </w:r>
          </w:p>
        </w:tc>
      </w:tr>
      <w:tr>
        <w:trPr>
          <w:trHeight w:val="274"/>
        </w:trPr>
        <w:tc>
          <w:tcPr>
            <w:tcW w:w="5380" w:type="dxa"/>
            <w:vAlign w:val="bottom"/>
          </w:tcPr>
          <w:p>
            <w:pPr>
              <w:ind w:left="200"/>
              <w:spacing w:after="0"/>
              <w:rPr>
                <w:sz w:val="20"/>
                <w:szCs w:val="20"/>
                <w:color w:val="auto"/>
              </w:rPr>
            </w:pPr>
            <w:r>
              <w:rPr>
                <w:rFonts w:ascii="Arial" w:cs="Arial" w:eastAsia="Arial" w:hAnsi="Arial"/>
                <w:sz w:val="22"/>
                <w:szCs w:val="22"/>
                <w:color w:val="auto"/>
              </w:rPr>
              <w:t>Distributions declared per share</w:t>
            </w:r>
          </w:p>
        </w:tc>
        <w:tc>
          <w:tcPr>
            <w:tcW w:w="132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92"/>
              <w:spacing w:after="0"/>
              <w:rPr>
                <w:sz w:val="20"/>
                <w:szCs w:val="20"/>
                <w:color w:val="auto"/>
              </w:rPr>
            </w:pPr>
            <w:r>
              <w:rPr>
                <w:rFonts w:ascii="Arial" w:cs="Arial" w:eastAsia="Arial" w:hAnsi="Arial"/>
                <w:sz w:val="22"/>
                <w:szCs w:val="22"/>
                <w:color w:val="auto"/>
              </w:rPr>
              <w:t>0.285</w:t>
            </w:r>
          </w:p>
        </w:tc>
      </w:tr>
      <w:tr>
        <w:trPr>
          <w:trHeight w:val="536"/>
        </w:trPr>
        <w:tc>
          <w:tcPr>
            <w:tcW w:w="5380" w:type="dxa"/>
            <w:vAlign w:val="bottom"/>
          </w:tcPr>
          <w:p>
            <w:pPr>
              <w:spacing w:after="0"/>
              <w:rPr>
                <w:sz w:val="20"/>
                <w:szCs w:val="20"/>
                <w:color w:val="auto"/>
              </w:rPr>
            </w:pPr>
            <w:r>
              <w:rPr>
                <w:rFonts w:ascii="Arial" w:cs="Arial" w:eastAsia="Arial" w:hAnsi="Arial"/>
                <w:sz w:val="22"/>
                <w:szCs w:val="22"/>
                <w:color w:val="auto"/>
              </w:rPr>
              <w:t>Portfolio Activity:</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5380" w:type="dxa"/>
            <w:vAlign w:val="bottom"/>
          </w:tcPr>
          <w:p>
            <w:pPr>
              <w:ind w:left="200"/>
              <w:spacing w:after="0"/>
              <w:rPr>
                <w:sz w:val="20"/>
                <w:szCs w:val="20"/>
                <w:color w:val="auto"/>
              </w:rPr>
            </w:pPr>
            <w:r>
              <w:rPr>
                <w:rFonts w:ascii="Arial" w:cs="Arial" w:eastAsia="Arial" w:hAnsi="Arial"/>
                <w:sz w:val="22"/>
                <w:szCs w:val="22"/>
                <w:color w:val="auto"/>
              </w:rPr>
              <w:t>Purchases of investments</w:t>
            </w:r>
          </w:p>
        </w:tc>
        <w:tc>
          <w:tcPr>
            <w:tcW w:w="132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92"/>
              <w:spacing w:after="0"/>
              <w:rPr>
                <w:sz w:val="20"/>
                <w:szCs w:val="20"/>
                <w:color w:val="auto"/>
              </w:rPr>
            </w:pPr>
            <w:r>
              <w:rPr>
                <w:rFonts w:ascii="Arial" w:cs="Arial" w:eastAsia="Arial" w:hAnsi="Arial"/>
                <w:sz w:val="22"/>
                <w:szCs w:val="22"/>
                <w:color w:val="auto"/>
              </w:rPr>
              <w:t>182.7</w:t>
            </w:r>
          </w:p>
        </w:tc>
      </w:tr>
      <w:tr>
        <w:trPr>
          <w:trHeight w:val="274"/>
        </w:trPr>
        <w:tc>
          <w:tcPr>
            <w:tcW w:w="5380" w:type="dxa"/>
            <w:vAlign w:val="bottom"/>
          </w:tcPr>
          <w:p>
            <w:pPr>
              <w:ind w:left="200"/>
              <w:spacing w:after="0"/>
              <w:rPr>
                <w:sz w:val="20"/>
                <w:szCs w:val="20"/>
                <w:color w:val="auto"/>
              </w:rPr>
            </w:pPr>
            <w:r>
              <w:rPr>
                <w:rFonts w:ascii="Arial" w:cs="Arial" w:eastAsia="Arial" w:hAnsi="Arial"/>
                <w:sz w:val="22"/>
                <w:szCs w:val="22"/>
                <w:color w:val="auto"/>
              </w:rPr>
              <w:t>Sales and repayments of investments</w:t>
            </w:r>
          </w:p>
        </w:tc>
        <w:tc>
          <w:tcPr>
            <w:tcW w:w="132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92"/>
              <w:spacing w:after="0"/>
              <w:rPr>
                <w:sz w:val="20"/>
                <w:szCs w:val="20"/>
                <w:color w:val="auto"/>
              </w:rPr>
            </w:pPr>
            <w:r>
              <w:rPr>
                <w:rFonts w:ascii="Arial" w:cs="Arial" w:eastAsia="Arial" w:hAnsi="Arial"/>
                <w:sz w:val="22"/>
                <w:szCs w:val="22"/>
                <w:color w:val="auto"/>
              </w:rPr>
              <w:t>66.6</w:t>
            </w:r>
          </w:p>
        </w:tc>
      </w:tr>
      <w:tr>
        <w:trPr>
          <w:trHeight w:val="536"/>
        </w:trPr>
        <w:tc>
          <w:tcPr>
            <w:tcW w:w="5380" w:type="dxa"/>
            <w:vAlign w:val="bottom"/>
          </w:tcPr>
          <w:p>
            <w:pPr>
              <w:ind w:left="200"/>
              <w:spacing w:after="0"/>
              <w:rPr>
                <w:sz w:val="20"/>
                <w:szCs w:val="20"/>
                <w:color w:val="auto"/>
              </w:rPr>
            </w:pPr>
            <w:r>
              <w:rPr>
                <w:rFonts w:ascii="Arial" w:cs="Arial" w:eastAsia="Arial" w:hAnsi="Arial"/>
                <w:sz w:val="22"/>
                <w:szCs w:val="22"/>
                <w:color w:val="auto"/>
              </w:rPr>
              <w:t>Number of new portfolio companies invested</w:t>
            </w:r>
          </w:p>
        </w:tc>
        <w:tc>
          <w:tcPr>
            <w:tcW w:w="1320" w:type="dxa"/>
            <w:vAlign w:val="bottom"/>
          </w:tcPr>
          <w:p>
            <w:pPr>
              <w:spacing w:after="0"/>
              <w:rPr>
                <w:sz w:val="24"/>
                <w:szCs w:val="24"/>
                <w:color w:val="auto"/>
              </w:rPr>
            </w:pPr>
          </w:p>
        </w:tc>
        <w:tc>
          <w:tcPr>
            <w:tcW w:w="1100" w:type="dxa"/>
            <w:vAlign w:val="bottom"/>
          </w:tcPr>
          <w:p>
            <w:pPr>
              <w:jc w:val="right"/>
              <w:ind w:right="92"/>
              <w:spacing w:after="0"/>
              <w:rPr>
                <w:sz w:val="20"/>
                <w:szCs w:val="20"/>
                <w:color w:val="auto"/>
              </w:rPr>
            </w:pPr>
            <w:r>
              <w:rPr>
                <w:rFonts w:ascii="Arial" w:cs="Arial" w:eastAsia="Arial" w:hAnsi="Arial"/>
                <w:sz w:val="22"/>
                <w:szCs w:val="22"/>
                <w:color w:val="auto"/>
              </w:rPr>
              <w:t>8</w:t>
            </w:r>
          </w:p>
        </w:tc>
      </w:tr>
      <w:tr>
        <w:trPr>
          <w:trHeight w:val="270"/>
        </w:trPr>
        <w:tc>
          <w:tcPr>
            <w:tcW w:w="5380" w:type="dxa"/>
            <w:vAlign w:val="bottom"/>
          </w:tcPr>
          <w:p>
            <w:pPr>
              <w:ind w:left="200"/>
              <w:spacing w:after="0"/>
              <w:rPr>
                <w:sz w:val="20"/>
                <w:szCs w:val="20"/>
                <w:color w:val="auto"/>
              </w:rPr>
            </w:pPr>
            <w:r>
              <w:rPr>
                <w:rFonts w:ascii="Arial" w:cs="Arial" w:eastAsia="Arial" w:hAnsi="Arial"/>
                <w:sz w:val="22"/>
                <w:szCs w:val="22"/>
                <w:color w:val="auto"/>
              </w:rPr>
              <w:t>Number of existing portfolio companies invested</w:t>
            </w:r>
          </w:p>
        </w:tc>
        <w:tc>
          <w:tcPr>
            <w:tcW w:w="1320" w:type="dxa"/>
            <w:vAlign w:val="bottom"/>
          </w:tcPr>
          <w:p>
            <w:pPr>
              <w:spacing w:after="0"/>
              <w:rPr>
                <w:sz w:val="23"/>
                <w:szCs w:val="23"/>
                <w:color w:val="auto"/>
              </w:rPr>
            </w:pPr>
          </w:p>
        </w:tc>
        <w:tc>
          <w:tcPr>
            <w:tcW w:w="1100" w:type="dxa"/>
            <w:vAlign w:val="bottom"/>
          </w:tcPr>
          <w:p>
            <w:pPr>
              <w:jc w:val="right"/>
              <w:ind w:right="92"/>
              <w:spacing w:after="0"/>
              <w:rPr>
                <w:sz w:val="20"/>
                <w:szCs w:val="20"/>
                <w:color w:val="auto"/>
              </w:rPr>
            </w:pPr>
            <w:r>
              <w:rPr>
                <w:rFonts w:ascii="Arial" w:cs="Arial" w:eastAsia="Arial" w:hAnsi="Arial"/>
                <w:sz w:val="22"/>
                <w:szCs w:val="22"/>
                <w:color w:val="auto"/>
              </w:rPr>
              <w:t>14</w:t>
            </w:r>
          </w:p>
        </w:tc>
      </w:tr>
      <w:tr>
        <w:trPr>
          <w:trHeight w:val="274"/>
        </w:trPr>
        <w:tc>
          <w:tcPr>
            <w:tcW w:w="5380" w:type="dxa"/>
            <w:vAlign w:val="bottom"/>
          </w:tcPr>
          <w:p>
            <w:pPr>
              <w:ind w:left="200"/>
              <w:spacing w:after="0"/>
              <w:rPr>
                <w:sz w:val="20"/>
                <w:szCs w:val="20"/>
                <w:color w:val="auto"/>
              </w:rPr>
            </w:pPr>
            <w:r>
              <w:rPr>
                <w:rFonts w:ascii="Arial" w:cs="Arial" w:eastAsia="Arial" w:hAnsi="Arial"/>
                <w:sz w:val="22"/>
                <w:szCs w:val="22"/>
                <w:color w:val="auto"/>
              </w:rPr>
              <w:t>Number of ending portfolio companies</w:t>
            </w:r>
          </w:p>
        </w:tc>
        <w:tc>
          <w:tcPr>
            <w:tcW w:w="1320" w:type="dxa"/>
            <w:vAlign w:val="bottom"/>
          </w:tcPr>
          <w:p>
            <w:pPr>
              <w:spacing w:after="0"/>
              <w:rPr>
                <w:sz w:val="23"/>
                <w:szCs w:val="23"/>
                <w:color w:val="auto"/>
              </w:rPr>
            </w:pPr>
          </w:p>
        </w:tc>
        <w:tc>
          <w:tcPr>
            <w:tcW w:w="1100" w:type="dxa"/>
            <w:vAlign w:val="bottom"/>
          </w:tcPr>
          <w:p>
            <w:pPr>
              <w:jc w:val="right"/>
              <w:ind w:right="92"/>
              <w:spacing w:after="0"/>
              <w:rPr>
                <w:sz w:val="20"/>
                <w:szCs w:val="20"/>
                <w:color w:val="auto"/>
              </w:rPr>
            </w:pPr>
            <w:r>
              <w:rPr>
                <w:rFonts w:ascii="Arial" w:cs="Arial" w:eastAsia="Arial" w:hAnsi="Arial"/>
                <w:sz w:val="22"/>
                <w:szCs w:val="22"/>
                <w:color w:val="auto"/>
              </w:rPr>
              <w:t>93</w:t>
            </w:r>
          </w:p>
        </w:tc>
      </w:tr>
    </w:tbl>
    <w:p>
      <w:pPr>
        <w:spacing w:after="0" w:line="252" w:lineRule="exact"/>
        <w:rPr>
          <w:sz w:val="20"/>
          <w:szCs w:val="20"/>
          <w:color w:val="auto"/>
        </w:rPr>
      </w:pPr>
    </w:p>
    <w:p>
      <w:pPr>
        <w:ind w:right="400" w:firstLine="8"/>
        <w:spacing w:after="0" w:line="215" w:lineRule="auto"/>
        <w:tabs>
          <w:tab w:leader="none" w:pos="264" w:val="left"/>
        </w:tabs>
        <w:numPr>
          <w:ilvl w:val="0"/>
          <w:numId w:val="3"/>
        </w:numPr>
        <w:rPr>
          <w:rFonts w:ascii="Arial" w:cs="Arial" w:eastAsia="Arial" w:hAnsi="Arial"/>
          <w:sz w:val="31"/>
          <w:szCs w:val="31"/>
          <w:color w:val="auto"/>
          <w:vertAlign w:val="superscript"/>
        </w:rPr>
      </w:pPr>
      <w:r>
        <w:rPr>
          <w:rFonts w:ascii="Arial" w:cs="Arial" w:eastAsia="Arial" w:hAnsi="Arial"/>
          <w:sz w:val="19"/>
          <w:szCs w:val="19"/>
          <w:color w:val="auto"/>
        </w:rPr>
        <w:t>Includes investments in PennantPark Senior Secured Loan Fund I LLC, or PSSL, an unconsolidated joint venture, totaling $171.7 million, at fair value.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EST ON AUGUST 8, 2019</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PennantPark Floating Rate Capital Ltd. (“we,” “our,” “us” or the “Company”) will host a conference call at 10:00 a.m. (Eastern Standard Time) on Thursday, August 8, 2019 to discuss its financial results. All interested parties are welcome to participate. You can access the conference call by dialing toll-free (866) 548-4713 approximately 5-10 minutes prior to the call. International callers should dial (323) 794-2093. All callers should reference PennantPark Floating Rate Capital Ltd. An archived replay of the call will be available through August 22, 2019 by calling toll-free (888) 203-1112. International callers please dial (719) 457-0820. For all phone replays, please reference conference ID #7172668.</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“We are pleased that our strategy and execution has resulted in current run rate net investment income covering our dividend,” said Art Penn, Chairman and CEO. “We believe that our earnings stream will continue to have a nice tailwind, creating value for our investors as we gradually increase our debt to equity ratio, while maintaining a prudent debt profile.”</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As of June 30, 2019, our portfolio totaled $1,072.2 million and consisted of $939.6 million of first lien secured debt (including $121.0 million in PSSL), $34.0 million of second lien secured debt and $98.6 million of preferred and common equity (including $50.7 million in PSSL). Our debt portfolio consisted of 99% variable-rate investments and 1% fixed-rate investments. As of June 30, 2019, we had three portfolio companies on non-accrual, representing 2.3% and 0.8% of our overall portfolio on a cost and fair value basis, respectively. Overall, the portfolio had net unrealized depreciation of $13.9 million. Our overall portfolio consisted of 93 companies with an average investment size of $11.5 million, had a weighted average yield on debt investments of 8.9%, and was invested 88% in first lien secured debt (including 11% in PSSL), 3% in second lien secured debt and 9% in</w:t>
      </w:r>
    </w:p>
    <w:p>
      <w:pPr>
        <w:sectPr>
          <w:pgSz w:w="11900" w:h="16838" w:orient="portrait"/>
          <w:cols w:equalWidth="0" w:num="1">
            <w:col w:w="11240"/>
          </w:cols>
          <w:pgMar w:left="320" w:top="112" w:right="339" w:bottom="0" w:gutter="0" w:footer="0" w:header="0"/>
        </w:sectPr>
      </w:pPr>
    </w:p>
    <w:bookmarkStart w:id="4" w:name="page5"/>
    <w:bookmarkEnd w:id="4"/>
    <w:p>
      <w:pPr>
        <w:jc w:val="both"/>
        <w:ind w:right="20"/>
        <w:spacing w:after="0" w:line="251" w:lineRule="auto"/>
        <w:rPr>
          <w:sz w:val="20"/>
          <w:szCs w:val="20"/>
          <w:color w:val="auto"/>
        </w:rPr>
      </w:pPr>
      <w:r>
        <w:rPr>
          <w:rFonts w:ascii="Arial" w:cs="Arial" w:eastAsia="Arial" w:hAnsi="Arial"/>
          <w:sz w:val="22"/>
          <w:szCs w:val="22"/>
          <w:color w:val="auto"/>
        </w:rPr>
        <w:t>preferred and common equity (including 5% in PSSL). As of June 30, 2019, 99% of the investments held by PSSL were first and second lien secured debt and 1% was in common equity.</w:t>
      </w:r>
    </w:p>
    <w:p>
      <w:pPr>
        <w:spacing w:after="0" w:line="17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As of September 30, 2018, our portfolio totaled $1,000.6 million and consisted of $913.3 million of first lien secured debt (including $101.1 million in PSSL), $21.2 million of second lien secured debt and $66.1 million of preferred and common equity (including $44.8 million in PSSL). Our debt portfolio consisted of 100% variable-rate investments. As of September 30, 2018, we had no portfolio companies on non-accrual. Overall, the portfolio had net unrealized depreciation of $0.9 million. Our overall portfolio consisted of 88 companies with an average investment size of $11.4 million, had a weighted average yield on debt investments of 8.8%, and was invested 91% in first lien secured debt (including 10% in PSSL), 2% in second lien secured debt and 7% in preferred and common equity (including 4% in PSSL). As of September 30, 2018, all of the investments held by PSSL were first lien secured debt.</w:t>
      </w:r>
    </w:p>
    <w:p>
      <w:pPr>
        <w:spacing w:after="0" w:line="18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June 30, 2019, we invested $182.7 million in eight new and 14 existing portfolio companies with a weighted average yield on debt investments of 9.3%. Sales and repayments of investments for the three months ended June 30, 2019 totaled $66.6 million. For the nine months ended June 30, 2019, we invested $499.5 million in 22 new and 60 existing portfolio companies with a weighted average yield on debt investments of 8.9%. Sales and repayments of investments for the nine months ended June 30, 2019 totaled $400.1 million.</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June 30, 2018, we invested $165.3 million in five new and 23 existing portfolio companies with a weighted average yield on debt investments of 8.2%. Sales and repayments of investments for the three months ended June 30, 2018 totaled $87.9 million. For the nine months ended June 30, 2018, we invested $480.6 million in 22 new and 51 existing portfolio companies with a weighted average yield on debt investments of 8.0%. Sales and repayments of investments for the nine months ended June 30, 2018 totaled $283.6 million.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Senior Secured Loan Fund I LLC</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June 30, 2019, PSSL’s portfolio totaled $470.0 million, consisted of 42 companies with an average investment size of $11.2 million and had a weighted average yield on debt investments of 7.9%. As of September 30, 2018, PSSL’s portfolio totaled $425.4 million, consisted of 42 companies with an average investment size of $10.1 million and had a weighted average yield on debt investments of 7.8%.</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For the three months ended June 30, 2019, we invested $8.4 million in one new and three existing portfolio companies with a weighted average yield on debt investments of 9.0%. Sales and repayments of investments for the three months ended June 30, 2019 totaled $39.7 million. For the nine months ended June 30, 2019, we invested $176.0 (including $57.7 million purchased from the Company) million in 11 new and 13 existing portfolio companies with a weighted average yield on debt investments of 8.1%. Sales and repayments of investments for the nine months ended June 30, 2019 totaled $128.2 million.</w:t>
      </w:r>
    </w:p>
    <w:p>
      <w:pPr>
        <w:spacing w:after="0" w:line="14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For the three months ended June 30, 2018, PSSL invested $142.7 million (of which $27.1 million was purchased from the Company) in 10 new and three existing portfolio companies with a weighted average yield on debt investments of 7.4%. PSSL’s sales and repayments of investments for the three months ended June 30, 2018 totaled $16.1 million. For the nine months ended June 30, 2018, PSSL invested $270.4 million in 23 new and six existing portfolio companies with a weighted average yield on debt investments of 7.4%. PSSL’s sales and repayments of investments for the nine months ended June 30, 2018 totaled $23.8 million.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nine months ended June 30, 2019 and 2018.</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Investment income for the three and nine months ended June 30, 2019 was $22.9 million and $69.1 million, respectively, and was attributable to $19.9 million and $62.0 million from first lien secured debt and $3.0 million and $7.0 million from second lien secured debt and preferred equity, respectively. This compares to investment income for the three and nine months ended June 30, 2018, which was $19.5 million and $50.9 million, respectively, and was attributable to $19.2 million and $46.0 million from first lien secured debt and $0.3 million and $4.9 million from second lien secured debt, subordinated debt and preferred and common equity, respectively. The increase in investment income compared to the same periods in the prior year was primarily due to the growth of our portfolio and an increase in dividend income from one of our portfolio companies.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Expenses for the three and nine months ended June 30, 2019 totaled $11.5 million and $35.0 million, respectively. Base management fee for the same periods totaled $2.6 million and $7.5 million, incentive fee totaled $2.4 million (including $2.4 million on net investment income and zero accrued but not payable on realized gains) and $3.7 million (including $5.1 million on net investment income and $(1.4) million accrued but not payable on realized gains), debt related interest and expenses totaled $5.7 million and $20.8 million (including $4.5 million in amendment costs on our multi-currency, senior secured revolving credit facility, or the Credit Facility) and general and administrative expenses totaled $1.0 million and $3.0 million, respectively. This compares to expenses for the three and nine months ended June 30, 2018 totaled $7.7 million and $31.6 million, respectively. Base management fee for the same periods totaled $2.2 million and $5.9 million, incentive fee totaled $0.3 million (including $(1.0) million on unrealized gains accrued but not payable) and $0.9 million (including $(0.1) million on realized gains and</w:t>
      </w:r>
    </w:p>
    <w:p>
      <w:pPr>
        <w:sectPr>
          <w:pgSz w:w="11900" w:h="16838" w:orient="portrait"/>
          <w:cols w:equalWidth="0" w:num="1">
            <w:col w:w="11240"/>
          </w:cols>
          <w:pgMar w:left="320" w:top="118" w:right="339" w:bottom="0" w:gutter="0" w:footer="0" w:header="0"/>
        </w:sectPr>
      </w:pPr>
    </w:p>
    <w:bookmarkStart w:id="5" w:name="page6"/>
    <w:bookmarkEnd w:id="5"/>
    <w:p>
      <w:pPr>
        <w:jc w:val="both"/>
        <w:spacing w:after="0" w:line="246" w:lineRule="auto"/>
        <w:rPr>
          <w:sz w:val="20"/>
          <w:szCs w:val="20"/>
          <w:color w:val="auto"/>
        </w:rPr>
      </w:pPr>
      <w:r>
        <w:rPr>
          <w:rFonts w:ascii="Arial" w:cs="Arial" w:eastAsia="Arial" w:hAnsi="Arial"/>
          <w:sz w:val="21"/>
          <w:szCs w:val="21"/>
          <w:color w:val="auto"/>
        </w:rPr>
        <w:t>$(0.6) million on unrealized gains accrued but not payable), debt related interest and expenses totaled $3.9 million and $20.8 million (including $10.9 million in Credit Facility amendment and debt issuance costs on the 3.83% Series A notes due 2023, or the 2023 Notes), general and administrative expenses totaled $1.1 million and $3.4 million and provision for taxes totaled $0.2 million and $0.6 million, respectively. The increase in expenses for the three months ended June 30, 2019 compared to the same period in the prior year was primarily due to increase in management and incentive fees and debt related interest and expenses due to the growth of our portfolio in the current period. The increase in expenses for the nine months ended June 30, 2019 compared to the same period in the prior year was primarily due to the expenses incurred in connection with the amendment of the Credit Facility as well as higher interest expense.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Net investment income totaled $11.3 million and $34.1 million, or $0.29 and $0.88 per share, for the three and nine months ended June 30, 2019, respectively. Net investment income totaled $11.8 million and $19.3 million, or $0.31 and $0.51 per share, for the three and nine months ended June 30, 2018, respectively. The change in net investment income compared to the same periods in the prior year was primarily due to the growth of our portfolio as well higher leverage cost.</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Sales and repayments of investments for the three and nine months ended June 30, 2019 totaled $66.6 million and $400.1 million, respectively, and net realized losses totaled $18.4 million and $16.4 million, respectively. Sales and repayments of investments for the three and nine months ended June 30, 2018 totaled $87.9 million and $283.6 million, respectively, and net realized losses totaled $1.8 million and $3.1 million, respectively. The change in realized gains/losses was primarily due to changes in the market conditions of our investments and the values at which they were realized.</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the Credit Facility and the 2023 Notes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For the three and nine months ended June 30, 2019, we reported net change in unrealized appreciation (depreciation) on investments of $11.9 million and $(13.2) million, respectively. For the three and nine months ended June 30, 2018, we reported net change in unrealized depreciation on investments of $3.2 million and $0.2 million, respectively. As of June 30, 2019 and September 30, 2018, our net unrealized depreciation on investments totaled $13.9 million and $0.9 million, respectively. The net change in unrealized appreciation/depreciation on our investments compared to the same period in the prior year was primarily due to changes in the capital market conditions, the financial performance of certain portfolio companies and the reversal of unrealized appreciation/depreciation on investments that were realized.</w:t>
      </w:r>
    </w:p>
    <w:p>
      <w:pPr>
        <w:spacing w:after="0" w:line="18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For the three and nine months ended June 30, 2019, the Credit Facility and the 2023 Notes had a net change in unrealized appreciation of $0.4 million and $0.4 million, respectively. For the three and nine months ended June 30, 2018, the Credit Facility and the 2023 Notes had a net change in unrealized (appreciation) depreciation of $(1.9) million and $6.5 million, respectively. As of June 30, 2019 and September 30, 2018, the net unrealized depreciation on the Credit Facility and the 2023 Notes totaled $4.2 million and $4.7 million, respectively. The net change in net unrealized depreciation compared to the same period in the prior year was primarily due to changes in the capital markets.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Net change in net assets resulting from operations totaled $4.5 million and $4.0 million, or $0.12 and $0.10 per share, respectively, for the three and nine months ended June 30, 2019. This compares to a net change in net assets resulting from operations of $5.0 million and $22.5 million, or $0.13 and $0.59 per share, respectively, for the three and nine months ended June 30, 2018. The decrease in the net change in net assets from operations compared to the same periods in the prior year was primarily due to depreciation of the portfolio in the current period.</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annualized weighted average cost of debt for the nine months ended June 30, 2019 and 2018, inclusive of the fee on the undrawn commitment of 0.4% on the Credit Facility, amendment costs and debt issuance costs, was 5.3% and 7.3%, respectively (excluding amendment and debt issuance costs, amounts were 4.4% and 4.0%, respectively).</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As of June 30, 2019 and September 30, 2018, PennantPark Floating Rate Funding I, LLC, or Funding I, had $415.3 million and $333.7 million of outstanding borrowings under the Credit Facility, respectively. The Credit Facility had a weighted average interest rate of 4.4% and 4.3%, exclusive of the fee on undrawn commitments as of June 30, 2019 and September 30, 2018, respectively. As of June 30, 2019 and September 30, 2018, Funding I had $104.7 million and $71.3 million of unused borrowing capacity under the Credit Facility, respectively, subject to the regulatory restrictions.</w:t>
      </w:r>
    </w:p>
    <w:p>
      <w:pPr>
        <w:spacing w:after="0" w:line="178"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As of June 30, 2019 and September 30, 2018, we had cash equivalents of $25.4 million and $72.2 million, respectively, available for investing and general corporate purposes. We believe our liquidity and capital resources are sufficient to take advantage of</w:t>
      </w:r>
    </w:p>
    <w:p>
      <w:pPr>
        <w:sectPr>
          <w:pgSz w:w="11900" w:h="16838" w:orient="portrait"/>
          <w:cols w:equalWidth="0" w:num="1">
            <w:col w:w="11240"/>
          </w:cols>
          <w:pgMar w:left="320" w:top="118" w:right="339" w:bottom="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market opportunities.</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operating activities used cash of $96.0 million for the nine months ended June 30, 2019, and our financing activities provided cash of $48.4 million for the same period. Our operating activities used cash primarily for our investment activities and our financing activities provided cash primarily from draws on our credit facility, partially offset by distributions paid to stockholders.</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operating activities used cash of $183.0 million for the nine months ended June 30, 2018 and our financing activities provided cash of $196.6 million for the same period. Our operating activities used cash primarily for our investment activities and our financing activities provided cash primarily from a follow-on equity offering and the issuance of the 2023 Notes.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During the three and nine months ended June 30, 2019, we declared distributions of $0.285 and $0.855 per share, respectively, for total distributions of $11.1 million and $33.2 million, respectively. For the same periods in the prior year, we declared distributions of $0.285 and $0.855 per share, respectively, for total distributions of $11.1 million and $32.5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Securities and Exchange Commission, or the SEC.</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The Company makes available on its website its report on Form 10-Q filed with the SEC and stockholders may find the report on its website at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60"/>
        <w:spacing w:after="0"/>
        <w:rPr>
          <w:sz w:val="20"/>
          <w:szCs w:val="20"/>
          <w:color w:val="auto"/>
        </w:rPr>
      </w:pPr>
      <w:r>
        <w:rPr>
          <w:rFonts w:ascii="Arial" w:cs="Arial" w:eastAsia="Arial" w:hAnsi="Arial"/>
          <w:sz w:val="22"/>
          <w:szCs w:val="22"/>
          <w:b w:val="1"/>
          <w:bCs w:val="1"/>
          <w:color w:val="auto"/>
        </w:rPr>
        <w:t>PENNANTPARK FLOATING RATE CAPITAL LTD. AND SUBSIDIARIES</w:t>
      </w:r>
    </w:p>
    <w:p>
      <w:pPr>
        <w:spacing w:after="0" w:line="14" w:lineRule="exact"/>
        <w:rPr>
          <w:sz w:val="20"/>
          <w:szCs w:val="20"/>
          <w:color w:val="auto"/>
        </w:rPr>
      </w:pPr>
    </w:p>
    <w:p>
      <w:pPr>
        <w:ind w:left="2400"/>
        <w:spacing w:after="0"/>
        <w:rPr>
          <w:sz w:val="20"/>
          <w:szCs w:val="20"/>
          <w:color w:val="auto"/>
        </w:rPr>
      </w:pPr>
      <w:r>
        <w:rPr>
          <w:rFonts w:ascii="Arial" w:cs="Arial" w:eastAsia="Arial" w:hAnsi="Arial"/>
          <w:sz w:val="22"/>
          <w:szCs w:val="22"/>
          <w:b w:val="1"/>
          <w:bCs w:val="1"/>
          <w:color w:val="auto"/>
        </w:rPr>
        <w:t>CONSOLIDATED STATEMENTS OF ASSETS AND LIABILITIES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22"/>
                <w:szCs w:val="22"/>
                <w:b w:val="1"/>
                <w:bCs w:val="1"/>
                <w:color w:val="auto"/>
                <w:w w:val="90"/>
              </w:rPr>
              <w:t>September 30,</w:t>
            </w:r>
          </w:p>
        </w:tc>
      </w:tr>
      <w:tr>
        <w:trPr>
          <w:trHeight w:val="270"/>
        </w:trPr>
        <w:tc>
          <w:tcPr>
            <w:tcW w:w="7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20" w:type="dxa"/>
            <w:vAlign w:val="bottom"/>
            <w:gridSpan w:val="2"/>
          </w:tcPr>
          <w:p>
            <w:pPr>
              <w:jc w:val="right"/>
              <w:ind w:right="480"/>
              <w:spacing w:after="0"/>
              <w:rPr>
                <w:sz w:val="20"/>
                <w:szCs w:val="20"/>
                <w:color w:val="auto"/>
              </w:rPr>
            </w:pPr>
            <w:r>
              <w:rPr>
                <w:rFonts w:ascii="Arial" w:cs="Arial" w:eastAsia="Arial" w:hAnsi="Arial"/>
                <w:sz w:val="22"/>
                <w:szCs w:val="22"/>
                <w:b w:val="1"/>
                <w:bCs w:val="1"/>
                <w:color w:val="auto"/>
                <w:w w:val="92"/>
              </w:rPr>
              <w:t>June 30, 2019</w:t>
            </w:r>
          </w:p>
        </w:tc>
        <w:tc>
          <w:tcPr>
            <w:tcW w:w="180" w:type="dxa"/>
            <w:vAlign w:val="bottom"/>
          </w:tcPr>
          <w:p>
            <w:pPr>
              <w:spacing w:after="0"/>
              <w:rPr>
                <w:sz w:val="23"/>
                <w:szCs w:val="23"/>
                <w:color w:val="auto"/>
              </w:rPr>
            </w:pPr>
          </w:p>
        </w:tc>
        <w:tc>
          <w:tcPr>
            <w:tcW w:w="1620" w:type="dxa"/>
            <w:vAlign w:val="bottom"/>
          </w:tcPr>
          <w:p>
            <w:pPr>
              <w:jc w:val="right"/>
              <w:ind w:right="572"/>
              <w:spacing w:after="0"/>
              <w:rPr>
                <w:sz w:val="20"/>
                <w:szCs w:val="20"/>
                <w:color w:val="auto"/>
              </w:rPr>
            </w:pPr>
            <w:r>
              <w:rPr>
                <w:rFonts w:ascii="Arial" w:cs="Arial" w:eastAsia="Arial" w:hAnsi="Arial"/>
                <w:sz w:val="22"/>
                <w:szCs w:val="22"/>
                <w:b w:val="1"/>
                <w:bCs w:val="1"/>
                <w:color w:val="auto"/>
              </w:rPr>
              <w:t>2018</w:t>
            </w:r>
          </w:p>
        </w:tc>
        <w:tc>
          <w:tcPr>
            <w:tcW w:w="60" w:type="dxa"/>
            <w:vAlign w:val="bottom"/>
          </w:tcPr>
          <w:p>
            <w:pPr>
              <w:spacing w:after="0"/>
              <w:rPr>
                <w:sz w:val="23"/>
                <w:szCs w:val="23"/>
                <w:color w:val="auto"/>
              </w:rPr>
            </w:pPr>
          </w:p>
        </w:tc>
      </w:tr>
      <w:tr>
        <w:trPr>
          <w:trHeight w:val="280"/>
        </w:trPr>
        <w:tc>
          <w:tcPr>
            <w:tcW w:w="7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jc w:val="right"/>
              <w:ind w:right="580"/>
              <w:spacing w:after="0"/>
              <w:rPr>
                <w:sz w:val="20"/>
                <w:szCs w:val="20"/>
                <w:color w:val="auto"/>
              </w:rPr>
            </w:pPr>
            <w:r>
              <w:rPr>
                <w:rFonts w:ascii="Arial" w:cs="Arial" w:eastAsia="Arial" w:hAnsi="Arial"/>
                <w:sz w:val="22"/>
                <w:szCs w:val="22"/>
                <w:b w:val="1"/>
                <w:bCs w:val="1"/>
                <w:color w:val="auto"/>
              </w:rPr>
              <w:t>(unaudited)</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9"/>
        </w:trPr>
        <w:tc>
          <w:tcPr>
            <w:tcW w:w="730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20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70"/>
        </w:trPr>
        <w:tc>
          <w:tcPr>
            <w:tcW w:w="730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43"/>
        </w:trPr>
        <w:tc>
          <w:tcPr>
            <w:tcW w:w="7300" w:type="dxa"/>
            <w:vAlign w:val="bottom"/>
          </w:tcPr>
          <w:p>
            <w:pPr>
              <w:ind w:left="200"/>
              <w:spacing w:after="0" w:line="243" w:lineRule="exact"/>
              <w:rPr>
                <w:sz w:val="20"/>
                <w:szCs w:val="20"/>
                <w:color w:val="auto"/>
              </w:rPr>
            </w:pPr>
            <w:r>
              <w:rPr>
                <w:rFonts w:ascii="Arial" w:cs="Arial" w:eastAsia="Arial" w:hAnsi="Arial"/>
                <w:sz w:val="22"/>
                <w:szCs w:val="22"/>
                <w:color w:val="auto"/>
              </w:rPr>
              <w:t>Non-controlled, non-affiliated investments (cost—$895,394,733 and</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0"/>
        </w:trPr>
        <w:tc>
          <w:tcPr>
            <w:tcW w:w="7300" w:type="dxa"/>
            <w:vAlign w:val="bottom"/>
          </w:tcPr>
          <w:p>
            <w:pPr>
              <w:ind w:left="200"/>
              <w:spacing w:after="0"/>
              <w:rPr>
                <w:sz w:val="20"/>
                <w:szCs w:val="20"/>
                <w:color w:val="auto"/>
              </w:rPr>
            </w:pPr>
            <w:r>
              <w:rPr>
                <w:rFonts w:ascii="Arial" w:cs="Arial" w:eastAsia="Arial" w:hAnsi="Arial"/>
                <w:sz w:val="22"/>
                <w:szCs w:val="22"/>
                <w:color w:val="auto"/>
              </w:rPr>
              <w:t>$856,893,017, respectively)</w:t>
            </w: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820" w:type="dxa"/>
            <w:vAlign w:val="bottom"/>
            <w:gridSpan w:val="2"/>
          </w:tcPr>
          <w:p>
            <w:pPr>
              <w:jc w:val="right"/>
              <w:ind w:right="200"/>
              <w:spacing w:after="0"/>
              <w:rPr>
                <w:sz w:val="20"/>
                <w:szCs w:val="20"/>
                <w:color w:val="auto"/>
              </w:rPr>
            </w:pPr>
            <w:r>
              <w:rPr>
                <w:rFonts w:ascii="Arial" w:cs="Arial" w:eastAsia="Arial" w:hAnsi="Arial"/>
                <w:sz w:val="22"/>
                <w:szCs w:val="22"/>
                <w:color w:val="auto"/>
              </w:rPr>
              <w:t>884,350,757</w:t>
            </w: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620" w:type="dxa"/>
            <w:vAlign w:val="bottom"/>
          </w:tcPr>
          <w:p>
            <w:pPr>
              <w:jc w:val="right"/>
              <w:spacing w:after="0"/>
              <w:rPr>
                <w:sz w:val="20"/>
                <w:szCs w:val="20"/>
                <w:color w:val="auto"/>
              </w:rPr>
            </w:pPr>
            <w:r>
              <w:rPr>
                <w:rFonts w:ascii="Arial" w:cs="Arial" w:eastAsia="Arial" w:hAnsi="Arial"/>
                <w:sz w:val="22"/>
                <w:szCs w:val="22"/>
                <w:color w:val="auto"/>
              </w:rPr>
              <w:t>854,753,064</w:t>
            </w:r>
          </w:p>
        </w:tc>
        <w:tc>
          <w:tcPr>
            <w:tcW w:w="60" w:type="dxa"/>
            <w:vAlign w:val="bottom"/>
          </w:tcPr>
          <w:p>
            <w:pPr>
              <w:spacing w:after="0"/>
              <w:rPr>
                <w:sz w:val="23"/>
                <w:szCs w:val="23"/>
                <w:color w:val="auto"/>
              </w:rPr>
            </w:pPr>
          </w:p>
        </w:tc>
      </w:tr>
      <w:tr>
        <w:trPr>
          <w:trHeight w:val="270"/>
        </w:trPr>
        <w:tc>
          <w:tcPr>
            <w:tcW w:w="7300" w:type="dxa"/>
            <w:vAlign w:val="bottom"/>
          </w:tcPr>
          <w:p>
            <w:pPr>
              <w:ind w:left="200"/>
              <w:spacing w:after="0"/>
              <w:rPr>
                <w:sz w:val="20"/>
                <w:szCs w:val="20"/>
                <w:color w:val="auto"/>
              </w:rPr>
            </w:pPr>
            <w:r>
              <w:rPr>
                <w:rFonts w:ascii="Arial" w:cs="Arial" w:eastAsia="Arial" w:hAnsi="Arial"/>
                <w:sz w:val="22"/>
                <w:szCs w:val="22"/>
                <w:color w:val="auto"/>
                <w:w w:val="92"/>
              </w:rPr>
              <w:t>Non-controlled, affiliated investments (cost—$17,893,712 and $0 respectively)</w:t>
            </w:r>
          </w:p>
        </w:tc>
        <w:tc>
          <w:tcPr>
            <w:tcW w:w="200" w:type="dxa"/>
            <w:vAlign w:val="bottom"/>
          </w:tcPr>
          <w:p>
            <w:pPr>
              <w:spacing w:after="0"/>
              <w:rPr>
                <w:sz w:val="23"/>
                <w:szCs w:val="23"/>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22"/>
                <w:szCs w:val="22"/>
                <w:color w:val="auto"/>
              </w:rPr>
              <w:t>16,108,205.00</w:t>
            </w:r>
          </w:p>
        </w:tc>
        <w:tc>
          <w:tcPr>
            <w:tcW w:w="1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3"/>
                <w:szCs w:val="23"/>
                <w:color w:val="auto"/>
              </w:rPr>
            </w:pPr>
          </w:p>
        </w:tc>
      </w:tr>
      <w:tr>
        <w:trPr>
          <w:trHeight w:val="243"/>
        </w:trPr>
        <w:tc>
          <w:tcPr>
            <w:tcW w:w="7300" w:type="dxa"/>
            <w:vAlign w:val="bottom"/>
          </w:tcPr>
          <w:p>
            <w:pPr>
              <w:ind w:left="200"/>
              <w:spacing w:after="0" w:line="243" w:lineRule="exact"/>
              <w:rPr>
                <w:sz w:val="20"/>
                <w:szCs w:val="20"/>
                <w:color w:val="auto"/>
              </w:rPr>
            </w:pPr>
            <w:r>
              <w:rPr>
                <w:rFonts w:ascii="Arial" w:cs="Arial" w:eastAsia="Arial" w:hAnsi="Arial"/>
                <w:sz w:val="22"/>
                <w:szCs w:val="22"/>
                <w:color w:val="auto"/>
                <w:w w:val="98"/>
              </w:rPr>
              <w:t>Controlled, affiliated investments (cost—$172,812,500 and $144,375,000,</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4"/>
        </w:trPr>
        <w:tc>
          <w:tcPr>
            <w:tcW w:w="7300" w:type="dxa"/>
            <w:vAlign w:val="bottom"/>
          </w:tcPr>
          <w:p>
            <w:pPr>
              <w:ind w:left="200"/>
              <w:spacing w:after="0"/>
              <w:rPr>
                <w:sz w:val="20"/>
                <w:szCs w:val="20"/>
                <w:color w:val="auto"/>
              </w:rPr>
            </w:pPr>
            <w:r>
              <w:rPr>
                <w:rFonts w:ascii="Arial" w:cs="Arial" w:eastAsia="Arial" w:hAnsi="Arial"/>
                <w:sz w:val="22"/>
                <w:szCs w:val="22"/>
                <w:color w:val="auto"/>
              </w:rPr>
              <w:t>respectively)</w:t>
            </w:r>
          </w:p>
        </w:tc>
        <w:tc>
          <w:tcPr>
            <w:tcW w:w="200" w:type="dxa"/>
            <w:vAlign w:val="bottom"/>
          </w:tcPr>
          <w:p>
            <w:pPr>
              <w:spacing w:after="0"/>
              <w:rPr>
                <w:sz w:val="23"/>
                <w:szCs w:val="23"/>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22"/>
                <w:szCs w:val="22"/>
                <w:color w:val="auto"/>
              </w:rPr>
              <w:t>171,694,804</w:t>
            </w:r>
          </w:p>
        </w:tc>
        <w:tc>
          <w:tcPr>
            <w:tcW w:w="1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145,860,229</w:t>
            </w:r>
          </w:p>
        </w:tc>
        <w:tc>
          <w:tcPr>
            <w:tcW w:w="60" w:type="dxa"/>
            <w:vAlign w:val="bottom"/>
          </w:tcPr>
          <w:p>
            <w:pPr>
              <w:spacing w:after="0"/>
              <w:rPr>
                <w:sz w:val="23"/>
                <w:szCs w:val="23"/>
                <w:color w:val="auto"/>
              </w:rPr>
            </w:pPr>
          </w:p>
        </w:tc>
      </w:tr>
      <w:tr>
        <w:trPr>
          <w:trHeight w:val="259"/>
        </w:trPr>
        <w:tc>
          <w:tcPr>
            <w:tcW w:w="7300" w:type="dxa"/>
            <w:vAlign w:val="bottom"/>
          </w:tcPr>
          <w:p>
            <w:pPr>
              <w:ind w:left="200"/>
              <w:spacing w:after="0"/>
              <w:rPr>
                <w:sz w:val="20"/>
                <w:szCs w:val="20"/>
                <w:color w:val="auto"/>
              </w:rPr>
            </w:pPr>
            <w:r>
              <w:rPr>
                <w:rFonts w:ascii="Arial" w:cs="Arial" w:eastAsia="Arial" w:hAnsi="Arial"/>
                <w:sz w:val="22"/>
                <w:szCs w:val="22"/>
                <w:color w:val="auto"/>
                <w:w w:val="92"/>
              </w:rPr>
              <w:t>Total of investments (cost—$1,086,100,945 and $1,001,268,017, respectively)</w:t>
            </w:r>
          </w:p>
        </w:tc>
        <w:tc>
          <w:tcPr>
            <w:tcW w:w="20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1,072,153,766</w:t>
            </w:r>
          </w:p>
        </w:tc>
        <w:tc>
          <w:tcPr>
            <w:tcW w:w="2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1,000,613,293</w:t>
            </w:r>
          </w:p>
        </w:tc>
        <w:tc>
          <w:tcPr>
            <w:tcW w:w="60" w:type="dxa"/>
            <w:vAlign w:val="bottom"/>
          </w:tcPr>
          <w:p>
            <w:pPr>
              <w:spacing w:after="0"/>
              <w:rPr>
                <w:sz w:val="22"/>
                <w:szCs w:val="22"/>
                <w:color w:val="auto"/>
              </w:rPr>
            </w:pPr>
          </w:p>
        </w:tc>
      </w:tr>
      <w:tr>
        <w:trPr>
          <w:trHeight w:val="270"/>
        </w:trPr>
        <w:tc>
          <w:tcPr>
            <w:tcW w:w="7300" w:type="dxa"/>
            <w:vAlign w:val="bottom"/>
          </w:tcPr>
          <w:p>
            <w:pPr>
              <w:spacing w:after="0"/>
              <w:rPr>
                <w:sz w:val="20"/>
                <w:szCs w:val="20"/>
                <w:color w:val="auto"/>
              </w:rPr>
            </w:pPr>
            <w:r>
              <w:rPr>
                <w:rFonts w:ascii="Arial" w:cs="Arial" w:eastAsia="Arial" w:hAnsi="Arial"/>
                <w:sz w:val="22"/>
                <w:szCs w:val="22"/>
                <w:color w:val="auto"/>
                <w:w w:val="94"/>
              </w:rPr>
              <w:t>Cash and cash equivalents (cost—$25,360,185 and $72,231,801, respectively)</w:t>
            </w:r>
          </w:p>
        </w:tc>
        <w:tc>
          <w:tcPr>
            <w:tcW w:w="200" w:type="dxa"/>
            <w:vAlign w:val="bottom"/>
          </w:tcPr>
          <w:p>
            <w:pPr>
              <w:spacing w:after="0"/>
              <w:rPr>
                <w:sz w:val="23"/>
                <w:szCs w:val="23"/>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22"/>
                <w:szCs w:val="22"/>
                <w:color w:val="auto"/>
              </w:rPr>
              <w:t>25,364,034</w:t>
            </w:r>
          </w:p>
        </w:tc>
        <w:tc>
          <w:tcPr>
            <w:tcW w:w="1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72,224,183</w:t>
            </w:r>
          </w:p>
        </w:tc>
        <w:tc>
          <w:tcPr>
            <w:tcW w:w="60" w:type="dxa"/>
            <w:vAlign w:val="bottom"/>
          </w:tcPr>
          <w:p>
            <w:pPr>
              <w:spacing w:after="0"/>
              <w:rPr>
                <w:sz w:val="23"/>
                <w:szCs w:val="23"/>
                <w:color w:val="auto"/>
              </w:rPr>
            </w:pPr>
          </w:p>
        </w:tc>
      </w:tr>
      <w:tr>
        <w:trPr>
          <w:trHeight w:val="270"/>
        </w:trPr>
        <w:tc>
          <w:tcPr>
            <w:tcW w:w="7300" w:type="dxa"/>
            <w:vAlign w:val="bottom"/>
          </w:tcPr>
          <w:p>
            <w:pPr>
              <w:spacing w:after="0"/>
              <w:rPr>
                <w:sz w:val="20"/>
                <w:szCs w:val="20"/>
                <w:color w:val="auto"/>
              </w:rPr>
            </w:pPr>
            <w:r>
              <w:rPr>
                <w:rFonts w:ascii="Arial" w:cs="Arial" w:eastAsia="Arial" w:hAnsi="Arial"/>
                <w:sz w:val="22"/>
                <w:szCs w:val="22"/>
                <w:color w:val="auto"/>
              </w:rPr>
              <w:t>Interest receivable</w:t>
            </w:r>
          </w:p>
        </w:tc>
        <w:tc>
          <w:tcPr>
            <w:tcW w:w="200" w:type="dxa"/>
            <w:vAlign w:val="bottom"/>
          </w:tcPr>
          <w:p>
            <w:pPr>
              <w:spacing w:after="0"/>
              <w:rPr>
                <w:sz w:val="23"/>
                <w:szCs w:val="23"/>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22"/>
                <w:szCs w:val="22"/>
                <w:color w:val="auto"/>
              </w:rPr>
              <w:t>3,366,168</w:t>
            </w:r>
          </w:p>
        </w:tc>
        <w:tc>
          <w:tcPr>
            <w:tcW w:w="1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2,813,808</w:t>
            </w:r>
          </w:p>
        </w:tc>
        <w:tc>
          <w:tcPr>
            <w:tcW w:w="60" w:type="dxa"/>
            <w:vAlign w:val="bottom"/>
          </w:tcPr>
          <w:p>
            <w:pPr>
              <w:spacing w:after="0"/>
              <w:rPr>
                <w:sz w:val="23"/>
                <w:szCs w:val="23"/>
                <w:color w:val="auto"/>
              </w:rPr>
            </w:pPr>
          </w:p>
        </w:tc>
      </w:tr>
      <w:tr>
        <w:trPr>
          <w:trHeight w:val="270"/>
        </w:trPr>
        <w:tc>
          <w:tcPr>
            <w:tcW w:w="7300" w:type="dxa"/>
            <w:vAlign w:val="bottom"/>
          </w:tcPr>
          <w:p>
            <w:pPr>
              <w:spacing w:after="0"/>
              <w:rPr>
                <w:sz w:val="20"/>
                <w:szCs w:val="20"/>
                <w:color w:val="auto"/>
              </w:rPr>
            </w:pPr>
            <w:r>
              <w:rPr>
                <w:rFonts w:ascii="Arial" w:cs="Arial" w:eastAsia="Arial" w:hAnsi="Arial"/>
                <w:sz w:val="22"/>
                <w:szCs w:val="22"/>
                <w:color w:val="auto"/>
              </w:rPr>
              <w:t>Receivable for investments sold</w:t>
            </w:r>
          </w:p>
        </w:tc>
        <w:tc>
          <w:tcPr>
            <w:tcW w:w="200" w:type="dxa"/>
            <w:vAlign w:val="bottom"/>
          </w:tcPr>
          <w:p>
            <w:pPr>
              <w:spacing w:after="0"/>
              <w:rPr>
                <w:sz w:val="23"/>
                <w:szCs w:val="23"/>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22"/>
                <w:szCs w:val="22"/>
                <w:color w:val="auto"/>
              </w:rPr>
              <w:t>2,977,500</w:t>
            </w:r>
          </w:p>
        </w:tc>
        <w:tc>
          <w:tcPr>
            <w:tcW w:w="180" w:type="dxa"/>
            <w:vAlign w:val="bottom"/>
          </w:tcPr>
          <w:p>
            <w:pPr>
              <w:spacing w:after="0"/>
              <w:rPr>
                <w:sz w:val="23"/>
                <w:szCs w:val="23"/>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22"/>
                <w:szCs w:val="22"/>
                <w:color w:val="auto"/>
              </w:rPr>
              <w:t>—</w:t>
            </w:r>
          </w:p>
        </w:tc>
      </w:tr>
      <w:tr>
        <w:trPr>
          <w:trHeight w:val="274"/>
        </w:trPr>
        <w:tc>
          <w:tcPr>
            <w:tcW w:w="730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200" w:type="dxa"/>
            <w:vAlign w:val="bottom"/>
          </w:tcPr>
          <w:p>
            <w:pPr>
              <w:spacing w:after="0"/>
              <w:rPr>
                <w:sz w:val="23"/>
                <w:szCs w:val="23"/>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22"/>
                <w:szCs w:val="22"/>
                <w:color w:val="auto"/>
              </w:rPr>
              <w:t>77,922</w:t>
            </w:r>
          </w:p>
        </w:tc>
        <w:tc>
          <w:tcPr>
            <w:tcW w:w="1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792,069</w:t>
            </w:r>
          </w:p>
        </w:tc>
        <w:tc>
          <w:tcPr>
            <w:tcW w:w="60" w:type="dxa"/>
            <w:vAlign w:val="bottom"/>
          </w:tcPr>
          <w:p>
            <w:pPr>
              <w:spacing w:after="0"/>
              <w:rPr>
                <w:sz w:val="23"/>
                <w:szCs w:val="23"/>
                <w:color w:val="auto"/>
              </w:rPr>
            </w:pPr>
          </w:p>
        </w:tc>
      </w:tr>
      <w:tr>
        <w:trPr>
          <w:trHeight w:val="267"/>
        </w:trPr>
        <w:tc>
          <w:tcPr>
            <w:tcW w:w="730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200" w:type="dxa"/>
            <w:vAlign w:val="bottom"/>
            <w:tcBorders>
              <w:top w:val="single" w:sz="8" w:color="auto"/>
              <w:bottom w:val="single" w:sz="8" w:color="auto"/>
            </w:tcBorders>
          </w:tcPr>
          <w:p>
            <w:pPr>
              <w:spacing w:after="0"/>
              <w:rPr>
                <w:sz w:val="23"/>
                <w:szCs w:val="23"/>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1,103,939,390</w:t>
            </w:r>
          </w:p>
        </w:tc>
        <w:tc>
          <w:tcPr>
            <w:tcW w:w="200" w:type="dxa"/>
            <w:vAlign w:val="bottom"/>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1,076,443,353</w:t>
            </w:r>
          </w:p>
        </w:tc>
        <w:tc>
          <w:tcPr>
            <w:tcW w:w="60" w:type="dxa"/>
            <w:vAlign w:val="bottom"/>
          </w:tcPr>
          <w:p>
            <w:pPr>
              <w:spacing w:after="0"/>
              <w:rPr>
                <w:sz w:val="23"/>
                <w:szCs w:val="23"/>
                <w:color w:val="auto"/>
              </w:rPr>
            </w:pPr>
          </w:p>
        </w:tc>
      </w:tr>
      <w:tr>
        <w:trPr>
          <w:trHeight w:val="256"/>
        </w:trPr>
        <w:tc>
          <w:tcPr>
            <w:tcW w:w="730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0"/>
        </w:trPr>
        <w:tc>
          <w:tcPr>
            <w:tcW w:w="7300" w:type="dxa"/>
            <w:vAlign w:val="bottom"/>
          </w:tcPr>
          <w:p>
            <w:pPr>
              <w:spacing w:after="0"/>
              <w:rPr>
                <w:sz w:val="20"/>
                <w:szCs w:val="20"/>
                <w:color w:val="auto"/>
              </w:rPr>
            </w:pPr>
            <w:r>
              <w:rPr>
                <w:rFonts w:ascii="Arial" w:cs="Arial" w:eastAsia="Arial" w:hAnsi="Arial"/>
                <w:sz w:val="22"/>
                <w:szCs w:val="22"/>
                <w:color w:val="auto"/>
              </w:rPr>
              <w:t>Distributions payable</w:t>
            </w:r>
          </w:p>
        </w:tc>
        <w:tc>
          <w:tcPr>
            <w:tcW w:w="200" w:type="dxa"/>
            <w:vAlign w:val="bottom"/>
          </w:tcPr>
          <w:p>
            <w:pPr>
              <w:spacing w:after="0"/>
              <w:rPr>
                <w:sz w:val="23"/>
                <w:szCs w:val="23"/>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22"/>
                <w:szCs w:val="22"/>
                <w:color w:val="auto"/>
              </w:rPr>
              <w:t>3,683,347</w:t>
            </w:r>
          </w:p>
        </w:tc>
        <w:tc>
          <w:tcPr>
            <w:tcW w:w="1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3,683,347</w:t>
            </w:r>
          </w:p>
        </w:tc>
        <w:tc>
          <w:tcPr>
            <w:tcW w:w="60" w:type="dxa"/>
            <w:vAlign w:val="bottom"/>
          </w:tcPr>
          <w:p>
            <w:pPr>
              <w:spacing w:after="0"/>
              <w:rPr>
                <w:sz w:val="23"/>
                <w:szCs w:val="23"/>
                <w:color w:val="auto"/>
              </w:rPr>
            </w:pPr>
          </w:p>
        </w:tc>
      </w:tr>
      <w:tr>
        <w:trPr>
          <w:trHeight w:val="270"/>
        </w:trPr>
        <w:tc>
          <w:tcPr>
            <w:tcW w:w="730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200" w:type="dxa"/>
            <w:vAlign w:val="bottom"/>
          </w:tcPr>
          <w:p>
            <w:pPr>
              <w:spacing w:after="0"/>
              <w:rPr>
                <w:sz w:val="23"/>
                <w:szCs w:val="23"/>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22"/>
                <w:szCs w:val="22"/>
                <w:color w:val="auto"/>
              </w:rPr>
              <w:t>36,480,000</w:t>
            </w:r>
          </w:p>
        </w:tc>
        <w:tc>
          <w:tcPr>
            <w:tcW w:w="1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59,587,222</w:t>
            </w:r>
          </w:p>
        </w:tc>
        <w:tc>
          <w:tcPr>
            <w:tcW w:w="60" w:type="dxa"/>
            <w:vAlign w:val="bottom"/>
          </w:tcPr>
          <w:p>
            <w:pPr>
              <w:spacing w:after="0"/>
              <w:rPr>
                <w:sz w:val="23"/>
                <w:szCs w:val="23"/>
                <w:color w:val="auto"/>
              </w:rPr>
            </w:pPr>
          </w:p>
        </w:tc>
      </w:tr>
      <w:tr>
        <w:trPr>
          <w:trHeight w:val="270"/>
        </w:trPr>
        <w:tc>
          <w:tcPr>
            <w:tcW w:w="7300" w:type="dxa"/>
            <w:vAlign w:val="bottom"/>
          </w:tcPr>
          <w:p>
            <w:pPr>
              <w:spacing w:after="0"/>
              <w:rPr>
                <w:sz w:val="20"/>
                <w:szCs w:val="20"/>
                <w:color w:val="auto"/>
              </w:rPr>
            </w:pPr>
            <w:r>
              <w:rPr>
                <w:rFonts w:ascii="Arial" w:cs="Arial" w:eastAsia="Arial" w:hAnsi="Arial"/>
                <w:sz w:val="22"/>
                <w:szCs w:val="22"/>
                <w:color w:val="auto"/>
                <w:w w:val="97"/>
              </w:rPr>
              <w:t>Credit Facility payable (cost—$415,307,500 and $333,727,520, respectively)</w:t>
            </w:r>
          </w:p>
        </w:tc>
        <w:tc>
          <w:tcPr>
            <w:tcW w:w="200" w:type="dxa"/>
            <w:vAlign w:val="bottom"/>
          </w:tcPr>
          <w:p>
            <w:pPr>
              <w:spacing w:after="0"/>
              <w:rPr>
                <w:sz w:val="23"/>
                <w:szCs w:val="23"/>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22"/>
                <w:szCs w:val="22"/>
                <w:color w:val="auto"/>
              </w:rPr>
              <w:t>412,129,078</w:t>
            </w:r>
          </w:p>
        </w:tc>
        <w:tc>
          <w:tcPr>
            <w:tcW w:w="1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332,128,815</w:t>
            </w:r>
          </w:p>
        </w:tc>
        <w:tc>
          <w:tcPr>
            <w:tcW w:w="60" w:type="dxa"/>
            <w:vAlign w:val="bottom"/>
          </w:tcPr>
          <w:p>
            <w:pPr>
              <w:spacing w:after="0"/>
              <w:rPr>
                <w:sz w:val="23"/>
                <w:szCs w:val="23"/>
                <w:color w:val="auto"/>
              </w:rPr>
            </w:pPr>
          </w:p>
        </w:tc>
      </w:tr>
      <w:tr>
        <w:trPr>
          <w:trHeight w:val="270"/>
        </w:trPr>
        <w:tc>
          <w:tcPr>
            <w:tcW w:w="7300" w:type="dxa"/>
            <w:vAlign w:val="bottom"/>
          </w:tcPr>
          <w:p>
            <w:pPr>
              <w:spacing w:after="0"/>
              <w:rPr>
                <w:sz w:val="20"/>
                <w:szCs w:val="20"/>
                <w:color w:val="auto"/>
              </w:rPr>
            </w:pPr>
            <w:r>
              <w:rPr>
                <w:rFonts w:ascii="Arial" w:cs="Arial" w:eastAsia="Arial" w:hAnsi="Arial"/>
                <w:sz w:val="22"/>
                <w:szCs w:val="22"/>
                <w:color w:val="auto"/>
              </w:rPr>
              <w:t>2023 Notes payable (par—$138,579,858)</w:t>
            </w:r>
          </w:p>
        </w:tc>
        <w:tc>
          <w:tcPr>
            <w:tcW w:w="200" w:type="dxa"/>
            <w:vAlign w:val="bottom"/>
          </w:tcPr>
          <w:p>
            <w:pPr>
              <w:spacing w:after="0"/>
              <w:rPr>
                <w:sz w:val="23"/>
                <w:szCs w:val="23"/>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22"/>
                <w:szCs w:val="22"/>
                <w:color w:val="auto"/>
              </w:rPr>
              <w:t>137,526,651</w:t>
            </w:r>
          </w:p>
        </w:tc>
        <w:tc>
          <w:tcPr>
            <w:tcW w:w="1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135,503,385</w:t>
            </w:r>
          </w:p>
        </w:tc>
        <w:tc>
          <w:tcPr>
            <w:tcW w:w="60" w:type="dxa"/>
            <w:vAlign w:val="bottom"/>
          </w:tcPr>
          <w:p>
            <w:pPr>
              <w:spacing w:after="0"/>
              <w:rPr>
                <w:sz w:val="23"/>
                <w:szCs w:val="23"/>
                <w:color w:val="auto"/>
              </w:rPr>
            </w:pPr>
          </w:p>
        </w:tc>
      </w:tr>
      <w:tr>
        <w:trPr>
          <w:trHeight w:val="270"/>
        </w:trPr>
        <w:tc>
          <w:tcPr>
            <w:tcW w:w="730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200" w:type="dxa"/>
            <w:vAlign w:val="bottom"/>
          </w:tcPr>
          <w:p>
            <w:pPr>
              <w:spacing w:after="0"/>
              <w:rPr>
                <w:sz w:val="23"/>
                <w:szCs w:val="23"/>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22"/>
                <w:szCs w:val="22"/>
                <w:color w:val="auto"/>
              </w:rPr>
              <w:t>1,776,766</w:t>
            </w:r>
          </w:p>
        </w:tc>
        <w:tc>
          <w:tcPr>
            <w:tcW w:w="1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2,638,504</w:t>
            </w:r>
          </w:p>
        </w:tc>
        <w:tc>
          <w:tcPr>
            <w:tcW w:w="60" w:type="dxa"/>
            <w:vAlign w:val="bottom"/>
          </w:tcPr>
          <w:p>
            <w:pPr>
              <w:spacing w:after="0"/>
              <w:rPr>
                <w:sz w:val="23"/>
                <w:szCs w:val="23"/>
                <w:color w:val="auto"/>
              </w:rPr>
            </w:pPr>
          </w:p>
        </w:tc>
      </w:tr>
      <w:tr>
        <w:trPr>
          <w:trHeight w:val="270"/>
        </w:trPr>
        <w:tc>
          <w:tcPr>
            <w:tcW w:w="7300" w:type="dxa"/>
            <w:vAlign w:val="bottom"/>
          </w:tcPr>
          <w:p>
            <w:pPr>
              <w:spacing w:after="0"/>
              <w:rPr>
                <w:sz w:val="20"/>
                <w:szCs w:val="20"/>
                <w:color w:val="auto"/>
              </w:rPr>
            </w:pPr>
            <w:r>
              <w:rPr>
                <w:rFonts w:ascii="Arial" w:cs="Arial" w:eastAsia="Arial" w:hAnsi="Arial"/>
                <w:sz w:val="22"/>
                <w:szCs w:val="22"/>
                <w:color w:val="auto"/>
              </w:rPr>
              <w:t>Base management fee payable</w:t>
            </w:r>
          </w:p>
        </w:tc>
        <w:tc>
          <w:tcPr>
            <w:tcW w:w="200" w:type="dxa"/>
            <w:vAlign w:val="bottom"/>
          </w:tcPr>
          <w:p>
            <w:pPr>
              <w:spacing w:after="0"/>
              <w:rPr>
                <w:sz w:val="23"/>
                <w:szCs w:val="23"/>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22"/>
                <w:szCs w:val="22"/>
                <w:color w:val="auto"/>
              </w:rPr>
              <w:t>2,564,074</w:t>
            </w:r>
          </w:p>
        </w:tc>
        <w:tc>
          <w:tcPr>
            <w:tcW w:w="1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2,419,629</w:t>
            </w:r>
          </w:p>
        </w:tc>
        <w:tc>
          <w:tcPr>
            <w:tcW w:w="60" w:type="dxa"/>
            <w:vAlign w:val="bottom"/>
          </w:tcPr>
          <w:p>
            <w:pPr>
              <w:spacing w:after="0"/>
              <w:rPr>
                <w:sz w:val="23"/>
                <w:szCs w:val="23"/>
                <w:color w:val="auto"/>
              </w:rPr>
            </w:pPr>
          </w:p>
        </w:tc>
      </w:tr>
      <w:tr>
        <w:trPr>
          <w:trHeight w:val="270"/>
        </w:trPr>
        <w:tc>
          <w:tcPr>
            <w:tcW w:w="7300" w:type="dxa"/>
            <w:vAlign w:val="bottom"/>
          </w:tcPr>
          <w:p>
            <w:pPr>
              <w:spacing w:after="0"/>
              <w:rPr>
                <w:sz w:val="20"/>
                <w:szCs w:val="20"/>
                <w:color w:val="auto"/>
              </w:rPr>
            </w:pPr>
            <w:r>
              <w:rPr>
                <w:rFonts w:ascii="Arial" w:cs="Arial" w:eastAsia="Arial" w:hAnsi="Arial"/>
                <w:sz w:val="22"/>
                <w:szCs w:val="22"/>
                <w:color w:val="auto"/>
              </w:rPr>
              <w:t>Performance-based incentive fee payable</w:t>
            </w:r>
          </w:p>
        </w:tc>
        <w:tc>
          <w:tcPr>
            <w:tcW w:w="200" w:type="dxa"/>
            <w:vAlign w:val="bottom"/>
          </w:tcPr>
          <w:p>
            <w:pPr>
              <w:spacing w:after="0"/>
              <w:rPr>
                <w:sz w:val="23"/>
                <w:szCs w:val="23"/>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22"/>
                <w:szCs w:val="22"/>
                <w:color w:val="auto"/>
              </w:rPr>
              <w:t>2,350,269</w:t>
            </w:r>
          </w:p>
        </w:tc>
        <w:tc>
          <w:tcPr>
            <w:tcW w:w="1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3,298,404</w:t>
            </w:r>
          </w:p>
        </w:tc>
        <w:tc>
          <w:tcPr>
            <w:tcW w:w="60" w:type="dxa"/>
            <w:vAlign w:val="bottom"/>
          </w:tcPr>
          <w:p>
            <w:pPr>
              <w:spacing w:after="0"/>
              <w:rPr>
                <w:sz w:val="23"/>
                <w:szCs w:val="23"/>
                <w:color w:val="auto"/>
              </w:rPr>
            </w:pPr>
          </w:p>
        </w:tc>
      </w:tr>
      <w:tr>
        <w:trPr>
          <w:trHeight w:val="274"/>
        </w:trPr>
        <w:tc>
          <w:tcPr>
            <w:tcW w:w="7300" w:type="dxa"/>
            <w:vAlign w:val="bottom"/>
          </w:tcPr>
          <w:p>
            <w:pPr>
              <w:spacing w:after="0"/>
              <w:rPr>
                <w:sz w:val="20"/>
                <w:szCs w:val="20"/>
                <w:color w:val="auto"/>
              </w:rPr>
            </w:pPr>
            <w:r>
              <w:rPr>
                <w:rFonts w:ascii="Arial" w:cs="Arial" w:eastAsia="Arial" w:hAnsi="Arial"/>
                <w:sz w:val="22"/>
                <w:szCs w:val="22"/>
                <w:color w:val="auto"/>
              </w:rPr>
              <w:t>Accrued other expenses</w:t>
            </w:r>
          </w:p>
        </w:tc>
        <w:tc>
          <w:tcPr>
            <w:tcW w:w="200" w:type="dxa"/>
            <w:vAlign w:val="bottom"/>
          </w:tcPr>
          <w:p>
            <w:pPr>
              <w:spacing w:after="0"/>
              <w:rPr>
                <w:sz w:val="23"/>
                <w:szCs w:val="23"/>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22"/>
                <w:szCs w:val="22"/>
                <w:color w:val="auto"/>
              </w:rPr>
              <w:t>695,474</w:t>
            </w:r>
          </w:p>
        </w:tc>
        <w:tc>
          <w:tcPr>
            <w:tcW w:w="1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1,342,479</w:t>
            </w:r>
          </w:p>
        </w:tc>
        <w:tc>
          <w:tcPr>
            <w:tcW w:w="60" w:type="dxa"/>
            <w:vAlign w:val="bottom"/>
          </w:tcPr>
          <w:p>
            <w:pPr>
              <w:spacing w:after="0"/>
              <w:rPr>
                <w:sz w:val="23"/>
                <w:szCs w:val="23"/>
                <w:color w:val="auto"/>
              </w:rPr>
            </w:pPr>
          </w:p>
        </w:tc>
      </w:tr>
      <w:tr>
        <w:trPr>
          <w:trHeight w:val="267"/>
        </w:trPr>
        <w:tc>
          <w:tcPr>
            <w:tcW w:w="730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200" w:type="dxa"/>
            <w:vAlign w:val="bottom"/>
            <w:tcBorders>
              <w:top w:val="single" w:sz="8" w:color="auto"/>
              <w:bottom w:val="single" w:sz="8" w:color="auto"/>
            </w:tcBorders>
          </w:tcPr>
          <w:p>
            <w:pPr>
              <w:spacing w:after="0"/>
              <w:rPr>
                <w:sz w:val="23"/>
                <w:szCs w:val="23"/>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597,205,659</w:t>
            </w:r>
          </w:p>
        </w:tc>
        <w:tc>
          <w:tcPr>
            <w:tcW w:w="200" w:type="dxa"/>
            <w:vAlign w:val="bottom"/>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540,601,785</w:t>
            </w:r>
          </w:p>
        </w:tc>
        <w:tc>
          <w:tcPr>
            <w:tcW w:w="60" w:type="dxa"/>
            <w:vAlign w:val="bottom"/>
          </w:tcPr>
          <w:p>
            <w:pPr>
              <w:spacing w:after="0"/>
              <w:rPr>
                <w:sz w:val="23"/>
                <w:szCs w:val="23"/>
                <w:color w:val="auto"/>
              </w:rPr>
            </w:pPr>
          </w:p>
        </w:tc>
      </w:tr>
      <w:tr>
        <w:trPr>
          <w:trHeight w:val="250"/>
        </w:trPr>
        <w:tc>
          <w:tcPr>
            <w:tcW w:w="730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6"/>
        </w:trPr>
        <w:tc>
          <w:tcPr>
            <w:tcW w:w="730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7300" w:type="dxa"/>
            <w:vAlign w:val="bottom"/>
          </w:tcPr>
          <w:p>
            <w:pPr>
              <w:spacing w:after="0" w:line="243" w:lineRule="exact"/>
              <w:rPr>
                <w:sz w:val="20"/>
                <w:szCs w:val="20"/>
                <w:color w:val="auto"/>
              </w:rPr>
            </w:pPr>
            <w:r>
              <w:rPr>
                <w:rFonts w:ascii="Arial" w:cs="Arial" w:eastAsia="Arial" w:hAnsi="Arial"/>
                <w:sz w:val="22"/>
                <w:szCs w:val="22"/>
                <w:color w:val="auto"/>
              </w:rPr>
              <w:t>Common stock, 38,772,074 shares issued and outstanding</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0"/>
        </w:trPr>
        <w:tc>
          <w:tcPr>
            <w:tcW w:w="7300" w:type="dxa"/>
            <w:vAlign w:val="bottom"/>
          </w:tcPr>
          <w:p>
            <w:pPr>
              <w:ind w:left="100"/>
              <w:spacing w:after="0"/>
              <w:rPr>
                <w:sz w:val="20"/>
                <w:szCs w:val="20"/>
                <w:color w:val="auto"/>
              </w:rPr>
            </w:pPr>
            <w:r>
              <w:rPr>
                <w:rFonts w:ascii="Arial" w:cs="Arial" w:eastAsia="Arial" w:hAnsi="Arial"/>
                <w:sz w:val="22"/>
                <w:szCs w:val="22"/>
                <w:color w:val="auto"/>
              </w:rPr>
              <w:t>Par value $0.001 per share and 100,000,000 shares authorized</w:t>
            </w:r>
          </w:p>
        </w:tc>
        <w:tc>
          <w:tcPr>
            <w:tcW w:w="200" w:type="dxa"/>
            <w:vAlign w:val="bottom"/>
          </w:tcPr>
          <w:p>
            <w:pPr>
              <w:spacing w:after="0"/>
              <w:rPr>
                <w:sz w:val="23"/>
                <w:szCs w:val="23"/>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22"/>
                <w:szCs w:val="22"/>
                <w:color w:val="auto"/>
              </w:rPr>
              <w:t>38,722</w:t>
            </w:r>
          </w:p>
        </w:tc>
        <w:tc>
          <w:tcPr>
            <w:tcW w:w="1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38,772</w:t>
            </w:r>
          </w:p>
        </w:tc>
        <w:tc>
          <w:tcPr>
            <w:tcW w:w="60" w:type="dxa"/>
            <w:vAlign w:val="bottom"/>
          </w:tcPr>
          <w:p>
            <w:pPr>
              <w:spacing w:after="0"/>
              <w:rPr>
                <w:sz w:val="23"/>
                <w:szCs w:val="23"/>
                <w:color w:val="auto"/>
              </w:rPr>
            </w:pPr>
          </w:p>
        </w:tc>
      </w:tr>
      <w:tr>
        <w:trPr>
          <w:trHeight w:val="270"/>
        </w:trPr>
        <w:tc>
          <w:tcPr>
            <w:tcW w:w="730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200" w:type="dxa"/>
            <w:vAlign w:val="bottom"/>
          </w:tcPr>
          <w:p>
            <w:pPr>
              <w:spacing w:after="0"/>
              <w:rPr>
                <w:sz w:val="23"/>
                <w:szCs w:val="23"/>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22"/>
                <w:szCs w:val="22"/>
                <w:color w:val="auto"/>
              </w:rPr>
              <w:t>539,462,336</w:t>
            </w:r>
          </w:p>
        </w:tc>
        <w:tc>
          <w:tcPr>
            <w:tcW w:w="1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539,462,336</w:t>
            </w:r>
          </w:p>
        </w:tc>
        <w:tc>
          <w:tcPr>
            <w:tcW w:w="60" w:type="dxa"/>
            <w:vAlign w:val="bottom"/>
          </w:tcPr>
          <w:p>
            <w:pPr>
              <w:spacing w:after="0"/>
              <w:rPr>
                <w:sz w:val="23"/>
                <w:szCs w:val="23"/>
                <w:color w:val="auto"/>
              </w:rPr>
            </w:pPr>
          </w:p>
        </w:tc>
      </w:tr>
      <w:tr>
        <w:trPr>
          <w:trHeight w:val="276"/>
        </w:trPr>
        <w:tc>
          <w:tcPr>
            <w:tcW w:w="7300" w:type="dxa"/>
            <w:vAlign w:val="bottom"/>
          </w:tcPr>
          <w:p>
            <w:pPr>
              <w:spacing w:after="0"/>
              <w:rPr>
                <w:sz w:val="20"/>
                <w:szCs w:val="20"/>
                <w:color w:val="auto"/>
              </w:rPr>
            </w:pPr>
            <w:r>
              <w:rPr>
                <w:rFonts w:ascii="Arial" w:cs="Arial" w:eastAsia="Arial" w:hAnsi="Arial"/>
                <w:sz w:val="22"/>
                <w:szCs w:val="22"/>
                <w:color w:val="auto"/>
              </w:rPr>
              <w:t>Accumulated distributable net loss</w:t>
            </w:r>
          </w:p>
        </w:tc>
        <w:tc>
          <w:tcPr>
            <w:tcW w:w="200" w:type="dxa"/>
            <w:vAlign w:val="bottom"/>
          </w:tcPr>
          <w:p>
            <w:pPr>
              <w:spacing w:after="0"/>
              <w:rPr>
                <w:sz w:val="24"/>
                <w:szCs w:val="24"/>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22"/>
                <w:szCs w:val="22"/>
                <w:color w:val="auto"/>
              </w:rPr>
              <w:t>(32,767,327)</w:t>
            </w:r>
          </w:p>
        </w:tc>
        <w:tc>
          <w:tcPr>
            <w:tcW w:w="18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(3,659,540)</w:t>
            </w:r>
          </w:p>
        </w:tc>
      </w:tr>
      <w:tr>
        <w:trPr>
          <w:trHeight w:val="20"/>
        </w:trPr>
        <w:tc>
          <w:tcPr>
            <w:tcW w:w="7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240"/>
          </w:cols>
          <w:pgMar w:left="320" w:top="118" w:right="339" w:bottom="0" w:gutter="0" w:footer="0" w:header="0"/>
        </w:sectPr>
      </w:pPr>
    </w:p>
    <w:bookmarkStart w:id="7" w:name="page8"/>
    <w:bookmarkEnd w:id="7"/>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730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1680" w:type="dxa"/>
            <w:vAlign w:val="bottom"/>
            <w:gridSpan w:val="2"/>
          </w:tcPr>
          <w:p>
            <w:pPr>
              <w:jc w:val="right"/>
              <w:ind w:right="200"/>
              <w:spacing w:after="0"/>
              <w:rPr>
                <w:sz w:val="20"/>
                <w:szCs w:val="20"/>
                <w:color w:val="auto"/>
              </w:rPr>
            </w:pPr>
            <w:r>
              <w:rPr>
                <w:rFonts w:ascii="Arial" w:cs="Arial" w:eastAsia="Arial" w:hAnsi="Arial"/>
                <w:sz w:val="22"/>
                <w:szCs w:val="22"/>
                <w:color w:val="auto"/>
              </w:rPr>
              <w:t>506,733,731</w:t>
            </w: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1480" w:type="dxa"/>
            <w:vAlign w:val="bottom"/>
            <w:gridSpan w:val="2"/>
          </w:tcPr>
          <w:p>
            <w:pPr>
              <w:jc w:val="right"/>
              <w:ind w:right="20"/>
              <w:spacing w:after="0"/>
              <w:rPr>
                <w:sz w:val="20"/>
                <w:szCs w:val="20"/>
                <w:color w:val="auto"/>
              </w:rPr>
            </w:pPr>
            <w:r>
              <w:rPr>
                <w:rFonts w:ascii="Arial" w:cs="Arial" w:eastAsia="Arial" w:hAnsi="Arial"/>
                <w:sz w:val="22"/>
                <w:szCs w:val="22"/>
                <w:color w:val="auto"/>
              </w:rPr>
              <w:t>535,841,568</w:t>
            </w:r>
          </w:p>
        </w:tc>
      </w:tr>
      <w:tr>
        <w:trPr>
          <w:trHeight w:val="265"/>
        </w:trPr>
        <w:tc>
          <w:tcPr>
            <w:tcW w:w="730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3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1,103,939,390</w:t>
            </w:r>
          </w:p>
        </w:tc>
        <w:tc>
          <w:tcPr>
            <w:tcW w:w="200" w:type="dxa"/>
            <w:vAlign w:val="bottom"/>
          </w:tcPr>
          <w:p>
            <w:pPr>
              <w:spacing w:after="0"/>
              <w:rPr>
                <w:sz w:val="23"/>
                <w:szCs w:val="23"/>
                <w:color w:val="auto"/>
              </w:rPr>
            </w:pPr>
          </w:p>
        </w:tc>
        <w:tc>
          <w:tcPr>
            <w:tcW w:w="3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1,076,443,353</w:t>
            </w:r>
          </w:p>
        </w:tc>
      </w:tr>
      <w:tr>
        <w:trPr>
          <w:trHeight w:val="21"/>
        </w:trPr>
        <w:tc>
          <w:tcPr>
            <w:tcW w:w="7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r>
      <w:tr>
        <w:trPr>
          <w:trHeight w:val="263"/>
        </w:trPr>
        <w:tc>
          <w:tcPr>
            <w:tcW w:w="730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3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13.07</w:t>
            </w:r>
          </w:p>
        </w:tc>
        <w:tc>
          <w:tcPr>
            <w:tcW w:w="2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13.82</w:t>
            </w:r>
          </w:p>
        </w:tc>
        <w:tc>
          <w:tcPr>
            <w:tcW w:w="20" w:type="dxa"/>
            <w:vAlign w:val="bottom"/>
            <w:tcBorders>
              <w:bottom w:val="single" w:sz="8" w:color="auto"/>
            </w:tcBorders>
          </w:tcPr>
          <w:p>
            <w:pPr>
              <w:spacing w:after="0"/>
              <w:rPr>
                <w:sz w:val="22"/>
                <w:szCs w:val="22"/>
                <w:color w:val="auto"/>
              </w:rPr>
            </w:pPr>
          </w:p>
        </w:tc>
      </w:tr>
      <w:tr>
        <w:trPr>
          <w:trHeight w:val="21"/>
        </w:trPr>
        <w:tc>
          <w:tcPr>
            <w:tcW w:w="7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PENNANTPARK FLOATING RATE CAPITAL LTD. AND SUBSIDIARIES CONSOLIDATED STATEMENTS OF OPERATIONS (Unaudited)</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5060" w:type="dxa"/>
            <w:vAlign w:val="bottom"/>
          </w:tcPr>
          <w:p>
            <w:pPr>
              <w:spacing w:after="0"/>
              <w:rPr>
                <w:sz w:val="24"/>
                <w:szCs w:val="24"/>
                <w:color w:val="auto"/>
              </w:rPr>
            </w:pPr>
          </w:p>
        </w:tc>
        <w:tc>
          <w:tcPr>
            <w:tcW w:w="3160" w:type="dxa"/>
            <w:vAlign w:val="bottom"/>
            <w:gridSpan w:val="7"/>
          </w:tcPr>
          <w:p>
            <w:pPr>
              <w:jc w:val="right"/>
              <w:ind w:right="300"/>
              <w:spacing w:after="0"/>
              <w:rPr>
                <w:sz w:val="20"/>
                <w:szCs w:val="20"/>
                <w:color w:val="auto"/>
              </w:rPr>
            </w:pPr>
            <w:r>
              <w:rPr>
                <w:rFonts w:ascii="Arial" w:cs="Arial" w:eastAsia="Arial" w:hAnsi="Arial"/>
                <w:sz w:val="22"/>
                <w:szCs w:val="22"/>
                <w:b w:val="1"/>
                <w:bCs w:val="1"/>
                <w:color w:val="auto"/>
                <w:w w:val="91"/>
              </w:rPr>
              <w:t>Three Months Ended June 30,</w:t>
            </w:r>
          </w:p>
        </w:tc>
        <w:tc>
          <w:tcPr>
            <w:tcW w:w="120" w:type="dxa"/>
            <w:vAlign w:val="bottom"/>
          </w:tcPr>
          <w:p>
            <w:pPr>
              <w:spacing w:after="0"/>
              <w:rPr>
                <w:sz w:val="24"/>
                <w:szCs w:val="24"/>
                <w:color w:val="auto"/>
              </w:rPr>
            </w:pPr>
          </w:p>
        </w:tc>
        <w:tc>
          <w:tcPr>
            <w:tcW w:w="2840" w:type="dxa"/>
            <w:vAlign w:val="bottom"/>
            <w:gridSpan w:val="7"/>
          </w:tcPr>
          <w:p>
            <w:pPr>
              <w:jc w:val="right"/>
              <w:ind w:right="180"/>
              <w:spacing w:after="0"/>
              <w:rPr>
                <w:sz w:val="20"/>
                <w:szCs w:val="20"/>
                <w:color w:val="auto"/>
              </w:rPr>
            </w:pPr>
            <w:r>
              <w:rPr>
                <w:rFonts w:ascii="Arial" w:cs="Arial" w:eastAsia="Arial" w:hAnsi="Arial"/>
                <w:sz w:val="22"/>
                <w:szCs w:val="22"/>
                <w:b w:val="1"/>
                <w:bCs w:val="1"/>
                <w:color w:val="auto"/>
                <w:w w:val="88"/>
              </w:rPr>
              <w:t>Nine Months Ended June 30,</w:t>
            </w:r>
          </w:p>
        </w:tc>
        <w:tc>
          <w:tcPr>
            <w:tcW w:w="0" w:type="dxa"/>
            <w:vAlign w:val="bottom"/>
          </w:tcPr>
          <w:p>
            <w:pPr>
              <w:spacing w:after="0"/>
              <w:rPr>
                <w:sz w:val="1"/>
                <w:szCs w:val="1"/>
                <w:color w:val="auto"/>
              </w:rPr>
            </w:pPr>
          </w:p>
        </w:tc>
      </w:tr>
      <w:tr>
        <w:trPr>
          <w:trHeight w:val="265"/>
        </w:trPr>
        <w:tc>
          <w:tcPr>
            <w:tcW w:w="5060" w:type="dxa"/>
            <w:vAlign w:val="bottom"/>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2019</w:t>
            </w:r>
          </w:p>
        </w:tc>
        <w:tc>
          <w:tcPr>
            <w:tcW w:w="1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2018</w:t>
            </w:r>
          </w:p>
        </w:tc>
        <w:tc>
          <w:tcPr>
            <w:tcW w:w="220" w:type="dxa"/>
            <w:vAlign w:val="bottom"/>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2019</w:t>
            </w:r>
          </w:p>
        </w:tc>
        <w:tc>
          <w:tcPr>
            <w:tcW w:w="2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2018</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060" w:type="dxa"/>
            <w:vAlign w:val="bottom"/>
          </w:tcPr>
          <w:p>
            <w:pPr>
              <w:spacing w:after="0"/>
              <w:rPr>
                <w:sz w:val="20"/>
                <w:szCs w:val="20"/>
                <w:color w:val="auto"/>
              </w:rPr>
            </w:pPr>
            <w:r>
              <w:rPr>
                <w:rFonts w:ascii="Arial" w:cs="Arial" w:eastAsia="Arial" w:hAnsi="Arial"/>
                <w:sz w:val="22"/>
                <w:szCs w:val="22"/>
                <w:b w:val="1"/>
                <w:bCs w:val="1"/>
                <w:color w:val="auto"/>
              </w:rPr>
              <w:t>Investment income:</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60"/>
              <w:spacing w:after="0"/>
              <w:rPr>
                <w:sz w:val="20"/>
                <w:szCs w:val="20"/>
                <w:color w:val="auto"/>
              </w:rPr>
            </w:pPr>
            <w:r>
              <w:rPr>
                <w:rFonts w:ascii="Arial" w:cs="Arial" w:eastAsia="Arial" w:hAnsi="Arial"/>
                <w:sz w:val="22"/>
                <w:szCs w:val="22"/>
                <w:color w:val="auto"/>
              </w:rPr>
              <w:t>Interest</w:t>
            </w: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16,670,408</w:t>
            </w:r>
          </w:p>
        </w:tc>
        <w:tc>
          <w:tcPr>
            <w:tcW w:w="160" w:type="dxa"/>
            <w:vAlign w:val="bottom"/>
          </w:tcPr>
          <w:p>
            <w:pPr>
              <w:spacing w:after="0"/>
              <w:rPr>
                <w:sz w:val="23"/>
                <w:szCs w:val="23"/>
                <w:color w:val="auto"/>
              </w:rPr>
            </w:pPr>
          </w:p>
        </w:tc>
        <w:tc>
          <w:tcPr>
            <w:tcW w:w="320" w:type="dxa"/>
            <w:vAlign w:val="bottom"/>
            <w:gridSpan w:val="2"/>
          </w:tcPr>
          <w:p>
            <w:pPr>
              <w:jc w:val="right"/>
              <w:ind w:right="23"/>
              <w:spacing w:after="0"/>
              <w:rPr>
                <w:sz w:val="20"/>
                <w:szCs w:val="20"/>
                <w:color w:val="auto"/>
              </w:rPr>
            </w:pPr>
            <w:r>
              <w:rPr>
                <w:rFonts w:ascii="Arial" w:cs="Arial" w:eastAsia="Arial" w:hAnsi="Arial"/>
                <w:sz w:val="22"/>
                <w:szCs w:val="22"/>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22"/>
                <w:szCs w:val="22"/>
                <w:color w:val="auto"/>
                <w:w w:val="98"/>
              </w:rPr>
              <w:t>16,718,163</w:t>
            </w: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20" w:type="dxa"/>
            <w:vAlign w:val="bottom"/>
          </w:tcPr>
          <w:p>
            <w:pPr>
              <w:jc w:val="right"/>
              <w:spacing w:after="0"/>
              <w:rPr>
                <w:sz w:val="20"/>
                <w:szCs w:val="20"/>
                <w:color w:val="auto"/>
              </w:rPr>
            </w:pPr>
            <w:r>
              <w:rPr>
                <w:rFonts w:ascii="Arial" w:cs="Arial" w:eastAsia="Arial" w:hAnsi="Arial"/>
                <w:sz w:val="22"/>
                <w:szCs w:val="22"/>
                <w:color w:val="auto"/>
              </w:rPr>
              <w:t>50,888,582</w:t>
            </w:r>
          </w:p>
        </w:tc>
        <w:tc>
          <w:tcPr>
            <w:tcW w:w="220" w:type="dxa"/>
            <w:vAlign w:val="bottom"/>
          </w:tcPr>
          <w:p>
            <w:pPr>
              <w:spacing w:after="0"/>
              <w:rPr>
                <w:sz w:val="23"/>
                <w:szCs w:val="23"/>
                <w:color w:val="auto"/>
              </w:rPr>
            </w:pPr>
          </w:p>
        </w:tc>
        <w:tc>
          <w:tcPr>
            <w:tcW w:w="240" w:type="dxa"/>
            <w:vAlign w:val="bottom"/>
            <w:gridSpan w:val="2"/>
          </w:tcPr>
          <w:p>
            <w:pPr>
              <w:jc w:val="right"/>
              <w:ind w:right="64"/>
              <w:spacing w:after="0"/>
              <w:rPr>
                <w:sz w:val="20"/>
                <w:szCs w:val="20"/>
                <w:color w:val="auto"/>
              </w:rPr>
            </w:pPr>
            <w:r>
              <w:rPr>
                <w:rFonts w:ascii="Arial" w:cs="Arial" w:eastAsia="Arial" w:hAnsi="Arial"/>
                <w:sz w:val="19"/>
                <w:szCs w:val="19"/>
                <w:color w:val="auto"/>
                <w:w w:val="75"/>
              </w:rPr>
              <w:t>$</w:t>
            </w: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w w:val="98"/>
              </w:rPr>
              <w:t>45,225,422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974,760</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22"/>
                <w:szCs w:val="22"/>
                <w:color w:val="auto"/>
              </w:rPr>
              <w:t>559,708</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2,971,768</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rPr>
              <w:t>1,255,766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Arial" w:cs="Arial" w:eastAsia="Arial" w:hAnsi="Arial"/>
                <w:sz w:val="22"/>
                <w:szCs w:val="22"/>
                <w:color w:val="auto"/>
              </w:rPr>
              <w:t>From non-controlled, affiliated investments:</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60"/>
              <w:spacing w:after="0"/>
              <w:rPr>
                <w:sz w:val="20"/>
                <w:szCs w:val="20"/>
                <w:color w:val="auto"/>
              </w:rPr>
            </w:pPr>
            <w:r>
              <w:rPr>
                <w:rFonts w:ascii="Arial" w:cs="Arial" w:eastAsia="Arial" w:hAnsi="Arial"/>
                <w:sz w:val="22"/>
                <w:szCs w:val="22"/>
                <w:color w:val="auto"/>
              </w:rPr>
              <w:t>Interest</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305,217</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1,082,208</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506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109,863</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124,734</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60"/>
              <w:spacing w:after="0"/>
              <w:rPr>
                <w:sz w:val="20"/>
                <w:szCs w:val="20"/>
                <w:color w:val="auto"/>
              </w:rPr>
            </w:pPr>
            <w:r>
              <w:rPr>
                <w:rFonts w:ascii="Arial" w:cs="Arial" w:eastAsia="Arial" w:hAnsi="Arial"/>
                <w:sz w:val="22"/>
                <w:szCs w:val="22"/>
                <w:color w:val="auto"/>
              </w:rPr>
              <w:t>Interest</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3,240,760</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22"/>
                <w:szCs w:val="22"/>
                <w:color w:val="auto"/>
              </w:rPr>
              <w:t>1,551,198</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9,273,287</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rPr>
              <w:t>2,985,061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060" w:type="dxa"/>
            <w:vAlign w:val="bottom"/>
          </w:tcPr>
          <w:p>
            <w:pPr>
              <w:ind w:left="260"/>
              <w:spacing w:after="0"/>
              <w:rPr>
                <w:sz w:val="20"/>
                <w:szCs w:val="20"/>
                <w:color w:val="auto"/>
              </w:rPr>
            </w:pPr>
            <w:r>
              <w:rPr>
                <w:rFonts w:ascii="Arial" w:cs="Arial" w:eastAsia="Arial" w:hAnsi="Arial"/>
                <w:sz w:val="22"/>
                <w:szCs w:val="22"/>
                <w:color w:val="auto"/>
              </w:rPr>
              <w:t>Dividend</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1,575,000</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22"/>
                <w:szCs w:val="22"/>
                <w:color w:val="auto"/>
              </w:rPr>
              <w:t>700,000</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4,725,000</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rPr>
              <w:t>1,400,000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060" w:type="dxa"/>
            <w:vAlign w:val="bottom"/>
          </w:tcPr>
          <w:p>
            <w:pPr>
              <w:ind w:left="260"/>
              <w:spacing w:after="0"/>
              <w:rPr>
                <w:sz w:val="20"/>
                <w:szCs w:val="20"/>
                <w:color w:val="auto"/>
              </w:rPr>
            </w:pPr>
            <w:r>
              <w:rPr>
                <w:rFonts w:ascii="Arial" w:cs="Arial" w:eastAsia="Arial" w:hAnsi="Arial"/>
                <w:sz w:val="22"/>
                <w:szCs w:val="22"/>
                <w:b w:val="1"/>
                <w:bCs w:val="1"/>
                <w:color w:val="auto"/>
              </w:rPr>
              <w:t>Total investment income</w:t>
            </w:r>
          </w:p>
        </w:tc>
        <w:tc>
          <w:tcPr>
            <w:tcW w:w="22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22,876,008</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w w:val="98"/>
              </w:rPr>
              <w:t>19,529,069</w:t>
            </w: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69,065,579</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2"/>
                <w:szCs w:val="22"/>
                <w:color w:val="auto"/>
                <w:w w:val="98"/>
              </w:rPr>
              <w:t>50,866,249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06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2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60"/>
              <w:spacing w:after="0"/>
              <w:rPr>
                <w:sz w:val="20"/>
                <w:szCs w:val="20"/>
                <w:color w:val="auto"/>
              </w:rPr>
            </w:pPr>
            <w:r>
              <w:rPr>
                <w:rFonts w:ascii="Arial" w:cs="Arial" w:eastAsia="Arial" w:hAnsi="Arial"/>
                <w:sz w:val="22"/>
                <w:szCs w:val="22"/>
                <w:color w:val="auto"/>
              </w:rPr>
              <w:t>Base management fee</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2,564,074</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22"/>
                <w:szCs w:val="22"/>
                <w:color w:val="auto"/>
              </w:rPr>
              <w:t>2,180,258</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7,481,546</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rPr>
              <w:t>5,932,024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60"/>
              <w:spacing w:after="0"/>
              <w:rPr>
                <w:sz w:val="20"/>
                <w:szCs w:val="20"/>
                <w:color w:val="auto"/>
              </w:rPr>
            </w:pPr>
            <w:r>
              <w:rPr>
                <w:rFonts w:ascii="Arial" w:cs="Arial" w:eastAsia="Arial" w:hAnsi="Arial"/>
                <w:sz w:val="22"/>
                <w:szCs w:val="22"/>
                <w:color w:val="auto"/>
              </w:rPr>
              <w:t>Performance-based incentive fee</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2,350,270</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22"/>
                <w:szCs w:val="22"/>
                <w:color w:val="auto"/>
              </w:rPr>
              <w:t>329,567</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3,671,908</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rPr>
              <w:t>852,678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60"/>
              <w:spacing w:after="0"/>
              <w:rPr>
                <w:sz w:val="20"/>
                <w:szCs w:val="20"/>
                <w:color w:val="auto"/>
              </w:rPr>
            </w:pPr>
            <w:r>
              <w:rPr>
                <w:rFonts w:ascii="Arial" w:cs="Arial" w:eastAsia="Arial" w:hAnsi="Arial"/>
                <w:sz w:val="22"/>
                <w:szCs w:val="22"/>
                <w:color w:val="auto"/>
              </w:rPr>
              <w:t>Interest and expenses on debt</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5,663,183</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22"/>
                <w:szCs w:val="22"/>
                <w:color w:val="auto"/>
              </w:rPr>
              <w:t>3,862,037</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16,284,841</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rPr>
              <w:t>9,957,719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60"/>
              <w:spacing w:after="0"/>
              <w:rPr>
                <w:sz w:val="20"/>
                <w:szCs w:val="20"/>
                <w:color w:val="auto"/>
              </w:rPr>
            </w:pPr>
            <w:r>
              <w:rPr>
                <w:rFonts w:ascii="Arial" w:cs="Arial" w:eastAsia="Arial" w:hAnsi="Arial"/>
                <w:sz w:val="22"/>
                <w:szCs w:val="22"/>
                <w:color w:val="auto"/>
              </w:rPr>
              <w:t>Administrative services expenses</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350,000</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22"/>
                <w:szCs w:val="22"/>
                <w:color w:val="auto"/>
              </w:rPr>
              <w:t>500,000</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1,200,000</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rPr>
              <w:t>1,500,000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060" w:type="dxa"/>
            <w:vAlign w:val="bottom"/>
          </w:tcPr>
          <w:p>
            <w:pPr>
              <w:ind w:left="260"/>
              <w:spacing w:after="0"/>
              <w:rPr>
                <w:sz w:val="20"/>
                <w:szCs w:val="20"/>
                <w:color w:val="auto"/>
              </w:rPr>
            </w:pPr>
            <w:r>
              <w:rPr>
                <w:rFonts w:ascii="Arial" w:cs="Arial" w:eastAsia="Arial" w:hAnsi="Arial"/>
                <w:sz w:val="22"/>
                <w:szCs w:val="22"/>
                <w:color w:val="auto"/>
              </w:rPr>
              <w:t>Other general and administrative expenses</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616,077</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22"/>
                <w:szCs w:val="22"/>
                <w:color w:val="auto"/>
              </w:rPr>
              <w:t>622,025</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1,848,229</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rPr>
              <w:t>1,859,526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060" w:type="dxa"/>
            <w:vAlign w:val="bottom"/>
          </w:tcPr>
          <w:p>
            <w:pPr>
              <w:ind w:left="260"/>
              <w:spacing w:after="0" w:line="212" w:lineRule="exact"/>
              <w:rPr>
                <w:sz w:val="20"/>
                <w:szCs w:val="20"/>
                <w:color w:val="auto"/>
              </w:rPr>
            </w:pPr>
            <w:r>
              <w:rPr>
                <w:rFonts w:ascii="Arial" w:cs="Arial" w:eastAsia="Arial" w:hAnsi="Arial"/>
                <w:sz w:val="22"/>
                <w:szCs w:val="22"/>
                <w:b w:val="1"/>
                <w:bCs w:val="1"/>
                <w:color w:val="auto"/>
                <w:w w:val="90"/>
              </w:rPr>
              <w:t>Expenses before amendment costs, debt issuance</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060" w:type="dxa"/>
            <w:vAlign w:val="bottom"/>
          </w:tcPr>
          <w:p>
            <w:pPr>
              <w:ind w:left="260"/>
              <w:spacing w:after="0"/>
              <w:rPr>
                <w:sz w:val="20"/>
                <w:szCs w:val="20"/>
                <w:color w:val="auto"/>
              </w:rPr>
            </w:pPr>
            <w:r>
              <w:rPr>
                <w:rFonts w:ascii="Arial" w:cs="Arial" w:eastAsia="Arial" w:hAnsi="Arial"/>
                <w:sz w:val="22"/>
                <w:szCs w:val="22"/>
                <w:b w:val="1"/>
                <w:bCs w:val="1"/>
                <w:color w:val="auto"/>
              </w:rPr>
              <w:t>costs and provision for taxes</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11,543,604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22"/>
                <w:szCs w:val="22"/>
                <w:color w:val="auto"/>
              </w:rPr>
              <w:t>7,493,887</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30,486,524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w w:val="98"/>
              </w:rPr>
              <w:t>20,101,947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60"/>
              <w:spacing w:after="0" w:line="243" w:lineRule="exact"/>
              <w:rPr>
                <w:sz w:val="20"/>
                <w:szCs w:val="20"/>
                <w:color w:val="auto"/>
              </w:rPr>
            </w:pPr>
            <w:r>
              <w:rPr>
                <w:rFonts w:ascii="Arial" w:cs="Arial" w:eastAsia="Arial" w:hAnsi="Arial"/>
                <w:sz w:val="22"/>
                <w:szCs w:val="22"/>
                <w:color w:val="auto"/>
                <w:w w:val="96"/>
              </w:rPr>
              <w:t>Credit Facility amendment costs and debt issuance</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60"/>
              <w:spacing w:after="0"/>
              <w:rPr>
                <w:sz w:val="20"/>
                <w:szCs w:val="20"/>
                <w:color w:val="auto"/>
              </w:rPr>
            </w:pPr>
            <w:r>
              <w:rPr>
                <w:rFonts w:ascii="Arial" w:cs="Arial" w:eastAsia="Arial" w:hAnsi="Arial"/>
                <w:sz w:val="22"/>
                <w:szCs w:val="22"/>
                <w:color w:val="auto"/>
              </w:rPr>
              <w:t>costs</w:t>
            </w:r>
          </w:p>
        </w:tc>
        <w:tc>
          <w:tcPr>
            <w:tcW w:w="22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4,517,292</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w w:val="98"/>
              </w:rPr>
              <w:t>10,869,098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060" w:type="dxa"/>
            <w:vAlign w:val="bottom"/>
          </w:tcPr>
          <w:p>
            <w:pPr>
              <w:ind w:left="260"/>
              <w:spacing w:after="0"/>
              <w:rPr>
                <w:sz w:val="20"/>
                <w:szCs w:val="20"/>
                <w:color w:val="auto"/>
              </w:rPr>
            </w:pPr>
            <w:r>
              <w:rPr>
                <w:rFonts w:ascii="Arial" w:cs="Arial" w:eastAsia="Arial" w:hAnsi="Arial"/>
                <w:sz w:val="22"/>
                <w:szCs w:val="22"/>
                <w:color w:val="auto"/>
              </w:rPr>
              <w:t>Provision for taxes</w:t>
            </w:r>
          </w:p>
        </w:tc>
        <w:tc>
          <w:tcPr>
            <w:tcW w:w="22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22"/>
                <w:szCs w:val="22"/>
                <w:color w:val="auto"/>
              </w:rPr>
              <w:t>200,000</w:t>
            </w: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rPr>
              <w:t>600,000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060" w:type="dxa"/>
            <w:vAlign w:val="bottom"/>
          </w:tcPr>
          <w:p>
            <w:pPr>
              <w:ind w:left="260"/>
              <w:spacing w:after="0"/>
              <w:rPr>
                <w:sz w:val="20"/>
                <w:szCs w:val="20"/>
                <w:color w:val="auto"/>
              </w:rPr>
            </w:pPr>
            <w:r>
              <w:rPr>
                <w:rFonts w:ascii="Arial" w:cs="Arial" w:eastAsia="Arial" w:hAnsi="Arial"/>
                <w:sz w:val="22"/>
                <w:szCs w:val="22"/>
                <w:b w:val="1"/>
                <w:bCs w:val="1"/>
                <w:color w:val="auto"/>
              </w:rPr>
              <w:t>Total expenses</w:t>
            </w:r>
          </w:p>
        </w:tc>
        <w:tc>
          <w:tcPr>
            <w:tcW w:w="22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11,543,604</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7,693,887</w:t>
            </w:r>
          </w:p>
        </w:tc>
        <w:tc>
          <w:tcPr>
            <w:tcW w:w="220" w:type="dxa"/>
            <w:vAlign w:val="bottom"/>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35,003,816</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w w:val="98"/>
              </w:rPr>
              <w:t>31,571,045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60" w:type="dxa"/>
            <w:vAlign w:val="bottom"/>
          </w:tcPr>
          <w:p>
            <w:pPr>
              <w:ind w:left="260"/>
              <w:spacing w:after="0"/>
              <w:rPr>
                <w:sz w:val="20"/>
                <w:szCs w:val="20"/>
                <w:color w:val="auto"/>
              </w:rPr>
            </w:pPr>
            <w:r>
              <w:rPr>
                <w:rFonts w:ascii="Arial" w:cs="Arial" w:eastAsia="Arial" w:hAnsi="Arial"/>
                <w:sz w:val="22"/>
                <w:szCs w:val="22"/>
                <w:b w:val="1"/>
                <w:bCs w:val="1"/>
                <w:color w:val="auto"/>
              </w:rPr>
              <w:t>Net investment income</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11,332,404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8"/>
              </w:rPr>
              <w:t>11,835,182</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34,061,763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w w:val="98"/>
              </w:rPr>
              <w:t>19,295,204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060" w:type="dxa"/>
            <w:vAlign w:val="bottom"/>
          </w:tcPr>
          <w:p>
            <w:pPr>
              <w:spacing w:after="0" w:line="209" w:lineRule="exact"/>
              <w:rPr>
                <w:sz w:val="20"/>
                <w:szCs w:val="20"/>
                <w:color w:val="auto"/>
              </w:rPr>
            </w:pPr>
            <w:r>
              <w:rPr>
                <w:rFonts w:ascii="Arial" w:cs="Arial" w:eastAsia="Arial" w:hAnsi="Arial"/>
                <w:sz w:val="22"/>
                <w:szCs w:val="22"/>
                <w:b w:val="1"/>
                <w:bCs w:val="1"/>
                <w:color w:val="auto"/>
                <w:w w:val="94"/>
              </w:rPr>
              <w:t>Realized and unrealized (loss) gain on investments</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060" w:type="dxa"/>
            <w:vAlign w:val="bottom"/>
          </w:tcPr>
          <w:p>
            <w:pPr>
              <w:spacing w:after="0"/>
              <w:rPr>
                <w:sz w:val="20"/>
                <w:szCs w:val="20"/>
                <w:color w:val="auto"/>
              </w:rPr>
            </w:pPr>
            <w:r>
              <w:rPr>
                <w:rFonts w:ascii="Arial" w:cs="Arial" w:eastAsia="Arial" w:hAnsi="Arial"/>
                <w:sz w:val="22"/>
                <w:szCs w:val="22"/>
                <w:b w:val="1"/>
                <w:bCs w:val="1"/>
                <w:color w:val="auto"/>
              </w:rPr>
              <w:t>and debt:</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Arial" w:cs="Arial" w:eastAsia="Arial" w:hAnsi="Arial"/>
                <w:sz w:val="22"/>
                <w:szCs w:val="22"/>
                <w:color w:val="auto"/>
              </w:rPr>
              <w:t>Net realized loss on investments:</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220" w:type="dxa"/>
            <w:vAlign w:val="bottom"/>
          </w:tcPr>
          <w:p>
            <w:pPr>
              <w:spacing w:after="0"/>
              <w:rPr>
                <w:sz w:val="23"/>
                <w:szCs w:val="2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22"/>
                <w:szCs w:val="22"/>
                <w:color w:val="auto"/>
                <w:w w:val="96"/>
              </w:rPr>
              <w:t>(11,230,236)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2"/>
                <w:szCs w:val="22"/>
                <w:color w:val="auto"/>
              </w:rPr>
              <w:t>(1,790,048)</w:t>
            </w:r>
          </w:p>
        </w:tc>
        <w:tc>
          <w:tcPr>
            <w:tcW w:w="120" w:type="dxa"/>
            <w:vAlign w:val="bottom"/>
          </w:tcPr>
          <w:p>
            <w:pPr>
              <w:spacing w:after="0"/>
              <w:rPr>
                <w:sz w:val="23"/>
                <w:szCs w:val="23"/>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22"/>
                <w:szCs w:val="22"/>
                <w:color w:val="auto"/>
              </w:rPr>
              <w:t>(9,227,422)</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gridSpan w:val="3"/>
          </w:tcPr>
          <w:p>
            <w:pPr>
              <w:jc w:val="right"/>
              <w:spacing w:after="0"/>
              <w:rPr>
                <w:sz w:val="20"/>
                <w:szCs w:val="20"/>
                <w:color w:val="auto"/>
              </w:rPr>
            </w:pPr>
            <w:r>
              <w:rPr>
                <w:rFonts w:ascii="Arial" w:cs="Arial" w:eastAsia="Arial" w:hAnsi="Arial"/>
                <w:sz w:val="22"/>
                <w:szCs w:val="22"/>
                <w:color w:val="auto"/>
              </w:rPr>
              <w:t>(3,113,542)</w:t>
            </w:r>
          </w:p>
        </w:tc>
        <w:tc>
          <w:tcPr>
            <w:tcW w:w="0" w:type="dxa"/>
            <w:vAlign w:val="bottom"/>
          </w:tcPr>
          <w:p>
            <w:pPr>
              <w:spacing w:after="0"/>
              <w:rPr>
                <w:sz w:val="1"/>
                <w:szCs w:val="1"/>
                <w:color w:val="auto"/>
              </w:rPr>
            </w:pPr>
          </w:p>
        </w:tc>
      </w:tr>
      <w:tr>
        <w:trPr>
          <w:trHeight w:val="274"/>
        </w:trPr>
        <w:tc>
          <w:tcPr>
            <w:tcW w:w="5060" w:type="dxa"/>
            <w:vAlign w:val="bottom"/>
          </w:tcPr>
          <w:p>
            <w:pPr>
              <w:ind w:left="260"/>
              <w:spacing w:after="0"/>
              <w:rPr>
                <w:sz w:val="20"/>
                <w:szCs w:val="20"/>
                <w:color w:val="auto"/>
              </w:rPr>
            </w:pPr>
            <w:r>
              <w:rPr>
                <w:rFonts w:ascii="Arial" w:cs="Arial" w:eastAsia="Arial" w:hAnsi="Arial"/>
                <w:sz w:val="22"/>
                <w:szCs w:val="22"/>
                <w:color w:val="auto"/>
                <w:w w:val="94"/>
              </w:rPr>
              <w:t>Non-controlled and controlled, affiliated investments</w:t>
            </w:r>
          </w:p>
        </w:tc>
        <w:tc>
          <w:tcPr>
            <w:tcW w:w="220" w:type="dxa"/>
            <w:vAlign w:val="bottom"/>
          </w:tcPr>
          <w:p>
            <w:pPr>
              <w:spacing w:after="0"/>
              <w:rPr>
                <w:sz w:val="23"/>
                <w:szCs w:val="2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22"/>
                <w:szCs w:val="22"/>
                <w:color w:val="auto"/>
              </w:rPr>
              <w:t>(7,164,304)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22"/>
                <w:szCs w:val="22"/>
                <w:color w:val="auto"/>
              </w:rPr>
              <w:t>(7,164,304)</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7"/>
        </w:trPr>
        <w:tc>
          <w:tcPr>
            <w:tcW w:w="5060" w:type="dxa"/>
            <w:vAlign w:val="bottom"/>
          </w:tcPr>
          <w:p>
            <w:pPr>
              <w:ind w:left="260"/>
              <w:spacing w:after="0"/>
              <w:rPr>
                <w:sz w:val="20"/>
                <w:szCs w:val="20"/>
                <w:color w:val="auto"/>
              </w:rPr>
            </w:pPr>
            <w:r>
              <w:rPr>
                <w:rFonts w:ascii="Arial" w:cs="Arial" w:eastAsia="Arial" w:hAnsi="Arial"/>
                <w:sz w:val="22"/>
                <w:szCs w:val="22"/>
                <w:b w:val="1"/>
                <w:bCs w:val="1"/>
                <w:color w:val="auto"/>
              </w:rPr>
              <w:t>Net realized loss on investments</w:t>
            </w:r>
          </w:p>
        </w:tc>
        <w:tc>
          <w:tcPr>
            <w:tcW w:w="22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w w:val="89"/>
              </w:rPr>
              <w:t>(18,394,540)</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w w:val="95"/>
              </w:rPr>
              <w:t>(1,790,048)</w:t>
            </w: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w w:val="96"/>
              </w:rPr>
              <w:t>(16,391,726)</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2"/>
                <w:szCs w:val="22"/>
                <w:color w:val="auto"/>
                <w:w w:val="95"/>
              </w:rPr>
              <w:t>(3,113,542)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060" w:type="dxa"/>
            <w:vAlign w:val="bottom"/>
          </w:tcPr>
          <w:p>
            <w:pPr>
              <w:spacing w:after="0"/>
              <w:rPr>
                <w:sz w:val="20"/>
                <w:szCs w:val="20"/>
                <w:color w:val="auto"/>
              </w:rPr>
            </w:pPr>
            <w:r>
              <w:rPr>
                <w:rFonts w:ascii="Arial" w:cs="Arial" w:eastAsia="Arial" w:hAnsi="Arial"/>
                <w:sz w:val="22"/>
                <w:szCs w:val="22"/>
                <w:color w:val="auto"/>
                <w:w w:val="92"/>
              </w:rPr>
              <w:t>Net change in unrealized appreciation (depreciation) on:</w:t>
            </w:r>
          </w:p>
        </w:tc>
        <w:tc>
          <w:tcPr>
            <w:tcW w:w="2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8,492,044</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2"/>
                <w:szCs w:val="22"/>
                <w:color w:val="auto"/>
              </w:rPr>
              <w:t>(3,370,875)</w:t>
            </w:r>
          </w:p>
        </w:tc>
        <w:tc>
          <w:tcPr>
            <w:tcW w:w="120" w:type="dxa"/>
            <w:vAlign w:val="bottom"/>
          </w:tcPr>
          <w:p>
            <w:pPr>
              <w:spacing w:after="0"/>
              <w:rPr>
                <w:sz w:val="23"/>
                <w:szCs w:val="23"/>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22"/>
                <w:szCs w:val="22"/>
                <w:color w:val="auto"/>
              </w:rPr>
              <w:t>(9,292,141)</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gridSpan w:val="3"/>
          </w:tcPr>
          <w:p>
            <w:pPr>
              <w:jc w:val="right"/>
              <w:spacing w:after="0"/>
              <w:rPr>
                <w:sz w:val="20"/>
                <w:szCs w:val="20"/>
                <w:color w:val="auto"/>
              </w:rPr>
            </w:pPr>
            <w:r>
              <w:rPr>
                <w:rFonts w:ascii="Arial" w:cs="Arial" w:eastAsia="Arial" w:hAnsi="Arial"/>
                <w:sz w:val="22"/>
                <w:szCs w:val="22"/>
                <w:color w:val="auto"/>
              </w:rPr>
              <w:t>(1,185,879)</w:t>
            </w:r>
          </w:p>
        </w:tc>
        <w:tc>
          <w:tcPr>
            <w:tcW w:w="0" w:type="dxa"/>
            <w:vAlign w:val="bottom"/>
          </w:tcPr>
          <w:p>
            <w:pPr>
              <w:spacing w:after="0"/>
              <w:rPr>
                <w:sz w:val="1"/>
                <w:szCs w:val="1"/>
                <w:color w:val="auto"/>
              </w:rPr>
            </w:pPr>
          </w:p>
        </w:tc>
      </w:tr>
      <w:tr>
        <w:trPr>
          <w:trHeight w:val="270"/>
        </w:trPr>
        <w:tc>
          <w:tcPr>
            <w:tcW w:w="5060" w:type="dxa"/>
            <w:vAlign w:val="bottom"/>
          </w:tcPr>
          <w:p>
            <w:pPr>
              <w:ind w:left="260"/>
              <w:spacing w:after="0"/>
              <w:rPr>
                <w:sz w:val="20"/>
                <w:szCs w:val="20"/>
                <w:color w:val="auto"/>
              </w:rPr>
            </w:pPr>
            <w:r>
              <w:rPr>
                <w:rFonts w:ascii="Arial" w:cs="Arial" w:eastAsia="Arial" w:hAnsi="Arial"/>
                <w:sz w:val="22"/>
                <w:szCs w:val="22"/>
                <w:color w:val="auto"/>
                <w:w w:val="94"/>
              </w:rPr>
              <w:t>Controlled and non-controlled, affiliated investments</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3,444,481</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22"/>
                <w:szCs w:val="22"/>
                <w:color w:val="auto"/>
              </w:rPr>
              <w:t>182,630</w:t>
            </w:r>
          </w:p>
        </w:tc>
        <w:tc>
          <w:tcPr>
            <w:tcW w:w="120" w:type="dxa"/>
            <w:vAlign w:val="bottom"/>
          </w:tcPr>
          <w:p>
            <w:pPr>
              <w:spacing w:after="0"/>
              <w:rPr>
                <w:sz w:val="23"/>
                <w:szCs w:val="23"/>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22"/>
                <w:szCs w:val="22"/>
                <w:color w:val="auto"/>
              </w:rPr>
              <w:t>(3,892,061)</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rPr>
              <w:t>936,330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060" w:type="dxa"/>
            <w:vAlign w:val="bottom"/>
          </w:tcPr>
          <w:p>
            <w:pPr>
              <w:ind w:left="260"/>
              <w:spacing w:after="0"/>
              <w:rPr>
                <w:sz w:val="20"/>
                <w:szCs w:val="20"/>
                <w:color w:val="auto"/>
              </w:rPr>
            </w:pPr>
            <w:r>
              <w:rPr>
                <w:rFonts w:ascii="Arial" w:cs="Arial" w:eastAsia="Arial" w:hAnsi="Arial"/>
                <w:sz w:val="22"/>
                <w:szCs w:val="22"/>
                <w:color w:val="auto"/>
              </w:rPr>
              <w:t>Debt (appreciation) depreciation</w:t>
            </w:r>
          </w:p>
        </w:tc>
        <w:tc>
          <w:tcPr>
            <w:tcW w:w="220" w:type="dxa"/>
            <w:vAlign w:val="bottom"/>
          </w:tcPr>
          <w:p>
            <w:pPr>
              <w:spacing w:after="0"/>
              <w:rPr>
                <w:sz w:val="23"/>
                <w:szCs w:val="2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22"/>
                <w:szCs w:val="22"/>
                <w:color w:val="auto"/>
              </w:rPr>
              <w:t>(355,573)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2"/>
                <w:szCs w:val="22"/>
                <w:color w:val="auto"/>
              </w:rPr>
              <w:t>(1,888,502)</w:t>
            </w:r>
          </w:p>
        </w:tc>
        <w:tc>
          <w:tcPr>
            <w:tcW w:w="120" w:type="dxa"/>
            <w:vAlign w:val="bottom"/>
          </w:tcPr>
          <w:p>
            <w:pPr>
              <w:spacing w:after="0"/>
              <w:rPr>
                <w:sz w:val="23"/>
                <w:szCs w:val="23"/>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22"/>
                <w:szCs w:val="22"/>
                <w:color w:val="auto"/>
              </w:rPr>
              <w:t>(443,549)</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rPr>
              <w:t>6,544,816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060" w:type="dxa"/>
            <w:vAlign w:val="bottom"/>
          </w:tcPr>
          <w:p>
            <w:pPr>
              <w:ind w:left="260"/>
              <w:spacing w:after="0" w:line="212" w:lineRule="exact"/>
              <w:rPr>
                <w:sz w:val="20"/>
                <w:szCs w:val="20"/>
                <w:color w:val="auto"/>
              </w:rPr>
            </w:pPr>
            <w:r>
              <w:rPr>
                <w:rFonts w:ascii="Arial" w:cs="Arial" w:eastAsia="Arial" w:hAnsi="Arial"/>
                <w:sz w:val="22"/>
                <w:szCs w:val="22"/>
                <w:b w:val="1"/>
                <w:bCs w:val="1"/>
                <w:color w:val="auto"/>
              </w:rPr>
              <w:t>Net change in unrealized appreciation</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060" w:type="dxa"/>
            <w:vAlign w:val="bottom"/>
          </w:tcPr>
          <w:p>
            <w:pPr>
              <w:ind w:left="260"/>
              <w:spacing w:after="0"/>
              <w:rPr>
                <w:sz w:val="20"/>
                <w:szCs w:val="20"/>
                <w:color w:val="auto"/>
              </w:rPr>
            </w:pPr>
            <w:r>
              <w:rPr>
                <w:rFonts w:ascii="Arial" w:cs="Arial" w:eastAsia="Arial" w:hAnsi="Arial"/>
                <w:sz w:val="22"/>
                <w:szCs w:val="22"/>
                <w:b w:val="1"/>
                <w:bCs w:val="1"/>
                <w:color w:val="auto"/>
              </w:rPr>
              <w:t>(depreciation) on investments and debt</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11,580,952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2"/>
                <w:szCs w:val="22"/>
                <w:color w:val="auto"/>
              </w:rPr>
              <w:t>(5,076,747)</w:t>
            </w:r>
          </w:p>
        </w:tc>
        <w:tc>
          <w:tcPr>
            <w:tcW w:w="120" w:type="dxa"/>
            <w:vAlign w:val="bottom"/>
          </w:tcPr>
          <w:p>
            <w:pPr>
              <w:spacing w:after="0"/>
              <w:rPr>
                <w:sz w:val="24"/>
                <w:szCs w:val="2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22"/>
                <w:szCs w:val="22"/>
                <w:color w:val="auto"/>
              </w:rPr>
              <w:t>(13,627,751)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rPr>
              <w:t>6,295,267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060" w:type="dxa"/>
            <w:vAlign w:val="bottom"/>
          </w:tcPr>
          <w:p>
            <w:pPr>
              <w:spacing w:after="0" w:line="212" w:lineRule="exact"/>
              <w:rPr>
                <w:sz w:val="20"/>
                <w:szCs w:val="20"/>
                <w:color w:val="auto"/>
              </w:rPr>
            </w:pPr>
            <w:r>
              <w:rPr>
                <w:rFonts w:ascii="Arial" w:cs="Arial" w:eastAsia="Arial" w:hAnsi="Arial"/>
                <w:sz w:val="22"/>
                <w:szCs w:val="22"/>
                <w:b w:val="1"/>
                <w:bCs w:val="1"/>
                <w:color w:val="auto"/>
              </w:rPr>
              <w:t>Net realized and unrealized (loss) gain from</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060" w:type="dxa"/>
            <w:vAlign w:val="bottom"/>
          </w:tcPr>
          <w:p>
            <w:pPr>
              <w:spacing w:after="0"/>
              <w:rPr>
                <w:sz w:val="20"/>
                <w:szCs w:val="20"/>
                <w:color w:val="auto"/>
              </w:rPr>
            </w:pPr>
            <w:r>
              <w:rPr>
                <w:rFonts w:ascii="Arial" w:cs="Arial" w:eastAsia="Arial" w:hAnsi="Arial"/>
                <w:sz w:val="22"/>
                <w:szCs w:val="22"/>
                <w:b w:val="1"/>
                <w:bCs w:val="1"/>
                <w:color w:val="auto"/>
              </w:rPr>
              <w:t>investments and debt</w:t>
            </w:r>
          </w:p>
        </w:tc>
        <w:tc>
          <w:tcPr>
            <w:tcW w:w="220" w:type="dxa"/>
            <w:vAlign w:val="bottom"/>
          </w:tcPr>
          <w:p>
            <w:pPr>
              <w:spacing w:after="0"/>
              <w:rPr>
                <w:sz w:val="24"/>
                <w:szCs w:val="2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22"/>
                <w:szCs w:val="22"/>
                <w:color w:val="auto"/>
              </w:rPr>
              <w:t>(6,813,588)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2"/>
                <w:szCs w:val="22"/>
                <w:color w:val="auto"/>
              </w:rPr>
              <w:t>(6,866,795)</w:t>
            </w:r>
          </w:p>
        </w:tc>
        <w:tc>
          <w:tcPr>
            <w:tcW w:w="120" w:type="dxa"/>
            <w:vAlign w:val="bottom"/>
          </w:tcPr>
          <w:p>
            <w:pPr>
              <w:spacing w:after="0"/>
              <w:rPr>
                <w:sz w:val="24"/>
                <w:szCs w:val="2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22"/>
                <w:szCs w:val="22"/>
                <w:color w:val="auto"/>
              </w:rPr>
              <w:t>(30,019,477)</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2"/>
                <w:szCs w:val="22"/>
                <w:color w:val="auto"/>
              </w:rPr>
              <w:t>3,181,725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060" w:type="dxa"/>
            <w:vAlign w:val="bottom"/>
          </w:tcPr>
          <w:p>
            <w:pPr>
              <w:spacing w:after="0"/>
              <w:rPr>
                <w:sz w:val="20"/>
                <w:szCs w:val="20"/>
                <w:color w:val="auto"/>
              </w:rPr>
            </w:pPr>
            <w:r>
              <w:rPr>
                <w:rFonts w:ascii="Arial" w:cs="Arial" w:eastAsia="Arial" w:hAnsi="Arial"/>
                <w:sz w:val="22"/>
                <w:szCs w:val="22"/>
                <w:b w:val="1"/>
                <w:bCs w:val="1"/>
                <w:color w:val="auto"/>
                <w:w w:val="92"/>
              </w:rPr>
              <w:t>Net increase in net assets resulting from operations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4,518,816</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jc w:val="right"/>
              <w:ind w:right="23"/>
              <w:spacing w:after="0"/>
              <w:rPr>
                <w:sz w:val="20"/>
                <w:szCs w:val="20"/>
                <w:color w:val="auto"/>
              </w:rPr>
            </w:pPr>
            <w:r>
              <w:rPr>
                <w:rFonts w:ascii="Arial" w:cs="Arial" w:eastAsia="Arial" w:hAnsi="Arial"/>
                <w:sz w:val="19"/>
                <w:szCs w:val="19"/>
                <w:color w:val="auto"/>
                <w:w w:val="75"/>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4,968,387</w:t>
            </w:r>
          </w:p>
        </w:tc>
        <w:tc>
          <w:tcPr>
            <w:tcW w:w="220" w:type="dxa"/>
            <w:vAlign w:val="bottom"/>
          </w:tcPr>
          <w:p>
            <w:pPr>
              <w:spacing w:after="0"/>
              <w:rPr>
                <w:sz w:val="23"/>
                <w:szCs w:val="2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4,042,286</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2"/>
                <w:szCs w:val="22"/>
                <w:color w:val="auto"/>
                <w:w w:val="98"/>
              </w:rPr>
              <w:t>22,476,929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5060" w:type="dxa"/>
            <w:vAlign w:val="bottom"/>
            <w:vMerge w:val="restart"/>
          </w:tcPr>
          <w:p>
            <w:pPr>
              <w:spacing w:after="0" w:line="242" w:lineRule="exact"/>
              <w:rPr>
                <w:sz w:val="20"/>
                <w:szCs w:val="20"/>
                <w:color w:val="auto"/>
              </w:rPr>
            </w:pPr>
            <w:r>
              <w:rPr>
                <w:rFonts w:ascii="Arial" w:cs="Arial" w:eastAsia="Arial" w:hAnsi="Arial"/>
                <w:sz w:val="22"/>
                <w:szCs w:val="22"/>
                <w:color w:val="auto"/>
                <w:w w:val="93"/>
              </w:rPr>
              <w:t>Net increase in net assets resulting from operations per</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060" w:type="dxa"/>
            <w:vAlign w:val="bottom"/>
            <w:vMerge w:val="continue"/>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140" w:type="dxa"/>
            <w:vAlign w:val="bottom"/>
            <w:vMerge w:val="restart"/>
          </w:tcPr>
          <w:p>
            <w:pPr>
              <w:jc w:val="right"/>
              <w:spacing w:after="0"/>
              <w:rPr>
                <w:sz w:val="20"/>
                <w:szCs w:val="20"/>
                <w:color w:val="auto"/>
              </w:rPr>
            </w:pPr>
            <w:r>
              <w:rPr>
                <w:rFonts w:ascii="Arial" w:cs="Arial" w:eastAsia="Arial" w:hAnsi="Arial"/>
                <w:sz w:val="22"/>
                <w:szCs w:val="22"/>
                <w:color w:val="auto"/>
              </w:rPr>
              <w:t>0.12</w:t>
            </w:r>
          </w:p>
        </w:tc>
        <w:tc>
          <w:tcPr>
            <w:tcW w:w="160" w:type="dxa"/>
            <w:vAlign w:val="bottom"/>
          </w:tcPr>
          <w:p>
            <w:pPr>
              <w:spacing w:after="0"/>
              <w:rPr>
                <w:sz w:val="17"/>
                <w:szCs w:val="17"/>
                <w:color w:val="auto"/>
              </w:rPr>
            </w:pPr>
          </w:p>
        </w:tc>
        <w:tc>
          <w:tcPr>
            <w:tcW w:w="320" w:type="dxa"/>
            <w:vAlign w:val="bottom"/>
            <w:gridSpan w:val="2"/>
            <w:vMerge w:val="restart"/>
          </w:tcPr>
          <w:p>
            <w:pPr>
              <w:jc w:val="right"/>
              <w:ind w:right="23"/>
              <w:spacing w:after="0"/>
              <w:rPr>
                <w:sz w:val="20"/>
                <w:szCs w:val="20"/>
                <w:color w:val="auto"/>
              </w:rPr>
            </w:pPr>
            <w:r>
              <w:rPr>
                <w:rFonts w:ascii="Arial" w:cs="Arial" w:eastAsia="Arial" w:hAnsi="Arial"/>
                <w:sz w:val="22"/>
                <w:szCs w:val="22"/>
                <w:color w:val="auto"/>
              </w:rPr>
              <w:t>$</w:t>
            </w: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22"/>
                <w:szCs w:val="22"/>
                <w:color w:val="auto"/>
              </w:rPr>
              <w:t>0.13</w:t>
            </w:r>
          </w:p>
        </w:tc>
        <w:tc>
          <w:tcPr>
            <w:tcW w:w="12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220" w:type="dxa"/>
            <w:vAlign w:val="bottom"/>
            <w:vMerge w:val="restart"/>
          </w:tcPr>
          <w:p>
            <w:pPr>
              <w:jc w:val="right"/>
              <w:spacing w:after="0"/>
              <w:rPr>
                <w:sz w:val="20"/>
                <w:szCs w:val="20"/>
                <w:color w:val="auto"/>
              </w:rPr>
            </w:pPr>
            <w:r>
              <w:rPr>
                <w:rFonts w:ascii="Arial" w:cs="Arial" w:eastAsia="Arial" w:hAnsi="Arial"/>
                <w:sz w:val="22"/>
                <w:szCs w:val="22"/>
                <w:color w:val="auto"/>
              </w:rPr>
              <w:t>0.10</w:t>
            </w:r>
          </w:p>
        </w:tc>
        <w:tc>
          <w:tcPr>
            <w:tcW w:w="220" w:type="dxa"/>
            <w:vAlign w:val="bottom"/>
          </w:tcPr>
          <w:p>
            <w:pPr>
              <w:spacing w:after="0"/>
              <w:rPr>
                <w:sz w:val="17"/>
                <w:szCs w:val="17"/>
                <w:color w:val="auto"/>
              </w:rPr>
            </w:pPr>
          </w:p>
        </w:tc>
        <w:tc>
          <w:tcPr>
            <w:tcW w:w="240" w:type="dxa"/>
            <w:vAlign w:val="bottom"/>
            <w:gridSpan w:val="2"/>
            <w:vMerge w:val="restart"/>
          </w:tcPr>
          <w:p>
            <w:pPr>
              <w:jc w:val="right"/>
              <w:ind w:right="64"/>
              <w:spacing w:after="0"/>
              <w:rPr>
                <w:sz w:val="20"/>
                <w:szCs w:val="20"/>
                <w:color w:val="auto"/>
              </w:rPr>
            </w:pPr>
            <w:r>
              <w:rPr>
                <w:rFonts w:ascii="Arial" w:cs="Arial" w:eastAsia="Arial" w:hAnsi="Arial"/>
                <w:sz w:val="19"/>
                <w:szCs w:val="19"/>
                <w:color w:val="auto"/>
                <w:w w:val="75"/>
              </w:rPr>
              <w:t>$</w:t>
            </w: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22"/>
                <w:szCs w:val="22"/>
                <w:color w:val="auto"/>
              </w:rPr>
              <w:t>0.59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060" w:type="dxa"/>
            <w:vAlign w:val="bottom"/>
          </w:tcPr>
          <w:p>
            <w:pPr>
              <w:spacing w:after="0" w:line="251" w:lineRule="exact"/>
              <w:rPr>
                <w:sz w:val="20"/>
                <w:szCs w:val="20"/>
                <w:color w:val="auto"/>
              </w:rPr>
            </w:pPr>
            <w:r>
              <w:rPr>
                <w:rFonts w:ascii="Arial" w:cs="Arial" w:eastAsia="Arial" w:hAnsi="Arial"/>
                <w:sz w:val="22"/>
                <w:szCs w:val="22"/>
                <w:color w:val="auto"/>
              </w:rPr>
              <w:t>common share</w:t>
            </w:r>
          </w:p>
        </w:tc>
        <w:tc>
          <w:tcPr>
            <w:tcW w:w="22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gridSpan w:val="2"/>
            <w:vMerge w:val="continue"/>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tcBorders>
            <w:gridSpan w:val="2"/>
          </w:tcPr>
          <w:p>
            <w:pPr>
              <w:spacing w:after="0" w:line="20" w:lineRule="exact"/>
              <w:rPr>
                <w:sz w:val="1"/>
                <w:szCs w:val="1"/>
                <w:color w:val="auto"/>
              </w:rPr>
            </w:pPr>
          </w:p>
        </w:tc>
        <w:tc>
          <w:tcPr>
            <w:tcW w:w="112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060" w:type="dxa"/>
            <w:vAlign w:val="bottom"/>
          </w:tcPr>
          <w:p>
            <w:pPr>
              <w:spacing w:after="0"/>
              <w:rPr>
                <w:sz w:val="20"/>
                <w:szCs w:val="20"/>
                <w:color w:val="auto"/>
              </w:rPr>
            </w:pPr>
            <w:r>
              <w:rPr>
                <w:rFonts w:ascii="Arial" w:cs="Arial" w:eastAsia="Arial" w:hAnsi="Arial"/>
                <w:sz w:val="22"/>
                <w:szCs w:val="22"/>
                <w:color w:val="auto"/>
              </w:rPr>
              <w:t>Net investment income per common share</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0.29</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w w:val="7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0.31</w:t>
            </w:r>
          </w:p>
        </w:tc>
        <w:tc>
          <w:tcPr>
            <w:tcW w:w="2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0.88</w:t>
            </w:r>
          </w:p>
        </w:tc>
        <w:tc>
          <w:tcPr>
            <w:tcW w:w="2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0.51</w:t>
            </w: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PennantPark Floating Rate Capital Ltd. is a business development company which primarily invests in U.S. middle-market companies in the form of floating rate senior secured loans, including first lien secured debt, second lien secured debt and</w:t>
      </w:r>
    </w:p>
    <w:p>
      <w:pPr>
        <w:sectPr>
          <w:pgSz w:w="11900" w:h="16838" w:orient="portrait"/>
          <w:cols w:equalWidth="0" w:num="1">
            <w:col w:w="11240"/>
          </w:cols>
          <w:pgMar w:left="320" w:top="111" w:right="339" w:bottom="0" w:gutter="0" w:footer="0" w:header="0"/>
        </w:sectPr>
      </w:pPr>
    </w:p>
    <w:bookmarkStart w:id="8" w:name="page9"/>
    <w:bookmarkEnd w:id="8"/>
    <w:p>
      <w:pPr>
        <w:jc w:val="both"/>
        <w:ind w:right="20"/>
        <w:spacing w:after="0" w:line="251" w:lineRule="auto"/>
        <w:rPr>
          <w:sz w:val="20"/>
          <w:szCs w:val="20"/>
          <w:color w:val="auto"/>
        </w:rPr>
      </w:pPr>
      <w:r>
        <w:rPr>
          <w:rFonts w:ascii="Arial" w:cs="Arial" w:eastAsia="Arial" w:hAnsi="Arial"/>
          <w:sz w:val="22"/>
          <w:szCs w:val="22"/>
          <w:color w:val="auto"/>
        </w:rPr>
        <w:t>subordinated debt. From time to time, the Company may also invest in equity investments. PennantPark Floating Rate Capital Ltd. is managed by PennantPark Investment Advisers, LLC.</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ADVISERS, LLC</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today has more than $3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4"/>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2020-05-05T12:05:40Z</dcterms:created>
  <dcterms:modified xsi:type="dcterms:W3CDTF">2020-05-05T12:05:40Z</dcterms:modified>
</cp:coreProperties>
</file>