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223.htm"/>
      <w:bookmarkStart w:id="1" w:name="ksf8k_080223"/>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2, 2023</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August 2, 2023, PennantPark Floating Rate Capital Ltd.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(a)Financial statements:</w:t>
        <w:br/>
      </w:r>
      <w:r>
        <w:rPr>
          <w:sz w:val="20"/>
        </w:rPr>
        <w:t>          None</w:t>
        <w:br/>
      </w:r>
      <w:r>
        <w:rPr>
          <w:rStyle w:val="StrongEmphasis"/>
          <w:sz w:val="20"/>
        </w:rPr>
        <w:t>(b) Pro forma financial information:</w:t>
        <w:br/>
      </w:r>
      <w:r>
        <w:rPr>
          <w:sz w:val="20"/>
        </w:rPr>
        <w:t>          None</w:t>
        <w:br/>
      </w:r>
      <w:r>
        <w:rPr>
          <w:rStyle w:val="StrongEmphasis"/>
          <w:sz w:val="20"/>
        </w:rPr>
        <w:t>(c) Shell company transactions:</w:t>
        <w:br/>
      </w:r>
      <w:r>
        <w:rPr>
          <w:sz w:val="20"/>
        </w:rPr>
        <w:t>          None</w:t>
        <w:br/>
      </w:r>
      <w:r>
        <w:rPr>
          <w:rStyle w:val="StrongEmphasis"/>
          <w:sz w:val="20"/>
        </w:rPr>
        <w:t>(d) Exhibits</w:t>
        <w:br/>
      </w:r>
      <w:r>
        <w:rPr>
          <w:sz w:val="20"/>
        </w:rPr>
        <w:t>          </w:t>
      </w:r>
      <w:hyperlink w:anchor="exh_991.htm">
        <w:r>
          <w:rPr>
            <w:rStyle w:val="InternetLink"/>
            <w:sz w:val="20"/>
          </w:rPr>
          <w:t>99.1</w:t>
        </w:r>
      </w:hyperlink>
      <w:r>
        <w:rPr>
          <w:sz w:val="20"/>
        </w:rPr>
        <w:t>    </w:t>
      </w:r>
      <w:hyperlink w:anchor="exh_991.htm">
        <w:r>
          <w:rPr>
            <w:rStyle w:val="InternetLink"/>
            <w:sz w:val="20"/>
          </w:rPr>
          <w:t>Press Release of PennantPark Floating Rate Capital Ltd. Dated August 2, 2023</w:t>
        </w:r>
      </w:hyperlink>
      <w:r>
        <w:rPr>
          <w:sz w:val="20"/>
        </w:rPr>
        <w:br/>
        <w:t>          104     Cover Page Interactive Data File (embedded within the Inline XBRL document)</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139" w:type="dxa"/>
        <w:jc w:val="left"/>
        <w:tblInd w:w="0" w:type="dxa"/>
        <w:tblLayout w:type="fixed"/>
        <w:tblCellMar>
          <w:top w:w="0" w:type="dxa"/>
          <w:left w:w="0" w:type="dxa"/>
          <w:bottom w:w="0" w:type="dxa"/>
          <w:right w:w="0" w:type="dxa"/>
        </w:tblCellMar>
      </w:tblPr>
      <w:tblGrid>
        <w:gridCol w:w="1745"/>
        <w:gridCol w:w="383"/>
        <w:gridCol w:w="3011"/>
      </w:tblGrid>
      <w:tr>
        <w:trPr/>
        <w:tc>
          <w:tcPr>
            <w:tcW w:w="174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2, 2023</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74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Aug. 02, 2023 (GLOBE NEWSWIRE) -- PennantPark Floating Rate Capital Ltd. (the "Company") (NYSE: PFLT) (TASE: PFLT) declares its monthly distribution for August 2023 of $0.1025 per share, payable on September 1, 2023 to stockholders of record as of August 16,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spacing w:before="0" w:after="283"/>
        <w:jc w:val="left"/>
        <w:rPr/>
      </w:pPr>
      <w:r>
        <w:rPr/>
        <w:t>PennantPark Investment Advisers, LLC is a leading middle market credit platform, managing $6.2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1329</Words>
  <Characters>7611</Characters>
  <CharactersWithSpaces>8951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