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132715</wp:posOffset>
            </wp:positionV>
            <wp:extent cx="2957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9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2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Date of Report: February 04, 2016</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(Date of earliest event reported)</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4620" w:type="dxa"/>
            <w:vAlign w:val="bottom"/>
          </w:tcPr>
          <w:p>
            <w:pPr>
              <w:jc w:val="center"/>
              <w:ind w:right="72"/>
              <w:spacing w:after="0"/>
              <w:rPr>
                <w:sz w:val="20"/>
                <w:szCs w:val="20"/>
                <w:color w:val="auto"/>
              </w:rPr>
            </w:pPr>
            <w:r>
              <w:rPr>
                <w:rFonts w:ascii="Arial" w:cs="Arial" w:eastAsia="Arial" w:hAnsi="Arial"/>
                <w:sz w:val="22"/>
                <w:szCs w:val="22"/>
                <w:b w:val="1"/>
                <w:bCs w:val="1"/>
                <w:color w:val="auto"/>
                <w:w w:val="95"/>
              </w:rPr>
              <w:t>Maryland</w:t>
            </w:r>
          </w:p>
        </w:tc>
        <w:tc>
          <w:tcPr>
            <w:tcW w:w="2540" w:type="dxa"/>
            <w:vAlign w:val="bottom"/>
          </w:tcPr>
          <w:p>
            <w:pPr>
              <w:jc w:val="center"/>
              <w:ind w:right="492"/>
              <w:spacing w:after="0"/>
              <w:rPr>
                <w:sz w:val="20"/>
                <w:szCs w:val="20"/>
                <w:color w:val="auto"/>
              </w:rPr>
            </w:pPr>
            <w:r>
              <w:rPr>
                <w:rFonts w:ascii="Arial" w:cs="Arial" w:eastAsia="Arial" w:hAnsi="Arial"/>
                <w:sz w:val="22"/>
                <w:szCs w:val="22"/>
                <w:b w:val="1"/>
                <w:bCs w:val="1"/>
                <w:color w:val="auto"/>
                <w:w w:val="89"/>
              </w:rPr>
              <w:t>814-00891</w:t>
            </w:r>
          </w:p>
        </w:tc>
        <w:tc>
          <w:tcPr>
            <w:tcW w:w="2800" w:type="dxa"/>
            <w:vAlign w:val="bottom"/>
          </w:tcPr>
          <w:p>
            <w:pPr>
              <w:jc w:val="right"/>
              <w:ind w:right="372"/>
              <w:spacing w:after="0"/>
              <w:rPr>
                <w:sz w:val="20"/>
                <w:szCs w:val="20"/>
                <w:color w:val="auto"/>
              </w:rPr>
            </w:pPr>
            <w:r>
              <w:rPr>
                <w:rFonts w:ascii="Arial" w:cs="Arial" w:eastAsia="Arial" w:hAnsi="Arial"/>
                <w:sz w:val="22"/>
                <w:szCs w:val="22"/>
                <w:b w:val="1"/>
                <w:bCs w:val="1"/>
                <w:color w:val="auto"/>
              </w:rPr>
              <w:t>27-3794690</w:t>
            </w:r>
          </w:p>
        </w:tc>
      </w:tr>
      <w:tr>
        <w:trPr>
          <w:trHeight w:val="243"/>
        </w:trPr>
        <w:tc>
          <w:tcPr>
            <w:tcW w:w="4620" w:type="dxa"/>
            <w:vAlign w:val="bottom"/>
          </w:tcPr>
          <w:p>
            <w:pPr>
              <w:jc w:val="center"/>
              <w:ind w:right="132"/>
              <w:spacing w:after="0" w:line="243" w:lineRule="exact"/>
              <w:rPr>
                <w:sz w:val="20"/>
                <w:szCs w:val="20"/>
                <w:color w:val="auto"/>
              </w:rPr>
            </w:pPr>
            <w:r>
              <w:rPr>
                <w:rFonts w:ascii="Arial" w:cs="Arial" w:eastAsia="Arial" w:hAnsi="Arial"/>
                <w:sz w:val="22"/>
                <w:szCs w:val="22"/>
                <w:color w:val="auto"/>
                <w:w w:val="90"/>
              </w:rPr>
              <w:t>(State or other jurisdiction</w:t>
            </w:r>
          </w:p>
        </w:tc>
        <w:tc>
          <w:tcPr>
            <w:tcW w:w="2540" w:type="dxa"/>
            <w:vAlign w:val="bottom"/>
          </w:tcPr>
          <w:p>
            <w:pPr>
              <w:jc w:val="center"/>
              <w:ind w:right="492"/>
              <w:spacing w:after="0" w:line="243" w:lineRule="exact"/>
              <w:rPr>
                <w:sz w:val="20"/>
                <w:szCs w:val="20"/>
                <w:color w:val="auto"/>
              </w:rPr>
            </w:pPr>
            <w:r>
              <w:rPr>
                <w:rFonts w:ascii="Arial" w:cs="Arial" w:eastAsia="Arial" w:hAnsi="Arial"/>
                <w:sz w:val="22"/>
                <w:szCs w:val="22"/>
                <w:color w:val="auto"/>
                <w:w w:val="90"/>
              </w:rPr>
              <w:t>(Commission File</w:t>
            </w:r>
          </w:p>
        </w:tc>
        <w:tc>
          <w:tcPr>
            <w:tcW w:w="2800" w:type="dxa"/>
            <w:vAlign w:val="bottom"/>
          </w:tcPr>
          <w:p>
            <w:pPr>
              <w:jc w:val="center"/>
              <w:ind w:left="632"/>
              <w:spacing w:after="0" w:line="243" w:lineRule="exact"/>
              <w:rPr>
                <w:sz w:val="20"/>
                <w:szCs w:val="20"/>
                <w:color w:val="auto"/>
              </w:rPr>
            </w:pPr>
            <w:r>
              <w:rPr>
                <w:rFonts w:ascii="Arial" w:cs="Arial" w:eastAsia="Arial" w:hAnsi="Arial"/>
                <w:sz w:val="22"/>
                <w:szCs w:val="22"/>
                <w:color w:val="auto"/>
                <w:w w:val="90"/>
              </w:rPr>
              <w:t>(IRS Employer</w:t>
            </w:r>
          </w:p>
        </w:tc>
      </w:tr>
      <w:tr>
        <w:trPr>
          <w:trHeight w:val="274"/>
        </w:trPr>
        <w:tc>
          <w:tcPr>
            <w:tcW w:w="4620" w:type="dxa"/>
            <w:vAlign w:val="bottom"/>
          </w:tcPr>
          <w:p>
            <w:pPr>
              <w:jc w:val="center"/>
              <w:ind w:right="72"/>
              <w:spacing w:after="0"/>
              <w:rPr>
                <w:sz w:val="20"/>
                <w:szCs w:val="20"/>
                <w:color w:val="auto"/>
              </w:rPr>
            </w:pPr>
            <w:r>
              <w:rPr>
                <w:rFonts w:ascii="Arial" w:cs="Arial" w:eastAsia="Arial" w:hAnsi="Arial"/>
                <w:sz w:val="22"/>
                <w:szCs w:val="22"/>
                <w:color w:val="auto"/>
                <w:w w:val="93"/>
              </w:rPr>
              <w:t>of incorporation)</w:t>
            </w:r>
          </w:p>
        </w:tc>
        <w:tc>
          <w:tcPr>
            <w:tcW w:w="2540" w:type="dxa"/>
            <w:vAlign w:val="bottom"/>
          </w:tcPr>
          <w:p>
            <w:pPr>
              <w:jc w:val="center"/>
              <w:ind w:right="492"/>
              <w:spacing w:after="0"/>
              <w:rPr>
                <w:sz w:val="20"/>
                <w:szCs w:val="20"/>
                <w:color w:val="auto"/>
              </w:rPr>
            </w:pPr>
            <w:r>
              <w:rPr>
                <w:rFonts w:ascii="Arial" w:cs="Arial" w:eastAsia="Arial" w:hAnsi="Arial"/>
                <w:sz w:val="22"/>
                <w:szCs w:val="22"/>
                <w:color w:val="auto"/>
                <w:w w:val="91"/>
              </w:rPr>
              <w:t>Number)</w:t>
            </w: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Identification Number)</w:t>
            </w:r>
          </w:p>
        </w:tc>
      </w:tr>
      <w:tr>
        <w:trPr>
          <w:trHeight w:val="455"/>
        </w:trPr>
        <w:tc>
          <w:tcPr>
            <w:tcW w:w="4620" w:type="dxa"/>
            <w:vAlign w:val="bottom"/>
          </w:tcPr>
          <w:p>
            <w:pPr>
              <w:jc w:val="center"/>
              <w:ind w:right="92"/>
              <w:spacing w:after="0"/>
              <w:rPr>
                <w:sz w:val="20"/>
                <w:szCs w:val="20"/>
                <w:color w:val="auto"/>
              </w:rPr>
            </w:pPr>
            <w:r>
              <w:rPr>
                <w:rFonts w:ascii="Arial" w:cs="Arial" w:eastAsia="Arial" w:hAnsi="Arial"/>
                <w:sz w:val="22"/>
                <w:szCs w:val="22"/>
                <w:b w:val="1"/>
                <w:bCs w:val="1"/>
                <w:color w:val="auto"/>
                <w:w w:val="89"/>
              </w:rPr>
              <w:t>590 Madison Avenue, 15th Floor, New York, NY</w:t>
            </w:r>
          </w:p>
        </w:tc>
        <w:tc>
          <w:tcPr>
            <w:tcW w:w="2540" w:type="dxa"/>
            <w:vAlign w:val="bottom"/>
          </w:tcPr>
          <w:p>
            <w:pPr>
              <w:spacing w:after="0"/>
              <w:rPr>
                <w:sz w:val="24"/>
                <w:szCs w:val="24"/>
                <w:color w:val="auto"/>
              </w:rPr>
            </w:pPr>
          </w:p>
        </w:tc>
        <w:tc>
          <w:tcPr>
            <w:tcW w:w="2800" w:type="dxa"/>
            <w:vAlign w:val="bottom"/>
          </w:tcPr>
          <w:p>
            <w:pPr>
              <w:jc w:val="right"/>
              <w:ind w:right="632"/>
              <w:spacing w:after="0"/>
              <w:rPr>
                <w:sz w:val="20"/>
                <w:szCs w:val="20"/>
                <w:color w:val="auto"/>
              </w:rPr>
            </w:pPr>
            <w:r>
              <w:rPr>
                <w:rFonts w:ascii="Arial" w:cs="Arial" w:eastAsia="Arial" w:hAnsi="Arial"/>
                <w:sz w:val="22"/>
                <w:szCs w:val="22"/>
                <w:b w:val="1"/>
                <w:bCs w:val="1"/>
                <w:color w:val="auto"/>
              </w:rPr>
              <w:t>10022</w:t>
            </w:r>
          </w:p>
        </w:tc>
      </w:tr>
      <w:tr>
        <w:trPr>
          <w:trHeight w:val="274"/>
        </w:trPr>
        <w:tc>
          <w:tcPr>
            <w:tcW w:w="4620" w:type="dxa"/>
            <w:vAlign w:val="bottom"/>
          </w:tcPr>
          <w:p>
            <w:pPr>
              <w:jc w:val="center"/>
              <w:ind w:right="92"/>
              <w:spacing w:after="0"/>
              <w:rPr>
                <w:sz w:val="20"/>
                <w:szCs w:val="20"/>
                <w:color w:val="auto"/>
              </w:rPr>
            </w:pPr>
            <w:r>
              <w:rPr>
                <w:rFonts w:ascii="Arial" w:cs="Arial" w:eastAsia="Arial" w:hAnsi="Arial"/>
                <w:sz w:val="22"/>
                <w:szCs w:val="22"/>
                <w:color w:val="auto"/>
                <w:w w:val="90"/>
              </w:rPr>
              <w:t>(Address of principal executive offices)</w:t>
            </w:r>
          </w:p>
        </w:tc>
        <w:tc>
          <w:tcPr>
            <w:tcW w:w="2540" w:type="dxa"/>
            <w:vAlign w:val="bottom"/>
          </w:tcPr>
          <w:p>
            <w:pPr>
              <w:spacing w:after="0"/>
              <w:rPr>
                <w:sz w:val="23"/>
                <w:szCs w:val="23"/>
                <w:color w:val="auto"/>
              </w:rPr>
            </w:pP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(Zip Code)</w:t>
            </w:r>
          </w:p>
        </w:tc>
      </w:tr>
    </w:tbl>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212-905-1000</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ind w:left="540"/>
        <w:spacing w:after="0" w:line="238" w:lineRule="auto"/>
        <w:rPr>
          <w:sz w:val="20"/>
          <w:szCs w:val="20"/>
          <w:color w:val="auto"/>
        </w:rPr>
      </w:pPr>
      <w:r>
        <w:rPr>
          <w:rFonts w:ascii="Arial" w:cs="Arial" w:eastAsia="Arial" w:hAnsi="Arial"/>
          <w:sz w:val="22"/>
          <w:szCs w:val="22"/>
          <w:color w:val="auto"/>
        </w:rPr>
        <w:t>o Soliciting material pursuant to Rule 14a-12 under the Exchange Act (17 CFR 240.14a-12)</w:t>
      </w:r>
    </w:p>
    <w:p>
      <w:pPr>
        <w:ind w:left="540"/>
        <w:spacing w:after="0"/>
        <w:rPr>
          <w:sz w:val="20"/>
          <w:szCs w:val="20"/>
          <w:color w:val="auto"/>
        </w:rPr>
      </w:pPr>
      <w:r>
        <w:rPr>
          <w:rFonts w:ascii="Arial" w:cs="Arial" w:eastAsia="Arial" w:hAnsi="Arial"/>
          <w:sz w:val="21"/>
          <w:szCs w:val="21"/>
          <w:color w:val="auto"/>
        </w:rPr>
        <w:t>o Pre-commencement communications pursuant to Rule 14d-2(b) under the Exchange Act (17 CFR 240.14d-2(b))</w:t>
      </w:r>
    </w:p>
    <w:p>
      <w:pPr>
        <w:spacing w:after="0" w:line="2" w:lineRule="exact"/>
        <w:rPr>
          <w:sz w:val="24"/>
          <w:szCs w:val="24"/>
          <w:color w:val="auto"/>
        </w:rPr>
      </w:pPr>
    </w:p>
    <w:p>
      <w:pPr>
        <w:ind w:left="54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2.02. Results of Operations and Financial Condition</w:t>
      </w:r>
    </w:p>
    <w:p>
      <w:pPr>
        <w:spacing w:after="0" w:line="239" w:lineRule="exact"/>
        <w:rPr>
          <w:sz w:val="24"/>
          <w:szCs w:val="24"/>
          <w:color w:val="auto"/>
        </w:rPr>
      </w:pPr>
    </w:p>
    <w:p>
      <w:pPr>
        <w:ind w:left="40" w:right="200"/>
        <w:spacing w:after="0"/>
        <w:rPr>
          <w:sz w:val="20"/>
          <w:szCs w:val="20"/>
          <w:color w:val="auto"/>
        </w:rPr>
      </w:pPr>
      <w:r>
        <w:rPr>
          <w:rFonts w:ascii="Arial" w:cs="Arial" w:eastAsia="Arial" w:hAnsi="Arial"/>
          <w:sz w:val="22"/>
          <w:szCs w:val="22"/>
          <w:color w:val="auto"/>
        </w:rPr>
        <w:t>On February 4, 2016, PennantPark Floating Rate Capital Ltd. issued a press release announcing financial results for the first fiscal quarter ended December 31, 2015. A copy of the press release is furnished as Exhibit 99.1 to this report pursuant to Item 2.02 on Form 8-K and Regulation FD.</w:t>
      </w:r>
    </w:p>
    <w:p>
      <w:pPr>
        <w:spacing w:after="0" w:line="213" w:lineRule="exact"/>
        <w:rPr>
          <w:sz w:val="24"/>
          <w:szCs w:val="24"/>
          <w:color w:val="auto"/>
        </w:rPr>
      </w:pPr>
    </w:p>
    <w:p>
      <w:pPr>
        <w:ind w:left="40" w:right="60"/>
        <w:spacing w:after="0" w:line="249" w:lineRule="auto"/>
        <w:rPr>
          <w:sz w:val="20"/>
          <w:szCs w:val="20"/>
          <w:color w:val="auto"/>
        </w:rPr>
      </w:pPr>
      <w:r>
        <w:rPr>
          <w:rFonts w:ascii="Arial" w:cs="Arial" w:eastAsia="Arial" w:hAnsi="Arial"/>
          <w:sz w:val="21"/>
          <w:szCs w:val="21"/>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205" w:lineRule="exact"/>
        <w:rPr>
          <w:sz w:val="24"/>
          <w:szCs w:val="24"/>
          <w:color w:val="auto"/>
        </w:rPr>
      </w:pPr>
    </w:p>
    <w:p>
      <w:pPr>
        <w:ind w:left="40"/>
        <w:spacing w:after="0"/>
        <w:rPr>
          <w:sz w:val="20"/>
          <w:szCs w:val="20"/>
          <w:color w:val="auto"/>
        </w:rPr>
      </w:pPr>
      <w:r>
        <w:rPr>
          <w:rFonts w:ascii="Arial" w:cs="Arial" w:eastAsia="Arial" w:hAnsi="Arial"/>
          <w:sz w:val="22"/>
          <w:szCs w:val="22"/>
          <w:color w:val="auto"/>
        </w:rPr>
        <w:t>Forward-Looking Statements</w:t>
      </w:r>
    </w:p>
    <w:p>
      <w:pPr>
        <w:spacing w:after="0" w:line="233" w:lineRule="exact"/>
        <w:rPr>
          <w:sz w:val="24"/>
          <w:szCs w:val="24"/>
          <w:color w:val="auto"/>
        </w:rPr>
      </w:pPr>
    </w:p>
    <w:p>
      <w:pPr>
        <w:ind w:left="40"/>
        <w:spacing w:after="0" w:line="273" w:lineRule="auto"/>
        <w:rPr>
          <w:sz w:val="20"/>
          <w:szCs w:val="20"/>
          <w:color w:val="auto"/>
        </w:rPr>
      </w:pPr>
      <w:r>
        <w:rPr>
          <w:rFonts w:ascii="Arial" w:cs="Arial" w:eastAsia="Arial" w:hAnsi="Arial"/>
          <w:sz w:val="19"/>
          <w:szCs w:val="19"/>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ectPr>
          <w:pgSz w:w="11900" w:h="16884" w:orient="portrait"/>
          <w:cols w:equalWidth="0" w:num="1">
            <w:col w:w="11200"/>
          </w:cols>
          <w:pgMar w:left="320" w:top="828" w:right="379" w:bottom="0" w:gutter="0" w:footer="0" w:header="0"/>
        </w:sectPr>
      </w:pPr>
    </w:p>
    <w:bookmarkStart w:id="1" w:name="page2"/>
    <w:bookmarkEnd w:id="1"/>
    <w:p>
      <w:pPr>
        <w:spacing w:after="0" w:line="252" w:lineRule="auto"/>
        <w:rPr>
          <w:sz w:val="20"/>
          <w:szCs w:val="20"/>
          <w:color w:val="auto"/>
        </w:rPr>
      </w:pPr>
      <w:r>
        <w:rPr>
          <w:rFonts w:ascii="Arial" w:cs="Arial" w:eastAsia="Arial" w:hAnsi="Arial"/>
          <w:sz w:val="21"/>
          <w:szCs w:val="21"/>
          <w:color w:val="auto"/>
        </w:rPr>
        <w:t>PennantPark Floating Rate Capital Ltd.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its historical experience and present expectations.</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00" w:lineRule="exact"/>
        <w:rPr>
          <w:sz w:val="20"/>
          <w:szCs w:val="20"/>
          <w:color w:val="auto"/>
        </w:rPr>
      </w:pPr>
    </w:p>
    <w:p>
      <w:pPr>
        <w:spacing w:after="0" w:line="249" w:lineRule="exact"/>
        <w:rPr>
          <w:sz w:val="20"/>
          <w:szCs w:val="20"/>
          <w:color w:val="auto"/>
        </w:rPr>
      </w:pPr>
    </w:p>
    <w:p>
      <w:pPr>
        <w:ind w:left="660" w:right="8860" w:hanging="652"/>
        <w:spacing w:after="0" w:line="280" w:lineRule="auto"/>
        <w:tabs>
          <w:tab w:leader="none" w:pos="318"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Financial statements: </w:t>
      </w:r>
      <w:r>
        <w:rPr>
          <w:rFonts w:ascii="Arial" w:cs="Arial" w:eastAsia="Arial" w:hAnsi="Arial"/>
          <w:sz w:val="19"/>
          <w:szCs w:val="19"/>
          <w:color w:val="auto"/>
        </w:rPr>
        <w:t>None</w:t>
      </w:r>
    </w:p>
    <w:p>
      <w:pPr>
        <w:ind w:left="660" w:right="7780" w:hanging="652"/>
        <w:spacing w:after="0" w:line="230" w:lineRule="auto"/>
        <w:tabs>
          <w:tab w:leader="none" w:pos="33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Pro forma financial information: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660" w:right="8240" w:hanging="652"/>
        <w:spacing w:after="0" w:line="230" w:lineRule="auto"/>
        <w:tabs>
          <w:tab w:leader="none" w:pos="306"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Shell company transactions: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320" w:hanging="312"/>
        <w:spacing w:after="0" w:line="230" w:lineRule="auto"/>
        <w:tabs>
          <w:tab w:leader="none" w:pos="32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Exhibits</w:t>
      </w:r>
    </w:p>
    <w:p>
      <w:pPr>
        <w:spacing w:after="0" w:line="1" w:lineRule="exact"/>
        <w:rPr>
          <w:sz w:val="20"/>
          <w:szCs w:val="20"/>
          <w:color w:val="auto"/>
        </w:rPr>
      </w:pPr>
    </w:p>
    <w:p>
      <w:pPr>
        <w:ind w:left="660"/>
        <w:spacing w:after="0"/>
        <w:tabs>
          <w:tab w:leader="none" w:pos="1400" w:val="left"/>
        </w:tabs>
        <w:rPr>
          <w:rFonts w:ascii="Arial" w:cs="Arial" w:eastAsia="Arial" w:hAnsi="Arial"/>
          <w:sz w:val="19"/>
          <w:szCs w:val="19"/>
          <w:u w:val="single" w:color="auto"/>
          <w:color w:val="0000EE"/>
        </w:rPr>
      </w:pPr>
      <w:r>
        <w:rPr>
          <w:rFonts w:ascii="Arial" w:cs="Arial" w:eastAsia="Arial" w:hAnsi="Arial"/>
          <w:sz w:val="22"/>
          <w:szCs w:val="22"/>
          <w:color w:val="auto"/>
        </w:rPr>
        <w:t>99.1</w:t>
      </w:r>
      <w:r>
        <w:rPr>
          <w:sz w:val="20"/>
          <w:szCs w:val="20"/>
          <w:color w:val="auto"/>
        </w:rPr>
        <w:tab/>
      </w:r>
      <w:hyperlink w:anchor="page3">
        <w:r>
          <w:rPr>
            <w:rFonts w:ascii="Arial" w:cs="Arial" w:eastAsia="Arial" w:hAnsi="Arial"/>
            <w:sz w:val="19"/>
            <w:szCs w:val="19"/>
            <w:u w:val="single" w:color="auto"/>
            <w:color w:val="0000EE"/>
          </w:rPr>
          <w:t>Press Release of PennantPark Floating Rate Capital Ltd. dated February 04, 2016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0808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0"/>
          <w:szCs w:val="20"/>
          <w:color w:val="auto"/>
        </w:rPr>
      </w:pPr>
    </w:p>
    <w:p>
      <w:pPr>
        <w:ind w:right="100" w:firstLine="324"/>
        <w:spacing w:after="0" w:line="250" w:lineRule="auto"/>
        <w:rPr>
          <w:sz w:val="20"/>
          <w:szCs w:val="20"/>
          <w:color w:val="auto"/>
        </w:rPr>
      </w:pPr>
      <w:r>
        <w:rPr>
          <w:rFonts w:ascii="Arial" w:cs="Arial" w:eastAsia="Arial" w:hAnsi="Arial"/>
          <w:sz w:val="22"/>
          <w:szCs w:val="22"/>
          <w:color w:val="auto"/>
        </w:rPr>
        <w:t>Pursuant to the requirements of the Exchange Act, the registrant has duly caused this report to be signed on its behalf by the undersigned hereunto duly authorized.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3920" w:type="dxa"/>
            <w:vAlign w:val="bottom"/>
          </w:tcPr>
          <w:p>
            <w:pPr>
              <w:spacing w:after="0"/>
              <w:rPr>
                <w:sz w:val="20"/>
                <w:szCs w:val="20"/>
                <w:color w:val="auto"/>
              </w:rPr>
            </w:pPr>
            <w:r>
              <w:rPr>
                <w:rFonts w:ascii="Arial" w:cs="Arial" w:eastAsia="Arial" w:hAnsi="Arial"/>
                <w:sz w:val="22"/>
                <w:szCs w:val="22"/>
                <w:color w:val="auto"/>
              </w:rPr>
              <w:t>Dated: February 04, 2016</w:t>
            </w:r>
          </w:p>
        </w:tc>
        <w:tc>
          <w:tcPr>
            <w:tcW w:w="6700" w:type="dxa"/>
            <w:vAlign w:val="bottom"/>
            <w:gridSpan w:val="3"/>
          </w:tcPr>
          <w:p>
            <w:pPr>
              <w:ind w:left="1700"/>
              <w:spacing w:after="0"/>
              <w:rPr>
                <w:sz w:val="20"/>
                <w:szCs w:val="20"/>
                <w:color w:val="auto"/>
              </w:rPr>
            </w:pPr>
            <w:r>
              <w:rPr>
                <w:rFonts w:ascii="Arial" w:cs="Arial" w:eastAsia="Arial" w:hAnsi="Arial"/>
                <w:sz w:val="22"/>
                <w:szCs w:val="22"/>
                <w:b w:val="1"/>
                <w:bCs w:val="1"/>
                <w:color w:val="auto"/>
                <w:w w:val="97"/>
              </w:rPr>
              <w:t>PENNANTPARK FLOATING RATE CAPITAL LTD.</w:t>
            </w:r>
          </w:p>
        </w:tc>
      </w:tr>
      <w:tr>
        <w:trPr>
          <w:trHeight w:val="408"/>
        </w:trPr>
        <w:tc>
          <w:tcPr>
            <w:tcW w:w="3920" w:type="dxa"/>
            <w:vAlign w:val="bottom"/>
          </w:tcPr>
          <w:p>
            <w:pPr>
              <w:spacing w:after="0"/>
              <w:rPr>
                <w:sz w:val="24"/>
                <w:szCs w:val="24"/>
                <w:color w:val="auto"/>
              </w:rPr>
            </w:pPr>
          </w:p>
        </w:tc>
        <w:tc>
          <w:tcPr>
            <w:tcW w:w="6700" w:type="dxa"/>
            <w:vAlign w:val="bottom"/>
            <w:gridSpan w:val="3"/>
          </w:tcPr>
          <w:p>
            <w:pPr>
              <w:ind w:left="1700"/>
              <w:spacing w:after="0"/>
              <w:rPr>
                <w:sz w:val="20"/>
                <w:szCs w:val="20"/>
                <w:color w:val="auto"/>
              </w:rPr>
            </w:pPr>
            <w:r>
              <w:rPr>
                <w:rFonts w:ascii="Arial" w:cs="Arial" w:eastAsia="Arial" w:hAnsi="Arial"/>
                <w:sz w:val="22"/>
                <w:szCs w:val="22"/>
                <w:color w:val="auto"/>
              </w:rPr>
              <w:t>By: /s/ Aviv Efrat</w:t>
            </w:r>
          </w:p>
        </w:tc>
      </w:tr>
      <w:tr>
        <w:trPr>
          <w:trHeight w:val="20"/>
        </w:trPr>
        <w:tc>
          <w:tcPr>
            <w:tcW w:w="39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242"/>
        </w:trPr>
        <w:tc>
          <w:tcPr>
            <w:tcW w:w="3920" w:type="dxa"/>
            <w:vAlign w:val="bottom"/>
          </w:tcPr>
          <w:p>
            <w:pPr>
              <w:spacing w:after="0"/>
              <w:rPr>
                <w:sz w:val="21"/>
                <w:szCs w:val="21"/>
                <w:color w:val="auto"/>
              </w:rPr>
            </w:pPr>
          </w:p>
        </w:tc>
        <w:tc>
          <w:tcPr>
            <w:tcW w:w="6700" w:type="dxa"/>
            <w:vAlign w:val="bottom"/>
            <w:gridSpan w:val="3"/>
          </w:tcPr>
          <w:p>
            <w:pPr>
              <w:ind w:left="1940"/>
              <w:spacing w:after="0" w:line="242" w:lineRule="exact"/>
              <w:rPr>
                <w:sz w:val="20"/>
                <w:szCs w:val="20"/>
                <w:color w:val="auto"/>
              </w:rPr>
            </w:pPr>
            <w:r>
              <w:rPr>
                <w:rFonts w:ascii="Arial" w:cs="Arial" w:eastAsia="Arial" w:hAnsi="Arial"/>
                <w:sz w:val="22"/>
                <w:szCs w:val="22"/>
                <w:color w:val="auto"/>
              </w:rPr>
              <w:t>Aviv Efrat</w:t>
            </w:r>
          </w:p>
        </w:tc>
      </w:tr>
      <w:tr>
        <w:trPr>
          <w:trHeight w:val="274"/>
        </w:trPr>
        <w:tc>
          <w:tcPr>
            <w:tcW w:w="3920" w:type="dxa"/>
            <w:vAlign w:val="bottom"/>
          </w:tcPr>
          <w:p>
            <w:pPr>
              <w:spacing w:after="0"/>
              <w:rPr>
                <w:sz w:val="23"/>
                <w:szCs w:val="23"/>
                <w:color w:val="auto"/>
              </w:rPr>
            </w:pPr>
          </w:p>
        </w:tc>
        <w:tc>
          <w:tcPr>
            <w:tcW w:w="6700" w:type="dxa"/>
            <w:vAlign w:val="bottom"/>
            <w:gridSpan w:val="3"/>
          </w:tcPr>
          <w:p>
            <w:pPr>
              <w:ind w:left="1960"/>
              <w:spacing w:after="0"/>
              <w:rPr>
                <w:sz w:val="20"/>
                <w:szCs w:val="20"/>
                <w:color w:val="auto"/>
              </w:rPr>
            </w:pPr>
            <w:r>
              <w:rPr>
                <w:rFonts w:ascii="Arial" w:cs="Arial" w:eastAsia="Arial" w:hAnsi="Arial"/>
                <w:sz w:val="22"/>
                <w:szCs w:val="22"/>
                <w:i w:val="1"/>
                <w:iCs w:val="1"/>
                <w:color w:val="auto"/>
              </w:rPr>
              <w:t>Chief Financial Officer and 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7" w:lineRule="exact"/>
        <w:rPr>
          <w:sz w:val="20"/>
          <w:szCs w:val="20"/>
          <w:color w:val="auto"/>
        </w:rPr>
      </w:pPr>
    </w:p>
    <w:tbl>
      <w:tblPr>
        <w:tblLayout w:type="fixed"/>
        <w:tblInd w:w="2260" w:type="dxa"/>
        <w:tblCellMar>
          <w:top w:w="0" w:type="dxa"/>
          <w:left w:w="0" w:type="dxa"/>
          <w:bottom w:w="0" w:type="dxa"/>
          <w:right w:w="0" w:type="dxa"/>
        </w:tblCellMar>
      </w:tblPr>
      <w:tr>
        <w:trPr>
          <w:trHeight w:val="280"/>
        </w:trPr>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940" w:type="dxa"/>
            <w:vAlign w:val="bottom"/>
            <w:gridSpan w:val="3"/>
          </w:tcPr>
          <w:p>
            <w:pPr>
              <w:ind w:left="82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246"/>
        </w:trPr>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92"/>
              </w:rPr>
              <w:t>Exhibit No.</w:t>
            </w:r>
          </w:p>
        </w:tc>
        <w:tc>
          <w:tcPr>
            <w:tcW w:w="8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87"/>
              </w:rPr>
              <w:t>Description</w:t>
            </w:r>
          </w:p>
        </w:tc>
        <w:tc>
          <w:tcPr>
            <w:tcW w:w="2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1060" w:type="dxa"/>
            <w:vAlign w:val="bottom"/>
            <w:vMerge w:val="restart"/>
          </w:tcPr>
          <w:p>
            <w:pPr>
              <w:jc w:val="right"/>
              <w:ind w:right="232"/>
              <w:spacing w:after="0"/>
              <w:rPr>
                <w:sz w:val="20"/>
                <w:szCs w:val="20"/>
                <w:color w:val="auto"/>
              </w:rPr>
            </w:pPr>
            <w:r>
              <w:rPr>
                <w:rFonts w:ascii="Arial" w:cs="Arial" w:eastAsia="Arial" w:hAnsi="Arial"/>
                <w:sz w:val="22"/>
                <w:szCs w:val="22"/>
                <w:color w:val="auto"/>
              </w:rPr>
              <w:t>99.1</w:t>
            </w:r>
          </w:p>
        </w:tc>
        <w:tc>
          <w:tcPr>
            <w:tcW w:w="820" w:type="dxa"/>
            <w:vAlign w:val="bottom"/>
          </w:tcPr>
          <w:p>
            <w:pPr>
              <w:spacing w:after="0"/>
              <w:rPr>
                <w:sz w:val="24"/>
                <w:szCs w:val="24"/>
                <w:color w:val="auto"/>
              </w:rPr>
            </w:pPr>
          </w:p>
        </w:tc>
        <w:tc>
          <w:tcPr>
            <w:tcW w:w="6940" w:type="dxa"/>
            <w:vAlign w:val="bottom"/>
            <w:gridSpan w:val="3"/>
          </w:tcPr>
          <w:p>
            <w:pPr>
              <w:jc w:val="center"/>
              <w:ind w:left="1432"/>
              <w:spacing w:after="0"/>
              <w:rPr>
                <w:sz w:val="20"/>
                <w:szCs w:val="20"/>
                <w:color w:val="auto"/>
              </w:rPr>
            </w:pPr>
            <w:r>
              <w:rPr>
                <w:rFonts w:ascii="Arial" w:cs="Arial" w:eastAsia="Arial" w:hAnsi="Arial"/>
                <w:sz w:val="22"/>
                <w:szCs w:val="22"/>
                <w:color w:val="auto"/>
                <w:w w:val="87"/>
              </w:rPr>
              <w:t>Press Release of PennantPark Floating Rate Capital Ltd. dated</w:t>
            </w:r>
          </w:p>
        </w:tc>
        <w:tc>
          <w:tcPr>
            <w:tcW w:w="0" w:type="dxa"/>
            <w:vAlign w:val="bottom"/>
          </w:tcPr>
          <w:p>
            <w:pPr>
              <w:spacing w:after="0"/>
              <w:rPr>
                <w:sz w:val="1"/>
                <w:szCs w:val="1"/>
                <w:color w:val="auto"/>
              </w:rPr>
            </w:pPr>
          </w:p>
        </w:tc>
      </w:tr>
      <w:tr>
        <w:trPr>
          <w:trHeight w:val="153"/>
        </w:trPr>
        <w:tc>
          <w:tcPr>
            <w:tcW w:w="106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6940" w:type="dxa"/>
            <w:vAlign w:val="bottom"/>
            <w:gridSpan w:val="3"/>
            <w:vMerge w:val="restart"/>
          </w:tcPr>
          <w:p>
            <w:pPr>
              <w:jc w:val="center"/>
              <w:ind w:left="1452"/>
              <w:spacing w:after="0"/>
              <w:rPr>
                <w:sz w:val="20"/>
                <w:szCs w:val="20"/>
                <w:color w:val="auto"/>
              </w:rPr>
            </w:pPr>
            <w:r>
              <w:rPr>
                <w:rFonts w:ascii="Arial" w:cs="Arial" w:eastAsia="Arial" w:hAnsi="Arial"/>
                <w:sz w:val="22"/>
                <w:szCs w:val="22"/>
                <w:color w:val="auto"/>
                <w:w w:val="87"/>
              </w:rPr>
              <w:t>February 04, 2016</w:t>
            </w:r>
          </w:p>
        </w:tc>
        <w:tc>
          <w:tcPr>
            <w:tcW w:w="0" w:type="dxa"/>
            <w:vAlign w:val="bottom"/>
          </w:tcPr>
          <w:p>
            <w:pPr>
              <w:spacing w:after="0"/>
              <w:rPr>
                <w:sz w:val="1"/>
                <w:szCs w:val="1"/>
                <w:color w:val="auto"/>
              </w:rPr>
            </w:pPr>
          </w:p>
        </w:tc>
      </w:tr>
      <w:tr>
        <w:trPr>
          <w:trHeight w:val="122"/>
        </w:trPr>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9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60" w:top="361" w:right="399" w:bottom="1440" w:gutter="0" w:footer="0" w:header="0"/>
        </w:sectPr>
      </w:pPr>
    </w:p>
    <w:bookmarkStart w:id="2" w:name="page3"/>
    <w:bookmarkEnd w:id="2"/>
    <w:p>
      <w:pPr>
        <w:spacing w:after="0"/>
        <w:rPr>
          <w:sz w:val="20"/>
          <w:szCs w:val="20"/>
          <w:color w:val="auto"/>
        </w:rPr>
      </w:pPr>
      <w:r>
        <w:rPr>
          <w:rFonts w:ascii="Arial" w:cs="Arial" w:eastAsia="Arial" w:hAnsi="Arial"/>
          <w:sz w:val="21"/>
          <w:szCs w:val="21"/>
          <w:b w:val="1"/>
          <w:bCs w:val="1"/>
          <w:color w:val="auto"/>
        </w:rPr>
        <w:t>PennantPark Floating Rate Capital Ltd. Announces Financial Results for the Quarter Ended December 31, 2015</w:t>
      </w:r>
    </w:p>
    <w:p>
      <w:pPr>
        <w:spacing w:after="0" w:line="224" w:lineRule="exact"/>
        <w:rPr>
          <w:sz w:val="20"/>
          <w:szCs w:val="20"/>
          <w:color w:val="auto"/>
        </w:rPr>
      </w:pPr>
    </w:p>
    <w:p>
      <w:pPr>
        <w:ind w:right="100"/>
        <w:spacing w:after="0" w:line="250" w:lineRule="auto"/>
        <w:rPr>
          <w:sz w:val="20"/>
          <w:szCs w:val="20"/>
          <w:color w:val="auto"/>
        </w:rPr>
      </w:pPr>
      <w:r>
        <w:rPr>
          <w:rFonts w:ascii="Arial" w:cs="Arial" w:eastAsia="Arial" w:hAnsi="Arial"/>
          <w:sz w:val="22"/>
          <w:szCs w:val="22"/>
          <w:color w:val="auto"/>
        </w:rPr>
        <w:t>NEW YORK, NY -- (Marketwired - February 04, 2016) - PennantPark Floating Rate Capital Ltd. (NASDAQ: PFLT) announced today financial results for the first fiscal quarter ended December 31, 2015.</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HIGHLIGHTS</w:t>
      </w:r>
    </w:p>
    <w:p>
      <w:pPr>
        <w:spacing w:after="0" w:line="238" w:lineRule="auto"/>
        <w:rPr>
          <w:sz w:val="20"/>
          <w:szCs w:val="20"/>
          <w:color w:val="auto"/>
        </w:rPr>
      </w:pPr>
      <w:r>
        <w:rPr>
          <w:rFonts w:ascii="Courier New" w:cs="Courier New" w:eastAsia="Courier New" w:hAnsi="Courier New"/>
          <w:sz w:val="18"/>
          <w:szCs w:val="18"/>
          <w:color w:val="auto"/>
        </w:rPr>
        <w:t>Quarter ended December 31, 2015</w:t>
      </w:r>
    </w:p>
    <w:p>
      <w:pPr>
        <w:spacing w:after="0" w:line="238" w:lineRule="auto"/>
        <w:rPr>
          <w:sz w:val="20"/>
          <w:szCs w:val="20"/>
          <w:color w:val="auto"/>
        </w:rPr>
      </w:pPr>
      <w:r>
        <w:rPr>
          <w:rFonts w:ascii="Courier New" w:cs="Courier New" w:eastAsia="Courier New" w:hAnsi="Courier New"/>
          <w:sz w:val="18"/>
          <w:szCs w:val="18"/>
          <w:color w:val="auto"/>
        </w:rPr>
        <w:t>($in millions, except per share amounts)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020" w:type="dxa"/>
            <w:vAlign w:val="bottom"/>
          </w:tcPr>
          <w:p>
            <w:pPr>
              <w:spacing w:after="0"/>
              <w:rPr>
                <w:sz w:val="20"/>
                <w:szCs w:val="20"/>
                <w:color w:val="auto"/>
              </w:rPr>
            </w:pPr>
            <w:r>
              <w:rPr>
                <w:rFonts w:ascii="Courier New" w:cs="Courier New" w:eastAsia="Courier New" w:hAnsi="Courier New"/>
                <w:sz w:val="18"/>
                <w:szCs w:val="18"/>
                <w:color w:val="auto"/>
              </w:rPr>
              <w:t>Assets and Liabilities:</w:t>
            </w:r>
          </w:p>
        </w:tc>
        <w:tc>
          <w:tcPr>
            <w:tcW w:w="11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6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Investment portfolio</w:t>
            </w:r>
          </w:p>
        </w:tc>
        <w:tc>
          <w:tcPr>
            <w:tcW w:w="11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460.1</w:t>
            </w:r>
          </w:p>
        </w:tc>
      </w:tr>
      <w:tr>
        <w:trPr>
          <w:trHeight w:val="203"/>
        </w:trPr>
        <w:tc>
          <w:tcPr>
            <w:tcW w:w="6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assets</w:t>
            </w:r>
          </w:p>
        </w:tc>
        <w:tc>
          <w:tcPr>
            <w:tcW w:w="11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367.0</w:t>
            </w:r>
          </w:p>
        </w:tc>
      </w:tr>
      <w:tr>
        <w:trPr>
          <w:trHeight w:val="203"/>
        </w:trPr>
        <w:tc>
          <w:tcPr>
            <w:tcW w:w="6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asset value per share</w:t>
            </w:r>
          </w:p>
        </w:tc>
        <w:tc>
          <w:tcPr>
            <w:tcW w:w="11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13.73</w:t>
            </w:r>
          </w:p>
        </w:tc>
      </w:tr>
      <w:tr>
        <w:trPr>
          <w:trHeight w:val="203"/>
        </w:trPr>
        <w:tc>
          <w:tcPr>
            <w:tcW w:w="6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Credit Facility</w:t>
            </w:r>
          </w:p>
        </w:tc>
        <w:tc>
          <w:tcPr>
            <w:tcW w:w="11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95.7</w:t>
            </w:r>
          </w:p>
        </w:tc>
      </w:tr>
      <w:tr>
        <w:trPr>
          <w:trHeight w:val="405"/>
        </w:trPr>
        <w:tc>
          <w:tcPr>
            <w:tcW w:w="6020" w:type="dxa"/>
            <w:vAlign w:val="bottom"/>
          </w:tcPr>
          <w:p>
            <w:pPr>
              <w:spacing w:after="0"/>
              <w:rPr>
                <w:sz w:val="20"/>
                <w:szCs w:val="20"/>
                <w:color w:val="auto"/>
              </w:rPr>
            </w:pPr>
            <w:r>
              <w:rPr>
                <w:rFonts w:ascii="Courier New" w:cs="Courier New" w:eastAsia="Courier New" w:hAnsi="Courier New"/>
                <w:sz w:val="18"/>
                <w:szCs w:val="18"/>
                <w:color w:val="auto"/>
              </w:rPr>
              <w:t>Yield on debt investments at quarter-end</w:t>
            </w:r>
          </w:p>
        </w:tc>
        <w:tc>
          <w:tcPr>
            <w:tcW w:w="1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8"/>
                <w:szCs w:val="18"/>
                <w:color w:val="auto"/>
              </w:rPr>
              <w:t>8.2%</w:t>
            </w:r>
          </w:p>
        </w:tc>
      </w:tr>
      <w:tr>
        <w:trPr>
          <w:trHeight w:val="405"/>
        </w:trPr>
        <w:tc>
          <w:tcPr>
            <w:tcW w:w="6020" w:type="dxa"/>
            <w:vAlign w:val="bottom"/>
          </w:tcPr>
          <w:p>
            <w:pPr>
              <w:spacing w:after="0"/>
              <w:rPr>
                <w:sz w:val="20"/>
                <w:szCs w:val="20"/>
                <w:color w:val="auto"/>
              </w:rPr>
            </w:pPr>
            <w:r>
              <w:rPr>
                <w:rFonts w:ascii="Courier New" w:cs="Courier New" w:eastAsia="Courier New" w:hAnsi="Courier New"/>
                <w:sz w:val="18"/>
                <w:szCs w:val="18"/>
                <w:color w:val="auto"/>
              </w:rPr>
              <w:t>Operating Results:</w:t>
            </w:r>
          </w:p>
        </w:tc>
        <w:tc>
          <w:tcPr>
            <w:tcW w:w="11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03"/>
        </w:trPr>
        <w:tc>
          <w:tcPr>
            <w:tcW w:w="6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investment income</w:t>
            </w:r>
          </w:p>
        </w:tc>
        <w:tc>
          <w:tcPr>
            <w:tcW w:w="11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5.1</w:t>
            </w:r>
          </w:p>
        </w:tc>
      </w:tr>
      <w:tr>
        <w:trPr>
          <w:trHeight w:val="203"/>
        </w:trPr>
        <w:tc>
          <w:tcPr>
            <w:tcW w:w="6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GAAP net investment income per share</w:t>
            </w:r>
          </w:p>
        </w:tc>
        <w:tc>
          <w:tcPr>
            <w:tcW w:w="11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0.19</w:t>
            </w:r>
          </w:p>
        </w:tc>
      </w:tr>
      <w:tr>
        <w:trPr>
          <w:trHeight w:val="203"/>
        </w:trPr>
        <w:tc>
          <w:tcPr>
            <w:tcW w:w="6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Credit Facility amendment costs per share</w:t>
            </w:r>
          </w:p>
        </w:tc>
        <w:tc>
          <w:tcPr>
            <w:tcW w:w="11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0.03</w:t>
            </w:r>
          </w:p>
        </w:tc>
      </w:tr>
      <w:tr>
        <w:trPr>
          <w:trHeight w:val="203"/>
        </w:trPr>
        <w:tc>
          <w:tcPr>
            <w:tcW w:w="6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Core net investment income per share (1)</w:t>
            </w:r>
          </w:p>
        </w:tc>
        <w:tc>
          <w:tcPr>
            <w:tcW w:w="11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0.22</w:t>
            </w:r>
          </w:p>
        </w:tc>
      </w:tr>
      <w:tr>
        <w:trPr>
          <w:trHeight w:val="203"/>
        </w:trPr>
        <w:tc>
          <w:tcPr>
            <w:tcW w:w="6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Distributions declared per share</w:t>
            </w:r>
          </w:p>
        </w:tc>
        <w:tc>
          <w:tcPr>
            <w:tcW w:w="11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0.285</w:t>
            </w:r>
          </w:p>
        </w:tc>
      </w:tr>
      <w:tr>
        <w:trPr>
          <w:trHeight w:val="405"/>
        </w:trPr>
        <w:tc>
          <w:tcPr>
            <w:tcW w:w="6020" w:type="dxa"/>
            <w:vAlign w:val="bottom"/>
          </w:tcPr>
          <w:p>
            <w:pPr>
              <w:spacing w:after="0"/>
              <w:rPr>
                <w:sz w:val="20"/>
                <w:szCs w:val="20"/>
                <w:color w:val="auto"/>
              </w:rPr>
            </w:pPr>
            <w:r>
              <w:rPr>
                <w:rFonts w:ascii="Courier New" w:cs="Courier New" w:eastAsia="Courier New" w:hAnsi="Courier New"/>
                <w:sz w:val="18"/>
                <w:szCs w:val="18"/>
                <w:color w:val="auto"/>
              </w:rPr>
              <w:t>Portfolio Activity:</w:t>
            </w:r>
          </w:p>
        </w:tc>
        <w:tc>
          <w:tcPr>
            <w:tcW w:w="11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03"/>
        </w:trPr>
        <w:tc>
          <w:tcPr>
            <w:tcW w:w="6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Purchases of investments</w:t>
            </w:r>
          </w:p>
        </w:tc>
        <w:tc>
          <w:tcPr>
            <w:tcW w:w="11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99.2</w:t>
            </w:r>
          </w:p>
        </w:tc>
      </w:tr>
      <w:tr>
        <w:trPr>
          <w:trHeight w:val="203"/>
        </w:trPr>
        <w:tc>
          <w:tcPr>
            <w:tcW w:w="6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Sales and repayments of investments</w:t>
            </w:r>
          </w:p>
        </w:tc>
        <w:tc>
          <w:tcPr>
            <w:tcW w:w="11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26.9</w:t>
            </w:r>
          </w:p>
        </w:tc>
      </w:tr>
      <w:tr>
        <w:trPr>
          <w:trHeight w:val="405"/>
        </w:trPr>
        <w:tc>
          <w:tcPr>
            <w:tcW w:w="6020" w:type="dxa"/>
            <w:vAlign w:val="bottom"/>
          </w:tcPr>
          <w:p>
            <w:pPr>
              <w:ind w:left="220"/>
              <w:spacing w:after="0"/>
              <w:rPr>
                <w:sz w:val="20"/>
                <w:szCs w:val="20"/>
                <w:color w:val="auto"/>
              </w:rPr>
            </w:pPr>
            <w:r>
              <w:rPr>
                <w:rFonts w:ascii="Courier New" w:cs="Courier New" w:eastAsia="Courier New" w:hAnsi="Courier New"/>
                <w:sz w:val="18"/>
                <w:szCs w:val="18"/>
                <w:color w:val="auto"/>
              </w:rPr>
              <w:t>Number of new portfolio companies invested</w:t>
            </w:r>
          </w:p>
        </w:tc>
        <w:tc>
          <w:tcPr>
            <w:tcW w:w="1140" w:type="dxa"/>
            <w:vAlign w:val="bottom"/>
          </w:tcPr>
          <w:p>
            <w:pPr>
              <w:spacing w:after="0"/>
              <w:rPr>
                <w:sz w:val="24"/>
                <w:szCs w:val="24"/>
                <w:color w:val="auto"/>
              </w:rPr>
            </w:pPr>
          </w:p>
        </w:tc>
        <w:tc>
          <w:tcPr>
            <w:tcW w:w="8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10</w:t>
            </w:r>
          </w:p>
        </w:tc>
      </w:tr>
      <w:tr>
        <w:trPr>
          <w:trHeight w:val="203"/>
        </w:trPr>
        <w:tc>
          <w:tcPr>
            <w:tcW w:w="6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Number of existing portfolio companies invested</w:t>
            </w:r>
          </w:p>
        </w:tc>
        <w:tc>
          <w:tcPr>
            <w:tcW w:w="114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w:t>
            </w:r>
          </w:p>
        </w:tc>
      </w:tr>
      <w:tr>
        <w:trPr>
          <w:trHeight w:val="203"/>
        </w:trPr>
        <w:tc>
          <w:tcPr>
            <w:tcW w:w="6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Number of portfolio companies at quarter-end</w:t>
            </w:r>
          </w:p>
        </w:tc>
        <w:tc>
          <w:tcPr>
            <w:tcW w:w="114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83</w:t>
            </w:r>
          </w:p>
        </w:tc>
      </w:tr>
    </w:tbl>
    <w:p>
      <w:pPr>
        <w:spacing w:after="0" w:line="207" w:lineRule="exact"/>
        <w:rPr>
          <w:sz w:val="20"/>
          <w:szCs w:val="20"/>
          <w:color w:val="auto"/>
        </w:rPr>
      </w:pPr>
    </w:p>
    <w:p>
      <w:pPr>
        <w:ind w:left="420" w:right="3340" w:hanging="412"/>
        <w:spacing w:after="0" w:line="237"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Core net investment income is a non-GAAP financial measure. The Company believes that core net investment income provides useful information to investors and management because it reflects the Company's financial performance excluding the costs associated with amending our multi-currency, senior secured revolving credit facility, or the Credit Facility. The presentation of this additional information is not meant to be considered in isolation or as a substitute for financial results prepared in accordance with GAAP.</w:t>
      </w:r>
    </w:p>
    <w:p>
      <w:pPr>
        <w:spacing w:after="0" w:line="3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CONFERENCE CALL AT 10:00 A.M. ET ON FEBRUARY 5, 2016</w:t>
      </w:r>
    </w:p>
    <w:p>
      <w:pPr>
        <w:spacing w:after="0" w:line="212" w:lineRule="exact"/>
        <w:rPr>
          <w:sz w:val="20"/>
          <w:szCs w:val="20"/>
          <w:color w:val="auto"/>
        </w:rPr>
      </w:pPr>
    </w:p>
    <w:p>
      <w:pPr>
        <w:spacing w:after="0" w:line="273" w:lineRule="auto"/>
        <w:rPr>
          <w:sz w:val="20"/>
          <w:szCs w:val="20"/>
          <w:color w:val="auto"/>
        </w:rPr>
      </w:pPr>
      <w:r>
        <w:rPr>
          <w:rFonts w:ascii="Arial" w:cs="Arial" w:eastAsia="Arial" w:hAnsi="Arial"/>
          <w:sz w:val="19"/>
          <w:szCs w:val="19"/>
          <w:color w:val="auto"/>
        </w:rPr>
        <w:t>PennantPark Floating Rate Capital Ltd. ("we," "our," "us" or "Company") will host a conference call at 10:00 a.m. (Eastern Time) on Friday, February 5, 2016 to discuss its financial results. All interested parties are welcome to participate. You can access the conference call by dialing (888) 554-1417 approximately 5-10 minutes prior to the call. International callers should dial (719)</w:t>
      </w:r>
    </w:p>
    <w:p>
      <w:pPr>
        <w:spacing w:after="0" w:line="1" w:lineRule="exact"/>
        <w:rPr>
          <w:sz w:val="20"/>
          <w:szCs w:val="20"/>
          <w:color w:val="auto"/>
        </w:rPr>
      </w:pPr>
    </w:p>
    <w:p>
      <w:pPr>
        <w:jc w:val="both"/>
        <w:ind w:right="340"/>
        <w:spacing w:after="0" w:line="234" w:lineRule="auto"/>
        <w:rPr>
          <w:sz w:val="20"/>
          <w:szCs w:val="20"/>
          <w:color w:val="auto"/>
        </w:rPr>
      </w:pPr>
      <w:r>
        <w:rPr>
          <w:rFonts w:ascii="Arial" w:cs="Arial" w:eastAsia="Arial" w:hAnsi="Arial"/>
          <w:sz w:val="22"/>
          <w:szCs w:val="22"/>
          <w:color w:val="auto"/>
        </w:rPr>
        <w:t>457-2617. All callers should reference PennantPark Floating Rate Capital Ltd. An archived replay of the call will be available through February 19, 2016 by calling (888) 203-1112. International callers please dial (719) 457-0820. For all phone replays, please reference conference ID #6763054.</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PORTFOLIO AND INVESTMENT ACTIVITY</w:t>
      </w:r>
    </w:p>
    <w:p>
      <w:pPr>
        <w:spacing w:after="0" w:line="212" w:lineRule="exact"/>
        <w:rPr>
          <w:sz w:val="20"/>
          <w:szCs w:val="20"/>
          <w:color w:val="auto"/>
        </w:rPr>
      </w:pPr>
    </w:p>
    <w:p>
      <w:pPr>
        <w:spacing w:after="0" w:line="246" w:lineRule="auto"/>
        <w:rPr>
          <w:sz w:val="20"/>
          <w:szCs w:val="20"/>
          <w:color w:val="auto"/>
        </w:rPr>
      </w:pPr>
      <w:r>
        <w:rPr>
          <w:rFonts w:ascii="Arial" w:cs="Arial" w:eastAsia="Arial" w:hAnsi="Arial"/>
          <w:sz w:val="21"/>
          <w:szCs w:val="21"/>
          <w:color w:val="auto"/>
        </w:rPr>
        <w:t>As of December 31, 2015, our portfolio totaled $460.1 million and consisted of $403.2 million of senior secured debt, $47.1 million of second lien secured debt and $9.8 million of subordinated debt, preferred and common equity. Our debt portfolio consisted of 99% variable-rate investments (including 92% with a London Interbank Offered Rate, or LIBOR, or prime floor) and 1% fixed-rate investments. Overall, the portfolio had net unrealized depreciation of $6.7 million as of December 31, 2015. Our overall portfolio consisted of 83 companies with an average investment size of $5.5 million, had a weighted average yield on debt investments of 8.2%, and was invested 88% in senior secured debt, 10% in second lien secured debt and 2% in subordinated debt, preferred and common equity.</w:t>
      </w:r>
    </w:p>
    <w:p>
      <w:pPr>
        <w:spacing w:after="0" w:line="184" w:lineRule="exact"/>
        <w:rPr>
          <w:sz w:val="20"/>
          <w:szCs w:val="20"/>
          <w:color w:val="auto"/>
        </w:rPr>
      </w:pPr>
    </w:p>
    <w:p>
      <w:pPr>
        <w:spacing w:after="0" w:line="246" w:lineRule="auto"/>
        <w:rPr>
          <w:sz w:val="20"/>
          <w:szCs w:val="20"/>
          <w:color w:val="auto"/>
        </w:rPr>
      </w:pPr>
      <w:r>
        <w:rPr>
          <w:rFonts w:ascii="Arial" w:cs="Arial" w:eastAsia="Arial" w:hAnsi="Arial"/>
          <w:sz w:val="21"/>
          <w:szCs w:val="21"/>
          <w:color w:val="auto"/>
        </w:rPr>
        <w:t>As of September 30, 2015, our portfolio totaled $391.3 million and consisted of $335.0 million of senior secured debt, $47.9 million of second lien secured debt and $8.4 million of subordinated debt, preferred and common equity. Our debt portfolio consisted of 97% variable-rate investments (including 92% with a LIBOR or prime floor) and 3% fixed-rate investments. As of September 30, 2015, we had one company on non-accrual, representing 1.6% and 0.9% of our overall portfolio on a cost and fair value basis, respectively. Overall, the portfolio had net unrealized depreciation of $6.0 million as of September 30, 2015. Our overall portfolio consisted of 76 companies with an average investment size of $5.1 million, had a weighted average yield on debt investments of 7.9%, and was invested 86% in senior secured debt, 12% in second lien secured debt and 2% in subordinated debt, preferred and common equity.</w:t>
      </w:r>
    </w:p>
    <w:p>
      <w:pPr>
        <w:spacing w:after="0" w:line="180" w:lineRule="exact"/>
        <w:rPr>
          <w:sz w:val="20"/>
          <w:szCs w:val="20"/>
          <w:color w:val="auto"/>
        </w:rPr>
      </w:pPr>
    </w:p>
    <w:p>
      <w:pPr>
        <w:ind w:right="100"/>
        <w:spacing w:after="0"/>
        <w:rPr>
          <w:sz w:val="20"/>
          <w:szCs w:val="20"/>
          <w:color w:val="auto"/>
        </w:rPr>
      </w:pPr>
      <w:r>
        <w:rPr>
          <w:rFonts w:ascii="Arial" w:cs="Arial" w:eastAsia="Arial" w:hAnsi="Arial"/>
          <w:sz w:val="22"/>
          <w:szCs w:val="22"/>
          <w:color w:val="auto"/>
        </w:rPr>
        <w:t>For the three months ended December 31, 2015, we invested $99.2 million in ten new and five existing portfolio companies with a weighted average yield on debt investments of 8.4%. Sales and repayments of investments for the three months ended December 31, 2015 totaled $26.9 million.</w:t>
      </w:r>
    </w:p>
    <w:p>
      <w:pPr>
        <w:sectPr>
          <w:pgSz w:w="11900" w:h="16838" w:orient="portrait"/>
          <w:cols w:equalWidth="0" w:num="1">
            <w:col w:w="11240"/>
          </w:cols>
          <w:pgMar w:left="320" w:top="111" w:right="339" w:bottom="60" w:gutter="0" w:footer="0" w:header="0"/>
        </w:sectPr>
      </w:pPr>
    </w:p>
    <w:bookmarkStart w:id="3" w:name="page4"/>
    <w:bookmarkEnd w:id="3"/>
    <w:p>
      <w:pPr>
        <w:jc w:val="both"/>
        <w:ind w:right="360"/>
        <w:spacing w:after="0"/>
        <w:rPr>
          <w:sz w:val="20"/>
          <w:szCs w:val="20"/>
          <w:color w:val="auto"/>
        </w:rPr>
      </w:pPr>
      <w:r>
        <w:rPr>
          <w:rFonts w:ascii="Arial" w:cs="Arial" w:eastAsia="Arial" w:hAnsi="Arial"/>
          <w:sz w:val="22"/>
          <w:szCs w:val="22"/>
          <w:color w:val="auto"/>
        </w:rPr>
        <w:t>For the three months ended December 31, 2014, we invested $47.0 million in eight new and five existing portfolio companies with a weighted average yield on debt investments of 8.5%. Sales and repayments of investments for the three months ended December 31, 2014 totaled $44.9 million.</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Set forth below are the results of operations for the three months ended December 31, 2015 and 2014.</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Investment Income</w:t>
      </w:r>
    </w:p>
    <w:p>
      <w:pPr>
        <w:spacing w:after="0" w:line="212" w:lineRule="exact"/>
        <w:rPr>
          <w:sz w:val="20"/>
          <w:szCs w:val="20"/>
          <w:color w:val="auto"/>
        </w:rPr>
      </w:pPr>
    </w:p>
    <w:p>
      <w:pPr>
        <w:spacing w:after="0" w:line="282" w:lineRule="auto"/>
        <w:rPr>
          <w:sz w:val="20"/>
          <w:szCs w:val="20"/>
          <w:color w:val="auto"/>
        </w:rPr>
      </w:pPr>
      <w:r>
        <w:rPr>
          <w:rFonts w:ascii="Arial" w:cs="Arial" w:eastAsia="Arial" w:hAnsi="Arial"/>
          <w:sz w:val="19"/>
          <w:szCs w:val="19"/>
          <w:color w:val="auto"/>
        </w:rPr>
        <w:t>Investment income for the three months ended December 31, 2015 was $8.8 million and was attributable to $7.3 million from senior secured debt, $1.4 million from second lien secured debt and $0.1 million from subordinated debt, respectively. Investment income for the three months ended December 31, 2014 was $7.5 million and was attributable to $5.8 million from senior secured debt and $1.7 million from second lien secured debt and subordinated debt. The increase in investment income compared with the same period in the prior year was primarily due to the growth of our portfolio at cost.</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Expenses</w:t>
      </w:r>
    </w:p>
    <w:p>
      <w:pPr>
        <w:spacing w:after="0" w:line="212" w:lineRule="exact"/>
        <w:rPr>
          <w:sz w:val="20"/>
          <w:szCs w:val="20"/>
          <w:color w:val="auto"/>
        </w:rPr>
      </w:pPr>
    </w:p>
    <w:p>
      <w:pPr>
        <w:spacing w:after="0"/>
        <w:rPr>
          <w:sz w:val="20"/>
          <w:szCs w:val="20"/>
          <w:color w:val="auto"/>
        </w:rPr>
      </w:pPr>
      <w:r>
        <w:rPr>
          <w:rFonts w:ascii="Arial" w:cs="Arial" w:eastAsia="Arial" w:hAnsi="Arial"/>
          <w:sz w:val="19"/>
          <w:szCs w:val="19"/>
          <w:color w:val="auto"/>
        </w:rPr>
        <w:t>Expenses for the three months ended December 31, 2015 totaled $3.7 million. Base management fee for the same period totaled</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$1.1 million, incentive fee totaled zero, Credit Facility expenses totaled $1.8 million (including $0.9 million of Credit Facility</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amendment expenses) and general and administrative expenses totaled $0.8 million. Expenses for the three months ended</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December 31, 2014 totaled $2.0 million. Base management fee for the same period totaled $0.9 million, incentive fee totaled</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$(0.3) million (including $(0.4) million on realized gains and $(0.6) million on unrealized gains accrued but not payable), Credit</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Facility expenses totaled $0.9 million, general and administrative expenses totaled $0.4 million and excise taxes were $0.1</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million. The increase in expenses compared with the same period in the prior year was primarily due to Credit Facility</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amendment expenses and base management fee as a result from the growth of our portfolio.</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Investment Income</w:t>
      </w:r>
    </w:p>
    <w:p>
      <w:pPr>
        <w:spacing w:after="0" w:line="212" w:lineRule="exact"/>
        <w:rPr>
          <w:sz w:val="20"/>
          <w:szCs w:val="20"/>
          <w:color w:val="auto"/>
        </w:rPr>
      </w:pPr>
    </w:p>
    <w:p>
      <w:pPr>
        <w:ind w:right="40"/>
        <w:spacing w:after="0" w:line="282" w:lineRule="auto"/>
        <w:rPr>
          <w:sz w:val="20"/>
          <w:szCs w:val="20"/>
          <w:color w:val="auto"/>
        </w:rPr>
      </w:pPr>
      <w:r>
        <w:rPr>
          <w:rFonts w:ascii="Arial" w:cs="Arial" w:eastAsia="Arial" w:hAnsi="Arial"/>
          <w:sz w:val="19"/>
          <w:szCs w:val="19"/>
          <w:color w:val="auto"/>
        </w:rPr>
        <w:t>Net investment income totaled $5.1 million, or $0.19 per share, for the three months ended December 31, 2015, and $5.5 million, or $0.37 per share, for the three months ended December 31, 2014. Core net investment income, a non-GAAP financial measure, totaled $6.0 million and $4.5 million, or $0.22 and $0.30 per share, for the three months ended December 31, 2015 and 2014, respectively. The decrease in net investment income per share compared to the same period in the prior year was primarily due to the issuance of new shares in connection with our acquisition of MCG Capital Corporation in August 2015.</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Realized Gains or Losses</w:t>
      </w:r>
    </w:p>
    <w:p>
      <w:pPr>
        <w:spacing w:after="0" w:line="212" w:lineRule="exact"/>
        <w:rPr>
          <w:sz w:val="20"/>
          <w:szCs w:val="20"/>
          <w:color w:val="auto"/>
        </w:rPr>
      </w:pPr>
    </w:p>
    <w:p>
      <w:pPr>
        <w:ind w:right="320"/>
        <w:spacing w:after="0" w:line="287" w:lineRule="auto"/>
        <w:rPr>
          <w:sz w:val="20"/>
          <w:szCs w:val="20"/>
          <w:color w:val="auto"/>
        </w:rPr>
      </w:pPr>
      <w:r>
        <w:rPr>
          <w:rFonts w:ascii="Arial" w:cs="Arial" w:eastAsia="Arial" w:hAnsi="Arial"/>
          <w:sz w:val="19"/>
          <w:szCs w:val="19"/>
          <w:color w:val="auto"/>
        </w:rPr>
        <w:t>Sales and repayments of investments for the three months ended December 31, 2015 totaled $26.9 million and realized losses totaled $3.2 million. Sales and repayments of investments totaled $44.9 million and realized losses totaled $0.2 million for the three months ended December 31, 2014. The increase in realized losses compared with the same period in the prior year was primarily due to the changes in market conditions of our investments and the values at which they were realized.</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Unrealized Appreciation or Depreciation on Investments and Credit Facility</w:t>
      </w:r>
    </w:p>
    <w:p>
      <w:pPr>
        <w:spacing w:after="0" w:line="212" w:lineRule="exact"/>
        <w:rPr>
          <w:sz w:val="20"/>
          <w:szCs w:val="20"/>
          <w:color w:val="auto"/>
        </w:rPr>
      </w:pPr>
    </w:p>
    <w:p>
      <w:pPr>
        <w:ind w:right="40"/>
        <w:spacing w:after="0" w:line="249" w:lineRule="auto"/>
        <w:rPr>
          <w:sz w:val="20"/>
          <w:szCs w:val="20"/>
          <w:color w:val="auto"/>
        </w:rPr>
      </w:pPr>
      <w:r>
        <w:rPr>
          <w:rFonts w:ascii="Arial" w:cs="Arial" w:eastAsia="Arial" w:hAnsi="Arial"/>
          <w:sz w:val="21"/>
          <w:szCs w:val="21"/>
          <w:color w:val="auto"/>
        </w:rPr>
        <w:t>For the three months ended December 31, 2015 and 2014, we reported net unrealized depreciation on investments of $0.7 million and $4.9 million, respectively. As of December 31, 2015 and September 30, 2015, our net unrealized depreciation on investments totaled $6.7 million and $6.0 million, respectively. The net change in unrealized depreciation on our investments was driven primarily by changes in the capital market conditions, financial performance of certain portfolio companies, and the reversal of unrealized depreciation (appreciation) of investments sold.</w:t>
      </w:r>
    </w:p>
    <w:p>
      <w:pPr>
        <w:spacing w:after="0" w:line="178" w:lineRule="exact"/>
        <w:rPr>
          <w:sz w:val="20"/>
          <w:szCs w:val="20"/>
          <w:color w:val="auto"/>
        </w:rPr>
      </w:pPr>
    </w:p>
    <w:p>
      <w:pPr>
        <w:jc w:val="both"/>
        <w:ind w:right="100"/>
        <w:spacing w:after="0"/>
        <w:rPr>
          <w:sz w:val="20"/>
          <w:szCs w:val="20"/>
          <w:color w:val="auto"/>
        </w:rPr>
      </w:pPr>
      <w:r>
        <w:rPr>
          <w:rFonts w:ascii="Arial" w:cs="Arial" w:eastAsia="Arial" w:hAnsi="Arial"/>
          <w:sz w:val="22"/>
          <w:szCs w:val="22"/>
          <w:color w:val="auto"/>
        </w:rPr>
        <w:t>For the three months ended December 31, 2015 and 2014, we reported net unrealized depreciation on our Credit Facility of $0.6 million and $0.1 million, respectively. The change compared with the same period in the prior year was primarily due to changes in the capital markets.</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Change in Net Assets Resulting from Operations</w:t>
      </w:r>
    </w:p>
    <w:p>
      <w:pPr>
        <w:spacing w:after="0" w:line="212" w:lineRule="exact"/>
        <w:rPr>
          <w:sz w:val="20"/>
          <w:szCs w:val="20"/>
          <w:color w:val="auto"/>
        </w:rPr>
      </w:pPr>
    </w:p>
    <w:p>
      <w:pPr>
        <w:ind w:right="140"/>
        <w:spacing w:after="0" w:line="282" w:lineRule="auto"/>
        <w:rPr>
          <w:sz w:val="20"/>
          <w:szCs w:val="20"/>
          <w:color w:val="auto"/>
        </w:rPr>
      </w:pPr>
      <w:r>
        <w:rPr>
          <w:rFonts w:ascii="Arial" w:cs="Arial" w:eastAsia="Arial" w:hAnsi="Arial"/>
          <w:sz w:val="19"/>
          <w:szCs w:val="19"/>
          <w:color w:val="auto"/>
        </w:rPr>
        <w:t>Net change in net assets resulting from operations totaled $1.7 million, or $0.07 per share, for the three months ended December 31, 2015. This compares to a net change in net assets resulting from operations of $0.4 million, or $0.03 per share, for the three months ended December 31, 2014. The increase in the change in net assets from operations compared to the same period in the prior year was primarily due to a net decrease in realized and unrealized losses offset by lower net investment income. We continue to find attractive investment opportunities to grow net assets from operations.</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212" w:lineRule="exact"/>
        <w:rPr>
          <w:sz w:val="20"/>
          <w:szCs w:val="20"/>
          <w:color w:val="auto"/>
        </w:rPr>
      </w:pPr>
    </w:p>
    <w:p>
      <w:pPr>
        <w:ind w:right="280"/>
        <w:spacing w:after="0" w:line="236" w:lineRule="auto"/>
        <w:rPr>
          <w:sz w:val="20"/>
          <w:szCs w:val="20"/>
          <w:color w:val="auto"/>
        </w:rPr>
      </w:pPr>
      <w:r>
        <w:rPr>
          <w:rFonts w:ascii="Arial" w:cs="Arial" w:eastAsia="Arial" w:hAnsi="Arial"/>
          <w:sz w:val="22"/>
          <w:szCs w:val="22"/>
          <w:color w:val="auto"/>
        </w:rPr>
        <w:t>Our liquidity and capital resources are derived from public offerings, our $350 million Credit Facility, cash flows from operations, including investment sales and repayments, and income earned. Our primary use of funds from operations includes investments in portfolio companies and payments of fees and other operating expenses we incur. We have used, and expect to continue to use, our Credit Facility, the rotation of our portfolio and proceeds from public and private offerings of securities to finance our investment objectives.</w:t>
      </w:r>
    </w:p>
    <w:p>
      <w:pPr>
        <w:sectPr>
          <w:pgSz w:w="11900" w:h="16838" w:orient="portrait"/>
          <w:cols w:equalWidth="0" w:num="1">
            <w:col w:w="11240"/>
          </w:cols>
          <w:pgMar w:left="320" w:top="118" w:right="339" w:bottom="0" w:gutter="0" w:footer="0" w:header="0"/>
        </w:sectPr>
      </w:pPr>
    </w:p>
    <w:bookmarkStart w:id="4" w:name="page5"/>
    <w:bookmarkEnd w:id="4"/>
    <w:p>
      <w:pPr>
        <w:spacing w:after="0" w:line="64" w:lineRule="exact"/>
        <w:rPr>
          <w:sz w:val="20"/>
          <w:szCs w:val="20"/>
          <w:color w:val="auto"/>
        </w:rPr>
      </w:pPr>
    </w:p>
    <w:p>
      <w:pPr>
        <w:ind w:right="80"/>
        <w:spacing w:after="0" w:line="249" w:lineRule="auto"/>
        <w:rPr>
          <w:sz w:val="20"/>
          <w:szCs w:val="20"/>
          <w:color w:val="auto"/>
        </w:rPr>
      </w:pPr>
      <w:r>
        <w:rPr>
          <w:rFonts w:ascii="Arial" w:cs="Arial" w:eastAsia="Arial" w:hAnsi="Arial"/>
          <w:sz w:val="21"/>
          <w:szCs w:val="21"/>
          <w:color w:val="auto"/>
        </w:rPr>
        <w:t>As of December 31, 2015 and September 30, 2015, we had $95.7 million and $29.6 million of outstanding borrowings under the Credit Facility, respectively. The Credit Facility had an interest rate of 2.43% and 2.20%, respectively, excluding undrawn commitment fees as of December 31, 2015 and September 30, 2015. The annualized weighted average cost of debt for the three months ended December 31, 2015 and 2014, inclusive of the fee on the undrawn commitment on the Credit Facility but excluding amendment costs, was 5.95% and 2.47%, respectively.</w:t>
      </w:r>
    </w:p>
    <w:p>
      <w:pPr>
        <w:spacing w:after="0" w:line="179" w:lineRule="exact"/>
        <w:rPr>
          <w:sz w:val="20"/>
          <w:szCs w:val="20"/>
          <w:color w:val="auto"/>
        </w:rPr>
      </w:pPr>
    </w:p>
    <w:p>
      <w:pPr>
        <w:ind w:right="440"/>
        <w:spacing w:after="0" w:line="250" w:lineRule="auto"/>
        <w:rPr>
          <w:sz w:val="20"/>
          <w:szCs w:val="20"/>
          <w:color w:val="auto"/>
        </w:rPr>
      </w:pPr>
      <w:r>
        <w:rPr>
          <w:rFonts w:ascii="Arial" w:cs="Arial" w:eastAsia="Arial" w:hAnsi="Arial"/>
          <w:sz w:val="22"/>
          <w:szCs w:val="22"/>
          <w:color w:val="auto"/>
        </w:rPr>
        <w:t>As of December 31, 2015 and September 30, 2015, we had $253.7 million and $260.4 million of unused borrowing capacity under our Credit Facility, respectively, subject to the regulatory restrictions.</w:t>
      </w:r>
    </w:p>
    <w:p>
      <w:pPr>
        <w:spacing w:after="0" w:line="175" w:lineRule="exact"/>
        <w:rPr>
          <w:sz w:val="20"/>
          <w:szCs w:val="20"/>
          <w:color w:val="auto"/>
        </w:rPr>
      </w:pPr>
    </w:p>
    <w:p>
      <w:pPr>
        <w:jc w:val="both"/>
        <w:ind w:right="600"/>
        <w:spacing w:after="0"/>
        <w:rPr>
          <w:sz w:val="20"/>
          <w:szCs w:val="20"/>
          <w:color w:val="auto"/>
        </w:rPr>
      </w:pPr>
      <w:r>
        <w:rPr>
          <w:rFonts w:ascii="Arial" w:cs="Arial" w:eastAsia="Arial" w:hAnsi="Arial"/>
          <w:sz w:val="22"/>
          <w:szCs w:val="22"/>
          <w:color w:val="auto"/>
        </w:rPr>
        <w:t>On December 31, 2015 and September 30, 2015, we had cash equivalents of $14.0 million and $21.4 million, respectively, available for investing and general corporate purposes. We believe our liquidity and capital resources are sufficient to take advantage of market opportunities.</w:t>
      </w:r>
    </w:p>
    <w:p>
      <w:pPr>
        <w:spacing w:after="0" w:line="186" w:lineRule="exact"/>
        <w:rPr>
          <w:sz w:val="20"/>
          <w:szCs w:val="20"/>
          <w:color w:val="auto"/>
        </w:rPr>
      </w:pPr>
    </w:p>
    <w:p>
      <w:pPr>
        <w:ind w:right="60"/>
        <w:spacing w:after="0" w:line="257" w:lineRule="auto"/>
        <w:rPr>
          <w:sz w:val="20"/>
          <w:szCs w:val="20"/>
          <w:color w:val="auto"/>
        </w:rPr>
      </w:pPr>
      <w:r>
        <w:rPr>
          <w:rFonts w:ascii="Arial" w:cs="Arial" w:eastAsia="Arial" w:hAnsi="Arial"/>
          <w:sz w:val="21"/>
          <w:szCs w:val="21"/>
          <w:color w:val="auto"/>
        </w:rPr>
        <w:t>Our operating activities used cash of $66.5 million for the three months ended December 31, 2015, and our financing activities provided cash of $59.1 million for the same period. Our operating activities used cash primarily for our investment activities and our financing activities provided cash primarily from net borrowings under the Credit Facility.</w:t>
      </w:r>
    </w:p>
    <w:p>
      <w:pPr>
        <w:spacing w:after="0" w:line="169" w:lineRule="exact"/>
        <w:rPr>
          <w:sz w:val="20"/>
          <w:szCs w:val="20"/>
          <w:color w:val="auto"/>
        </w:rPr>
      </w:pPr>
    </w:p>
    <w:p>
      <w:pPr>
        <w:ind w:right="280"/>
        <w:spacing w:after="0" w:line="297" w:lineRule="auto"/>
        <w:rPr>
          <w:sz w:val="20"/>
          <w:szCs w:val="20"/>
          <w:color w:val="auto"/>
        </w:rPr>
      </w:pPr>
      <w:r>
        <w:rPr>
          <w:rFonts w:ascii="Arial" w:cs="Arial" w:eastAsia="Arial" w:hAnsi="Arial"/>
          <w:sz w:val="19"/>
          <w:szCs w:val="19"/>
          <w:color w:val="auto"/>
        </w:rPr>
        <w:t>Our operating activities provided cash of $12.2 million for the three months ended December 31, 2014, and our financing activities used cash of $14.9 million for the same period. Our operating activities provided cash primarily from sales and repayments on our investments and our financing activities used cash primarily from net repayments under the Credit Facility.</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DISTRIBUTIONS</w:t>
      </w:r>
    </w:p>
    <w:p>
      <w:pPr>
        <w:spacing w:after="0" w:line="212" w:lineRule="exact"/>
        <w:rPr>
          <w:sz w:val="20"/>
          <w:szCs w:val="20"/>
          <w:color w:val="auto"/>
        </w:rPr>
      </w:pPr>
    </w:p>
    <w:p>
      <w:pPr>
        <w:ind w:right="40"/>
        <w:spacing w:after="0" w:line="279" w:lineRule="auto"/>
        <w:rPr>
          <w:sz w:val="20"/>
          <w:szCs w:val="20"/>
          <w:color w:val="auto"/>
        </w:rPr>
      </w:pPr>
      <w:r>
        <w:rPr>
          <w:rFonts w:ascii="Arial" w:cs="Arial" w:eastAsia="Arial" w:hAnsi="Arial"/>
          <w:sz w:val="19"/>
          <w:szCs w:val="19"/>
          <w:color w:val="auto"/>
        </w:rPr>
        <w:t>During the three months ended December 31, 2015 and 2014, we declared distributions of $0.285 and $0.270 per share, respectively, for total distributions of $7.6 million and $4.0 million, respectively. We monitor available net investment income to determine if a tax return of capital may occur for the fiscal year. To the extent our taxable earnings fall below the total amount of our distributions for any given fiscal year, a portion of those distributions may be deemed to be a tax return of capital to our common stockholders. Tax characteristics of all distributions will be reported to stockholders on Form 1099-DIV after the end of the calendar year and in our periodic reports filed with the Securities and Exchange Commission, or the SEC.</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AVAILABLE INFORMATION</w:t>
      </w:r>
    </w:p>
    <w:p>
      <w:pPr>
        <w:spacing w:after="0" w:line="212"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The Company makes available on its website its report on Form 10-Q filed with the SEC and stockholders may find the report on its website at www.pennantpark.com.</w:t>
      </w:r>
    </w:p>
    <w:p>
      <w:pPr>
        <w:spacing w:after="0" w:line="200" w:lineRule="exact"/>
        <w:rPr>
          <w:sz w:val="20"/>
          <w:szCs w:val="20"/>
          <w:color w:val="auto"/>
        </w:rPr>
      </w:pPr>
    </w:p>
    <w:p>
      <w:pPr>
        <w:spacing w:after="0" w:line="398" w:lineRule="exact"/>
        <w:rPr>
          <w:sz w:val="20"/>
          <w:szCs w:val="20"/>
          <w:color w:val="auto"/>
        </w:rPr>
      </w:pPr>
    </w:p>
    <w:p>
      <w:pPr>
        <w:jc w:val="center"/>
        <w:ind w:right="3280"/>
        <w:spacing w:after="0"/>
        <w:rPr>
          <w:sz w:val="20"/>
          <w:szCs w:val="20"/>
          <w:color w:val="auto"/>
        </w:rPr>
      </w:pPr>
      <w:r>
        <w:rPr>
          <w:rFonts w:ascii="Courier New" w:cs="Courier New" w:eastAsia="Courier New" w:hAnsi="Courier New"/>
          <w:sz w:val="18"/>
          <w:szCs w:val="18"/>
          <w:color w:val="auto"/>
        </w:rPr>
        <w:t>PENNANTPARK FLOATING RATE CAPITAL LTD. AND SUBSIDIARIES</w:t>
      </w:r>
    </w:p>
    <w:p>
      <w:pPr>
        <w:jc w:val="center"/>
        <w:ind w:right="3280"/>
        <w:spacing w:after="0" w:line="238" w:lineRule="auto"/>
        <w:rPr>
          <w:sz w:val="20"/>
          <w:szCs w:val="20"/>
          <w:color w:val="auto"/>
        </w:rPr>
      </w:pPr>
      <w:r>
        <w:rPr>
          <w:rFonts w:ascii="Courier New" w:cs="Courier New" w:eastAsia="Courier New" w:hAnsi="Courier New"/>
          <w:sz w:val="18"/>
          <w:szCs w:val="18"/>
          <w:color w:val="auto"/>
        </w:rPr>
        <w:t>CONSOLIDATED STATEMENTS OF ASSETS AND LIABILITIES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480" w:type="dxa"/>
            <w:vAlign w:val="bottom"/>
          </w:tcPr>
          <w:p>
            <w:pPr>
              <w:spacing w:after="0"/>
              <w:rPr>
                <w:sz w:val="17"/>
                <w:szCs w:val="17"/>
                <w:color w:val="auto"/>
              </w:rPr>
            </w:pPr>
          </w:p>
        </w:tc>
        <w:tc>
          <w:tcPr>
            <w:tcW w:w="1740" w:type="dxa"/>
            <w:vAlign w:val="bottom"/>
          </w:tcPr>
          <w:p>
            <w:pPr>
              <w:ind w:left="260"/>
              <w:spacing w:after="0"/>
              <w:rPr>
                <w:sz w:val="20"/>
                <w:szCs w:val="20"/>
                <w:color w:val="auto"/>
              </w:rPr>
            </w:pPr>
            <w:r>
              <w:rPr>
                <w:rFonts w:ascii="Courier New" w:cs="Courier New" w:eastAsia="Courier New" w:hAnsi="Courier New"/>
                <w:sz w:val="18"/>
                <w:szCs w:val="18"/>
                <w:color w:val="auto"/>
              </w:rPr>
              <w:t>December 31,</w:t>
            </w:r>
          </w:p>
        </w:tc>
        <w:tc>
          <w:tcPr>
            <w:tcW w:w="220" w:type="dxa"/>
            <w:vAlign w:val="bottom"/>
          </w:tcPr>
          <w:p>
            <w:pPr>
              <w:spacing w:after="0"/>
              <w:rPr>
                <w:sz w:val="17"/>
                <w:szCs w:val="17"/>
                <w:color w:val="auto"/>
              </w:rPr>
            </w:pPr>
          </w:p>
        </w:tc>
        <w:tc>
          <w:tcPr>
            <w:tcW w:w="146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5"/>
              </w:rPr>
              <w:t>September 30,</w:t>
            </w:r>
          </w:p>
        </w:tc>
      </w:tr>
      <w:tr>
        <w:trPr>
          <w:trHeight w:val="203"/>
        </w:trPr>
        <w:tc>
          <w:tcPr>
            <w:tcW w:w="4480" w:type="dxa"/>
            <w:vAlign w:val="bottom"/>
          </w:tcPr>
          <w:p>
            <w:pPr>
              <w:spacing w:after="0"/>
              <w:rPr>
                <w:sz w:val="17"/>
                <w:szCs w:val="17"/>
                <w:color w:val="auto"/>
              </w:rPr>
            </w:pPr>
          </w:p>
        </w:tc>
        <w:tc>
          <w:tcPr>
            <w:tcW w:w="17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2015</w:t>
            </w:r>
          </w:p>
        </w:tc>
        <w:tc>
          <w:tcPr>
            <w:tcW w:w="220" w:type="dxa"/>
            <w:vAlign w:val="bottom"/>
          </w:tcPr>
          <w:p>
            <w:pPr>
              <w:spacing w:after="0"/>
              <w:rPr>
                <w:sz w:val="17"/>
                <w:szCs w:val="17"/>
                <w:color w:val="auto"/>
              </w:rPr>
            </w:pPr>
          </w:p>
        </w:tc>
        <w:tc>
          <w:tcPr>
            <w:tcW w:w="14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2015</w:t>
            </w:r>
          </w:p>
        </w:tc>
      </w:tr>
      <w:tr>
        <w:trPr>
          <w:trHeight w:val="203"/>
        </w:trPr>
        <w:tc>
          <w:tcPr>
            <w:tcW w:w="4480" w:type="dxa"/>
            <w:vAlign w:val="bottom"/>
          </w:tcPr>
          <w:p>
            <w:pPr>
              <w:spacing w:after="0"/>
              <w:rPr>
                <w:sz w:val="17"/>
                <w:szCs w:val="17"/>
                <w:color w:val="auto"/>
              </w:rPr>
            </w:pPr>
          </w:p>
        </w:tc>
        <w:tc>
          <w:tcPr>
            <w:tcW w:w="1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(unaudited)</w:t>
            </w: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4480" w:type="dxa"/>
            <w:vAlign w:val="bottom"/>
          </w:tcPr>
          <w:p>
            <w:pPr>
              <w:spacing w:after="0"/>
              <w:rPr>
                <w:sz w:val="17"/>
                <w:szCs w:val="17"/>
                <w:color w:val="auto"/>
              </w:rPr>
            </w:pPr>
          </w:p>
        </w:tc>
        <w:tc>
          <w:tcPr>
            <w:tcW w:w="1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c>
          <w:tcPr>
            <w:tcW w:w="1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Assets</w:t>
            </w:r>
          </w:p>
        </w:tc>
        <w:tc>
          <w:tcPr>
            <w:tcW w:w="1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Investments at fair value</w:t>
            </w:r>
          </w:p>
        </w:tc>
        <w:tc>
          <w:tcPr>
            <w:tcW w:w="1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4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Non-controlled, non-affiliated</w:t>
            </w:r>
          </w:p>
        </w:tc>
        <w:tc>
          <w:tcPr>
            <w:tcW w:w="1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investments (cost--$464,023,806 and</w:t>
            </w:r>
          </w:p>
        </w:tc>
        <w:tc>
          <w:tcPr>
            <w:tcW w:w="1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$394,561,175, respectively)</w:t>
            </w:r>
          </w:p>
        </w:tc>
        <w:tc>
          <w:tcPr>
            <w:tcW w:w="1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   457,289,068</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388,535,383</w:t>
            </w:r>
          </w:p>
        </w:tc>
      </w:tr>
      <w:tr>
        <w:trPr>
          <w:trHeight w:val="203"/>
        </w:trPr>
        <w:tc>
          <w:tcPr>
            <w:tcW w:w="4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Controlled, affiliated investments</w:t>
            </w:r>
          </w:p>
        </w:tc>
        <w:tc>
          <w:tcPr>
            <w:tcW w:w="1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(cost--$2,777,132 and $2,777,132,</w:t>
            </w:r>
          </w:p>
        </w:tc>
        <w:tc>
          <w:tcPr>
            <w:tcW w:w="1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respectively)</w:t>
            </w:r>
          </w:p>
        </w:tc>
        <w:tc>
          <w:tcPr>
            <w:tcW w:w="1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2,776,507</w:t>
            </w:r>
          </w:p>
        </w:tc>
        <w:tc>
          <w:tcPr>
            <w:tcW w:w="220" w:type="dxa"/>
            <w:vAlign w:val="bottom"/>
          </w:tcPr>
          <w:p>
            <w:pPr>
              <w:spacing w:after="0"/>
              <w:rPr>
                <w:sz w:val="17"/>
                <w:szCs w:val="17"/>
                <w:color w:val="auto"/>
              </w:rPr>
            </w:pP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2,776,507</w:t>
            </w:r>
          </w:p>
        </w:tc>
      </w:tr>
      <w:tr>
        <w:trPr>
          <w:trHeight w:val="203"/>
        </w:trPr>
        <w:tc>
          <w:tcPr>
            <w:tcW w:w="4480" w:type="dxa"/>
            <w:vAlign w:val="bottom"/>
          </w:tcPr>
          <w:p>
            <w:pPr>
              <w:spacing w:after="0"/>
              <w:rPr>
                <w:sz w:val="17"/>
                <w:szCs w:val="17"/>
                <w:color w:val="auto"/>
              </w:rPr>
            </w:pPr>
          </w:p>
        </w:tc>
        <w:tc>
          <w:tcPr>
            <w:tcW w:w="1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c>
          <w:tcPr>
            <w:tcW w:w="1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Total of investments (cost--$466,800,938</w:t>
            </w:r>
          </w:p>
        </w:tc>
        <w:tc>
          <w:tcPr>
            <w:tcW w:w="1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2"/>
        </w:trPr>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and $397,338,307, respectively)</w:t>
            </w:r>
          </w:p>
        </w:tc>
        <w:tc>
          <w:tcPr>
            <w:tcW w:w="1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460,065,575</w:t>
            </w:r>
          </w:p>
        </w:tc>
        <w:tc>
          <w:tcPr>
            <w:tcW w:w="220" w:type="dxa"/>
            <w:vAlign w:val="bottom"/>
          </w:tcPr>
          <w:p>
            <w:pPr>
              <w:spacing w:after="0"/>
              <w:rPr>
                <w:sz w:val="17"/>
                <w:szCs w:val="17"/>
                <w:color w:val="auto"/>
              </w:rPr>
            </w:pP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391,311,890</w:t>
            </w: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equivalents</w:t>
            </w:r>
          </w:p>
        </w:tc>
        <w:tc>
          <w:tcPr>
            <w:tcW w:w="1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14,035,946</w:t>
            </w:r>
          </w:p>
        </w:tc>
        <w:tc>
          <w:tcPr>
            <w:tcW w:w="220" w:type="dxa"/>
            <w:vAlign w:val="bottom"/>
          </w:tcPr>
          <w:p>
            <w:pPr>
              <w:spacing w:after="0"/>
              <w:rPr>
                <w:sz w:val="17"/>
                <w:szCs w:val="17"/>
                <w:color w:val="auto"/>
              </w:rPr>
            </w:pP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21,428,514</w:t>
            </w: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receivable</w:t>
            </w:r>
          </w:p>
        </w:tc>
        <w:tc>
          <w:tcPr>
            <w:tcW w:w="1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2,273,976</w:t>
            </w:r>
          </w:p>
        </w:tc>
        <w:tc>
          <w:tcPr>
            <w:tcW w:w="220" w:type="dxa"/>
            <w:vAlign w:val="bottom"/>
          </w:tcPr>
          <w:p>
            <w:pPr>
              <w:spacing w:after="0"/>
              <w:rPr>
                <w:sz w:val="17"/>
                <w:szCs w:val="17"/>
                <w:color w:val="auto"/>
              </w:rPr>
            </w:pP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1,959,404</w:t>
            </w: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Prepaid expenses and other assets</w:t>
            </w:r>
          </w:p>
        </w:tc>
        <w:tc>
          <w:tcPr>
            <w:tcW w:w="1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1,480,015</w:t>
            </w:r>
          </w:p>
        </w:tc>
        <w:tc>
          <w:tcPr>
            <w:tcW w:w="220" w:type="dxa"/>
            <w:vAlign w:val="bottom"/>
          </w:tcPr>
          <w:p>
            <w:pPr>
              <w:spacing w:after="0"/>
              <w:rPr>
                <w:sz w:val="17"/>
                <w:szCs w:val="17"/>
                <w:color w:val="auto"/>
              </w:rPr>
            </w:pP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1,420,529</w:t>
            </w:r>
          </w:p>
        </w:tc>
      </w:tr>
      <w:tr>
        <w:trPr>
          <w:trHeight w:val="203"/>
        </w:trPr>
        <w:tc>
          <w:tcPr>
            <w:tcW w:w="4480" w:type="dxa"/>
            <w:vAlign w:val="bottom"/>
          </w:tcPr>
          <w:p>
            <w:pPr>
              <w:spacing w:after="0"/>
              <w:rPr>
                <w:sz w:val="17"/>
                <w:szCs w:val="17"/>
                <w:color w:val="auto"/>
              </w:rPr>
            </w:pPr>
          </w:p>
        </w:tc>
        <w:tc>
          <w:tcPr>
            <w:tcW w:w="1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c>
          <w:tcPr>
            <w:tcW w:w="1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assets</w:t>
            </w:r>
          </w:p>
        </w:tc>
        <w:tc>
          <w:tcPr>
            <w:tcW w:w="1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477,855,512</w:t>
            </w:r>
          </w:p>
        </w:tc>
        <w:tc>
          <w:tcPr>
            <w:tcW w:w="220" w:type="dxa"/>
            <w:vAlign w:val="bottom"/>
          </w:tcPr>
          <w:p>
            <w:pPr>
              <w:spacing w:after="0"/>
              <w:rPr>
                <w:sz w:val="17"/>
                <w:szCs w:val="17"/>
                <w:color w:val="auto"/>
              </w:rPr>
            </w:pP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416,120,337</w:t>
            </w:r>
          </w:p>
        </w:tc>
      </w:tr>
      <w:tr>
        <w:trPr>
          <w:trHeight w:val="203"/>
        </w:trPr>
        <w:tc>
          <w:tcPr>
            <w:tcW w:w="4480" w:type="dxa"/>
            <w:vAlign w:val="bottom"/>
          </w:tcPr>
          <w:p>
            <w:pPr>
              <w:spacing w:after="0"/>
              <w:rPr>
                <w:sz w:val="17"/>
                <w:szCs w:val="17"/>
                <w:color w:val="auto"/>
              </w:rPr>
            </w:pPr>
          </w:p>
        </w:tc>
        <w:tc>
          <w:tcPr>
            <w:tcW w:w="1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c>
          <w:tcPr>
            <w:tcW w:w="1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Liabilities</w:t>
            </w:r>
          </w:p>
        </w:tc>
        <w:tc>
          <w:tcPr>
            <w:tcW w:w="1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Distributions payable</w:t>
            </w:r>
          </w:p>
        </w:tc>
        <w:tc>
          <w:tcPr>
            <w:tcW w:w="1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2,539,357</w:t>
            </w:r>
          </w:p>
        </w:tc>
        <w:tc>
          <w:tcPr>
            <w:tcW w:w="220" w:type="dxa"/>
            <w:vAlign w:val="bottom"/>
          </w:tcPr>
          <w:p>
            <w:pPr>
              <w:spacing w:after="0"/>
              <w:rPr>
                <w:sz w:val="17"/>
                <w:szCs w:val="17"/>
                <w:color w:val="auto"/>
              </w:rPr>
            </w:pP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2,539,357</w:t>
            </w:r>
          </w:p>
        </w:tc>
      </w:tr>
      <w:tr>
        <w:trPr>
          <w:trHeight w:val="202"/>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Payable for investments purchased</w:t>
            </w:r>
          </w:p>
        </w:tc>
        <w:tc>
          <w:tcPr>
            <w:tcW w:w="1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10,802,662</w:t>
            </w:r>
          </w:p>
        </w:tc>
        <w:tc>
          <w:tcPr>
            <w:tcW w:w="220" w:type="dxa"/>
            <w:vAlign w:val="bottom"/>
          </w:tcPr>
          <w:p>
            <w:pPr>
              <w:spacing w:after="0"/>
              <w:rPr>
                <w:sz w:val="17"/>
                <w:szCs w:val="17"/>
                <w:color w:val="auto"/>
              </w:rPr>
            </w:pP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9,367,500</w:t>
            </w:r>
          </w:p>
        </w:tc>
      </w:tr>
      <w:tr>
        <w:trPr>
          <w:trHeight w:val="202"/>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Credit Facility payable (cost--$96,300,000</w:t>
            </w:r>
          </w:p>
        </w:tc>
        <w:tc>
          <w:tcPr>
            <w:tcW w:w="1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4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and $29,600,000, respectively)</w:t>
            </w:r>
          </w:p>
        </w:tc>
        <w:tc>
          <w:tcPr>
            <w:tcW w:w="1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95,698,125</w:t>
            </w:r>
          </w:p>
        </w:tc>
        <w:tc>
          <w:tcPr>
            <w:tcW w:w="220" w:type="dxa"/>
            <w:vAlign w:val="bottom"/>
          </w:tcPr>
          <w:p>
            <w:pPr>
              <w:spacing w:after="0"/>
              <w:rPr>
                <w:sz w:val="17"/>
                <w:szCs w:val="17"/>
                <w:color w:val="auto"/>
              </w:rPr>
            </w:pP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29,600,000</w:t>
            </w: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payable on Credit Facility</w:t>
            </w:r>
          </w:p>
        </w:tc>
        <w:tc>
          <w:tcPr>
            <w:tcW w:w="1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339,854</w:t>
            </w:r>
          </w:p>
        </w:tc>
        <w:tc>
          <w:tcPr>
            <w:tcW w:w="220" w:type="dxa"/>
            <w:vAlign w:val="bottom"/>
          </w:tcPr>
          <w:p>
            <w:pPr>
              <w:spacing w:after="0"/>
              <w:rPr>
                <w:sz w:val="17"/>
                <w:szCs w:val="17"/>
                <w:color w:val="auto"/>
              </w:rPr>
            </w:pP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224,633</w:t>
            </w: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Management fee payable</w:t>
            </w:r>
          </w:p>
        </w:tc>
        <w:tc>
          <w:tcPr>
            <w:tcW w:w="1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1,077,741</w:t>
            </w:r>
          </w:p>
        </w:tc>
        <w:tc>
          <w:tcPr>
            <w:tcW w:w="220" w:type="dxa"/>
            <w:vAlign w:val="bottom"/>
          </w:tcPr>
          <w:p>
            <w:pPr>
              <w:spacing w:after="0"/>
              <w:rPr>
                <w:sz w:val="17"/>
                <w:szCs w:val="17"/>
                <w:color w:val="auto"/>
              </w:rPr>
            </w:pP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956,115</w:t>
            </w: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Performance-based incentive fee payable</w:t>
            </w:r>
          </w:p>
        </w:tc>
        <w:tc>
          <w:tcPr>
            <w:tcW w:w="1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2,936</w:t>
            </w:r>
          </w:p>
        </w:tc>
      </w:tr>
      <w:tr>
        <w:trPr>
          <w:trHeight w:val="202"/>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Accrued other expenses</w:t>
            </w:r>
          </w:p>
        </w:tc>
        <w:tc>
          <w:tcPr>
            <w:tcW w:w="1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378,516</w:t>
            </w:r>
          </w:p>
        </w:tc>
        <w:tc>
          <w:tcPr>
            <w:tcW w:w="220" w:type="dxa"/>
            <w:vAlign w:val="bottom"/>
          </w:tcPr>
          <w:p>
            <w:pPr>
              <w:spacing w:after="0"/>
              <w:rPr>
                <w:sz w:val="17"/>
                <w:szCs w:val="17"/>
                <w:color w:val="auto"/>
              </w:rPr>
            </w:pP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539,347</w:t>
            </w:r>
          </w:p>
        </w:tc>
      </w:tr>
      <w:tr>
        <w:trPr>
          <w:trHeight w:val="203"/>
        </w:trPr>
        <w:tc>
          <w:tcPr>
            <w:tcW w:w="4480" w:type="dxa"/>
            <w:vAlign w:val="bottom"/>
          </w:tcPr>
          <w:p>
            <w:pPr>
              <w:spacing w:after="0"/>
              <w:rPr>
                <w:sz w:val="17"/>
                <w:szCs w:val="17"/>
                <w:color w:val="auto"/>
              </w:rPr>
            </w:pPr>
          </w:p>
        </w:tc>
        <w:tc>
          <w:tcPr>
            <w:tcW w:w="1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c>
          <w:tcPr>
            <w:tcW w:w="1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liabilities</w:t>
            </w:r>
          </w:p>
        </w:tc>
        <w:tc>
          <w:tcPr>
            <w:tcW w:w="1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110,836,255</w:t>
            </w:r>
          </w:p>
        </w:tc>
        <w:tc>
          <w:tcPr>
            <w:tcW w:w="220" w:type="dxa"/>
            <w:vAlign w:val="bottom"/>
          </w:tcPr>
          <w:p>
            <w:pPr>
              <w:spacing w:after="0"/>
              <w:rPr>
                <w:sz w:val="17"/>
                <w:szCs w:val="17"/>
                <w:color w:val="auto"/>
              </w:rPr>
            </w:pP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43,229,888</w:t>
            </w:r>
          </w:p>
        </w:tc>
      </w:tr>
      <w:tr>
        <w:trPr>
          <w:trHeight w:val="203"/>
        </w:trPr>
        <w:tc>
          <w:tcPr>
            <w:tcW w:w="4480" w:type="dxa"/>
            <w:vAlign w:val="bottom"/>
          </w:tcPr>
          <w:p>
            <w:pPr>
              <w:spacing w:after="0"/>
              <w:rPr>
                <w:sz w:val="17"/>
                <w:szCs w:val="17"/>
                <w:color w:val="auto"/>
              </w:rPr>
            </w:pPr>
          </w:p>
        </w:tc>
        <w:tc>
          <w:tcPr>
            <w:tcW w:w="1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c>
          <w:tcPr>
            <w:tcW w:w="1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Commitments and contingencies</w:t>
            </w:r>
          </w:p>
        </w:tc>
        <w:tc>
          <w:tcPr>
            <w:tcW w:w="1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2"/>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assets</w:t>
            </w:r>
          </w:p>
        </w:tc>
        <w:tc>
          <w:tcPr>
            <w:tcW w:w="1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r>
    </w:tbl>
    <w:p>
      <w:pPr>
        <w:sectPr>
          <w:pgSz w:w="11900" w:h="16903" w:orient="portrait"/>
          <w:cols w:equalWidth="0" w:num="1">
            <w:col w:w="11200"/>
          </w:cols>
          <w:pgMar w:left="320" w:top="118" w:right="379" w:bottom="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540" w:type="dxa"/>
            <w:vAlign w:val="bottom"/>
          </w:tcPr>
          <w:p>
            <w:pPr>
              <w:spacing w:after="0"/>
              <w:rPr>
                <w:sz w:val="20"/>
                <w:szCs w:val="20"/>
                <w:color w:val="auto"/>
              </w:rPr>
            </w:pPr>
            <w:r>
              <w:rPr>
                <w:rFonts w:ascii="Courier New" w:cs="Courier New" w:eastAsia="Courier New" w:hAnsi="Courier New"/>
                <w:sz w:val="18"/>
                <w:szCs w:val="18"/>
                <w:color w:val="auto"/>
                <w:w w:val="99"/>
              </w:rPr>
              <w:t>Common stock, 26,730,074 shares issued and</w:t>
            </w: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4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outstanding. Par value $0.001 per share</w:t>
            </w: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4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and 100,000,000 shares authorized.</w:t>
            </w:r>
          </w:p>
        </w:tc>
        <w:tc>
          <w:tcPr>
            <w:tcW w:w="100" w:type="dxa"/>
            <w:vAlign w:val="bottom"/>
          </w:tcPr>
          <w:p>
            <w:pPr>
              <w:spacing w:after="0"/>
              <w:rPr>
                <w:sz w:val="17"/>
                <w:szCs w:val="17"/>
                <w:color w:val="auto"/>
              </w:rPr>
            </w:pP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26,730</w:t>
            </w:r>
          </w:p>
        </w:tc>
        <w:tc>
          <w:tcPr>
            <w:tcW w:w="300" w:type="dxa"/>
            <w:vAlign w:val="bottom"/>
          </w:tcPr>
          <w:p>
            <w:pPr>
              <w:spacing w:after="0"/>
              <w:rPr>
                <w:sz w:val="17"/>
                <w:szCs w:val="17"/>
                <w:color w:val="auto"/>
              </w:rPr>
            </w:pP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26,730</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Paid-in capital in excess of par value</w:t>
            </w:r>
          </w:p>
        </w:tc>
        <w:tc>
          <w:tcPr>
            <w:tcW w:w="100" w:type="dxa"/>
            <w:vAlign w:val="bottom"/>
          </w:tcPr>
          <w:p>
            <w:pPr>
              <w:spacing w:after="0"/>
              <w:rPr>
                <w:sz w:val="17"/>
                <w:szCs w:val="17"/>
                <w:color w:val="auto"/>
              </w:rPr>
            </w:pP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371,502,801</w:t>
            </w:r>
          </w:p>
        </w:tc>
        <w:tc>
          <w:tcPr>
            <w:tcW w:w="300" w:type="dxa"/>
            <w:vAlign w:val="bottom"/>
          </w:tcPr>
          <w:p>
            <w:pPr>
              <w:spacing w:after="0"/>
              <w:rPr>
                <w:sz w:val="17"/>
                <w:szCs w:val="17"/>
                <w:color w:val="auto"/>
              </w:rPr>
            </w:pP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371,502,801</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Undistributed net investment income</w:t>
            </w:r>
          </w:p>
        </w:tc>
        <w:tc>
          <w:tcPr>
            <w:tcW w:w="100" w:type="dxa"/>
            <w:vAlign w:val="bottom"/>
          </w:tcPr>
          <w:p>
            <w:pPr>
              <w:spacing w:after="0"/>
              <w:rPr>
                <w:sz w:val="17"/>
                <w:szCs w:val="17"/>
                <w:color w:val="auto"/>
              </w:rPr>
            </w:pP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4,459,360</w:t>
            </w:r>
          </w:p>
        </w:tc>
        <w:tc>
          <w:tcPr>
            <w:tcW w:w="300" w:type="dxa"/>
            <w:vAlign w:val="bottom"/>
          </w:tcPr>
          <w:p>
            <w:pPr>
              <w:spacing w:after="0"/>
              <w:rPr>
                <w:sz w:val="17"/>
                <w:szCs w:val="17"/>
                <w:color w:val="auto"/>
              </w:rPr>
            </w:pP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6,991,473</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Accumulated net realized (loss) gain on</w:t>
            </w: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4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investments</w:t>
            </w:r>
          </w:p>
        </w:tc>
        <w:tc>
          <w:tcPr>
            <w:tcW w:w="100" w:type="dxa"/>
            <w:vAlign w:val="bottom"/>
          </w:tcPr>
          <w:p>
            <w:pPr>
              <w:spacing w:after="0"/>
              <w:rPr>
                <w:sz w:val="17"/>
                <w:szCs w:val="17"/>
                <w:color w:val="auto"/>
              </w:rPr>
            </w:pPr>
          </w:p>
        </w:tc>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(2,836,146)</w:t>
            </w:r>
          </w:p>
        </w:tc>
        <w:tc>
          <w:tcPr>
            <w:tcW w:w="300" w:type="dxa"/>
            <w:vAlign w:val="bottom"/>
          </w:tcPr>
          <w:p>
            <w:pPr>
              <w:spacing w:after="0"/>
              <w:rPr>
                <w:sz w:val="17"/>
                <w:szCs w:val="17"/>
                <w:color w:val="auto"/>
              </w:rPr>
            </w:pP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395,862</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Net unrealized depreciation on investments</w:t>
            </w:r>
          </w:p>
        </w:tc>
        <w:tc>
          <w:tcPr>
            <w:tcW w:w="100" w:type="dxa"/>
            <w:vAlign w:val="bottom"/>
          </w:tcPr>
          <w:p>
            <w:pPr>
              <w:spacing w:after="0"/>
              <w:rPr>
                <w:sz w:val="17"/>
                <w:szCs w:val="17"/>
                <w:color w:val="auto"/>
              </w:rPr>
            </w:pPr>
          </w:p>
        </w:tc>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(6,735,363)</w:t>
            </w:r>
          </w:p>
        </w:tc>
        <w:tc>
          <w:tcPr>
            <w:tcW w:w="300" w:type="dxa"/>
            <w:vAlign w:val="bottom"/>
          </w:tcPr>
          <w:p>
            <w:pPr>
              <w:spacing w:after="0"/>
              <w:rPr>
                <w:sz w:val="17"/>
                <w:szCs w:val="17"/>
                <w:color w:val="auto"/>
              </w:rPr>
            </w:pPr>
          </w:p>
        </w:tc>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(6,026,417)</w:t>
            </w:r>
          </w:p>
        </w:tc>
      </w:tr>
      <w:tr>
        <w:trPr>
          <w:trHeight w:val="202"/>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unrealized depreciation on Credit</w:t>
            </w: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4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Facility</w:t>
            </w:r>
          </w:p>
        </w:tc>
        <w:tc>
          <w:tcPr>
            <w:tcW w:w="100" w:type="dxa"/>
            <w:vAlign w:val="bottom"/>
          </w:tcPr>
          <w:p>
            <w:pPr>
              <w:spacing w:after="0"/>
              <w:rPr>
                <w:sz w:val="17"/>
                <w:szCs w:val="17"/>
                <w:color w:val="auto"/>
              </w:rPr>
            </w:pP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601,875</w:t>
            </w:r>
          </w:p>
        </w:tc>
        <w:tc>
          <w:tcPr>
            <w:tcW w:w="300" w:type="dxa"/>
            <w:vAlign w:val="bottom"/>
          </w:tcPr>
          <w:p>
            <w:pPr>
              <w:spacing w:after="0"/>
              <w:rPr>
                <w:sz w:val="17"/>
                <w:szCs w:val="17"/>
                <w:color w:val="auto"/>
              </w:rPr>
            </w:pP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540" w:type="dxa"/>
            <w:vAlign w:val="bottom"/>
          </w:tcPr>
          <w:p>
            <w:pPr>
              <w:spacing w:after="0"/>
              <w:rPr>
                <w:sz w:val="17"/>
                <w:szCs w:val="17"/>
                <w:color w:val="auto"/>
              </w:rPr>
            </w:pPr>
          </w:p>
        </w:tc>
        <w:tc>
          <w:tcPr>
            <w:tcW w:w="17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w:t>
            </w:r>
          </w:p>
        </w:tc>
        <w:tc>
          <w:tcPr>
            <w:tcW w:w="17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45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net assets</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367,019,257</w:t>
            </w:r>
          </w:p>
        </w:tc>
        <w:tc>
          <w:tcPr>
            <w:tcW w:w="3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372,890,449</w:t>
            </w:r>
          </w:p>
        </w:tc>
      </w:tr>
      <w:tr>
        <w:trPr>
          <w:trHeight w:val="203"/>
        </w:trPr>
        <w:tc>
          <w:tcPr>
            <w:tcW w:w="4540" w:type="dxa"/>
            <w:vAlign w:val="bottom"/>
          </w:tcPr>
          <w:p>
            <w:pPr>
              <w:spacing w:after="0"/>
              <w:rPr>
                <w:sz w:val="17"/>
                <w:szCs w:val="17"/>
                <w:color w:val="auto"/>
              </w:rPr>
            </w:pPr>
          </w:p>
        </w:tc>
        <w:tc>
          <w:tcPr>
            <w:tcW w:w="17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w:t>
            </w:r>
          </w:p>
        </w:tc>
        <w:tc>
          <w:tcPr>
            <w:tcW w:w="17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45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liabilities and net assets</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477,855,512</w:t>
            </w:r>
          </w:p>
        </w:tc>
        <w:tc>
          <w:tcPr>
            <w:tcW w:w="3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416,120,337</w:t>
            </w:r>
          </w:p>
        </w:tc>
      </w:tr>
      <w:tr>
        <w:trPr>
          <w:trHeight w:val="203"/>
        </w:trPr>
        <w:tc>
          <w:tcPr>
            <w:tcW w:w="4540" w:type="dxa"/>
            <w:vAlign w:val="bottom"/>
          </w:tcPr>
          <w:p>
            <w:pPr>
              <w:spacing w:after="0"/>
              <w:rPr>
                <w:sz w:val="17"/>
                <w:szCs w:val="17"/>
                <w:color w:val="auto"/>
              </w:rPr>
            </w:pPr>
          </w:p>
        </w:tc>
        <w:tc>
          <w:tcPr>
            <w:tcW w:w="17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w:t>
            </w:r>
          </w:p>
        </w:tc>
        <w:tc>
          <w:tcPr>
            <w:tcW w:w="17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asset value per share</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13.73</w:t>
            </w:r>
          </w:p>
        </w:tc>
        <w:tc>
          <w:tcPr>
            <w:tcW w:w="3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13.95</w:t>
            </w:r>
          </w:p>
        </w:tc>
      </w:tr>
      <w:tr>
        <w:trPr>
          <w:trHeight w:val="203"/>
        </w:trPr>
        <w:tc>
          <w:tcPr>
            <w:tcW w:w="4540" w:type="dxa"/>
            <w:vAlign w:val="bottom"/>
          </w:tcPr>
          <w:p>
            <w:pPr>
              <w:spacing w:after="0"/>
              <w:rPr>
                <w:sz w:val="17"/>
                <w:szCs w:val="17"/>
                <w:color w:val="auto"/>
              </w:rPr>
            </w:pPr>
          </w:p>
        </w:tc>
        <w:tc>
          <w:tcPr>
            <w:tcW w:w="17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w:t>
            </w:r>
          </w:p>
        </w:tc>
        <w:tc>
          <w:tcPr>
            <w:tcW w:w="17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810"/>
        </w:trPr>
        <w:tc>
          <w:tcPr>
            <w:tcW w:w="8020" w:type="dxa"/>
            <w:vAlign w:val="bottom"/>
            <w:gridSpan w:val="5"/>
          </w:tcPr>
          <w:p>
            <w:pPr>
              <w:jc w:val="center"/>
              <w:ind w:right="12"/>
              <w:spacing w:after="0"/>
              <w:rPr>
                <w:sz w:val="20"/>
                <w:szCs w:val="20"/>
                <w:color w:val="auto"/>
              </w:rPr>
            </w:pPr>
            <w:r>
              <w:rPr>
                <w:rFonts w:ascii="Courier New" w:cs="Courier New" w:eastAsia="Courier New" w:hAnsi="Courier New"/>
                <w:sz w:val="18"/>
                <w:szCs w:val="18"/>
                <w:color w:val="auto"/>
                <w:w w:val="97"/>
              </w:rPr>
              <w:t>PENNANTPARK FLOATING RATE CAPITAL LTD. AND SUBSIDIARIES</w:t>
            </w:r>
          </w:p>
        </w:tc>
      </w:tr>
      <w:tr>
        <w:trPr>
          <w:trHeight w:val="203"/>
        </w:trPr>
        <w:tc>
          <w:tcPr>
            <w:tcW w:w="6280" w:type="dxa"/>
            <w:vAlign w:val="bottom"/>
            <w:gridSpan w:val="3"/>
          </w:tcPr>
          <w:p>
            <w:pPr>
              <w:jc w:val="center"/>
              <w:ind w:left="1532"/>
              <w:spacing w:after="0" w:line="203" w:lineRule="exact"/>
              <w:rPr>
                <w:sz w:val="20"/>
                <w:szCs w:val="20"/>
                <w:color w:val="auto"/>
              </w:rPr>
            </w:pPr>
            <w:r>
              <w:rPr>
                <w:rFonts w:ascii="Courier New" w:cs="Courier New" w:eastAsia="Courier New" w:hAnsi="Courier New"/>
                <w:sz w:val="18"/>
                <w:szCs w:val="18"/>
                <w:color w:val="auto"/>
                <w:w w:val="97"/>
              </w:rPr>
              <w:t>CONSOLIDATED STATEMENTS OF OPERATIONS</w:t>
            </w:r>
          </w:p>
        </w:tc>
        <w:tc>
          <w:tcPr>
            <w:tcW w:w="3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4540" w:type="dxa"/>
            <w:vAlign w:val="bottom"/>
          </w:tcPr>
          <w:p>
            <w:pPr>
              <w:jc w:val="center"/>
              <w:ind w:left="3292"/>
              <w:spacing w:after="0" w:line="203" w:lineRule="exact"/>
              <w:rPr>
                <w:sz w:val="20"/>
                <w:szCs w:val="20"/>
                <w:color w:val="auto"/>
              </w:rPr>
            </w:pPr>
            <w:r>
              <w:rPr>
                <w:rFonts w:ascii="Courier New" w:cs="Courier New" w:eastAsia="Courier New" w:hAnsi="Courier New"/>
                <w:sz w:val="18"/>
                <w:szCs w:val="18"/>
                <w:color w:val="auto"/>
                <w:w w:val="97"/>
              </w:rPr>
              <w:t>(Unaudited)</w:t>
            </w: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405"/>
        </w:trPr>
        <w:tc>
          <w:tcPr>
            <w:tcW w:w="4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80" w:type="dxa"/>
            <w:vAlign w:val="bottom"/>
            <w:gridSpan w:val="3"/>
          </w:tcPr>
          <w:p>
            <w:pPr>
              <w:jc w:val="right"/>
              <w:ind w:right="32"/>
              <w:spacing w:after="0"/>
              <w:rPr>
                <w:sz w:val="20"/>
                <w:szCs w:val="20"/>
                <w:color w:val="auto"/>
              </w:rPr>
            </w:pPr>
            <w:r>
              <w:rPr>
                <w:rFonts w:ascii="Courier New" w:cs="Courier New" w:eastAsia="Courier New" w:hAnsi="Courier New"/>
                <w:sz w:val="18"/>
                <w:szCs w:val="18"/>
                <w:color w:val="auto"/>
                <w:w w:val="96"/>
              </w:rPr>
              <w:t>Three Months Ended December 31,</w:t>
            </w:r>
          </w:p>
        </w:tc>
      </w:tr>
      <w:tr>
        <w:trPr>
          <w:trHeight w:val="203"/>
        </w:trPr>
        <w:tc>
          <w:tcPr>
            <w:tcW w:w="4540" w:type="dxa"/>
            <w:vAlign w:val="bottom"/>
          </w:tcPr>
          <w:p>
            <w:pPr>
              <w:spacing w:after="0"/>
              <w:rPr>
                <w:sz w:val="17"/>
                <w:szCs w:val="17"/>
                <w:color w:val="auto"/>
              </w:rPr>
            </w:pPr>
          </w:p>
        </w:tc>
        <w:tc>
          <w:tcPr>
            <w:tcW w:w="3480" w:type="dxa"/>
            <w:vAlign w:val="bottom"/>
            <w:gridSpan w:val="4"/>
          </w:tcPr>
          <w:p>
            <w:pPr>
              <w:jc w:val="right"/>
              <w:ind w:right="32"/>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4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2015</w:t>
            </w:r>
          </w:p>
        </w:tc>
        <w:tc>
          <w:tcPr>
            <w:tcW w:w="300" w:type="dxa"/>
            <w:vAlign w:val="bottom"/>
          </w:tcPr>
          <w:p>
            <w:pPr>
              <w:spacing w:after="0"/>
              <w:rPr>
                <w:sz w:val="17"/>
                <w:szCs w:val="17"/>
                <w:color w:val="auto"/>
              </w:rPr>
            </w:pPr>
          </w:p>
        </w:tc>
        <w:tc>
          <w:tcPr>
            <w:tcW w:w="14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2014</w:t>
            </w:r>
          </w:p>
        </w:tc>
      </w:tr>
      <w:tr>
        <w:trPr>
          <w:trHeight w:val="203"/>
        </w:trPr>
        <w:tc>
          <w:tcPr>
            <w:tcW w:w="4540" w:type="dxa"/>
            <w:vAlign w:val="bottom"/>
          </w:tcPr>
          <w:p>
            <w:pPr>
              <w:spacing w:after="0"/>
              <w:rPr>
                <w:sz w:val="17"/>
                <w:szCs w:val="17"/>
                <w:color w:val="auto"/>
              </w:rPr>
            </w:pPr>
          </w:p>
        </w:tc>
        <w:tc>
          <w:tcPr>
            <w:tcW w:w="17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w:t>
            </w:r>
          </w:p>
        </w:tc>
        <w:tc>
          <w:tcPr>
            <w:tcW w:w="17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Investment income:</w:t>
            </w: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From non-controlled, non-affiliated</w:t>
            </w: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4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investments:</w:t>
            </w: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8,612,862</w:t>
            </w:r>
          </w:p>
        </w:tc>
        <w:tc>
          <w:tcPr>
            <w:tcW w:w="3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7,448,774</w:t>
            </w: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income</w:t>
            </w:r>
          </w:p>
        </w:tc>
        <w:tc>
          <w:tcPr>
            <w:tcW w:w="100" w:type="dxa"/>
            <w:vAlign w:val="bottom"/>
          </w:tcPr>
          <w:p>
            <w:pPr>
              <w:spacing w:after="0"/>
              <w:rPr>
                <w:sz w:val="17"/>
                <w:szCs w:val="17"/>
                <w:color w:val="auto"/>
              </w:rPr>
            </w:pP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102,685</w:t>
            </w:r>
          </w:p>
        </w:tc>
        <w:tc>
          <w:tcPr>
            <w:tcW w:w="300" w:type="dxa"/>
            <w:vAlign w:val="bottom"/>
          </w:tcPr>
          <w:p>
            <w:pPr>
              <w:spacing w:after="0"/>
              <w:rPr>
                <w:sz w:val="17"/>
                <w:szCs w:val="17"/>
                <w:color w:val="auto"/>
              </w:rPr>
            </w:pP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27,946</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From controlled, affiliated investments:</w:t>
            </w: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w:t>
            </w:r>
          </w:p>
        </w:tc>
        <w:tc>
          <w:tcPr>
            <w:tcW w:w="100" w:type="dxa"/>
            <w:vAlign w:val="bottom"/>
          </w:tcPr>
          <w:p>
            <w:pPr>
              <w:spacing w:after="0"/>
              <w:rPr>
                <w:sz w:val="17"/>
                <w:szCs w:val="17"/>
                <w:color w:val="auto"/>
              </w:rPr>
            </w:pP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40,933</w:t>
            </w:r>
          </w:p>
        </w:tc>
        <w:tc>
          <w:tcPr>
            <w:tcW w:w="300" w:type="dxa"/>
            <w:vAlign w:val="bottom"/>
          </w:tcPr>
          <w:p>
            <w:pPr>
              <w:spacing w:after="0"/>
              <w:rPr>
                <w:sz w:val="17"/>
                <w:szCs w:val="17"/>
                <w:color w:val="auto"/>
              </w:rPr>
            </w:pP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540" w:type="dxa"/>
            <w:vAlign w:val="bottom"/>
          </w:tcPr>
          <w:p>
            <w:pPr>
              <w:spacing w:after="0"/>
              <w:rPr>
                <w:sz w:val="17"/>
                <w:szCs w:val="17"/>
                <w:color w:val="auto"/>
              </w:rPr>
            </w:pPr>
          </w:p>
        </w:tc>
        <w:tc>
          <w:tcPr>
            <w:tcW w:w="17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w:t>
            </w:r>
          </w:p>
        </w:tc>
        <w:tc>
          <w:tcPr>
            <w:tcW w:w="17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investment income</w:t>
            </w:r>
          </w:p>
        </w:tc>
        <w:tc>
          <w:tcPr>
            <w:tcW w:w="100" w:type="dxa"/>
            <w:vAlign w:val="bottom"/>
          </w:tcPr>
          <w:p>
            <w:pPr>
              <w:spacing w:after="0"/>
              <w:rPr>
                <w:sz w:val="17"/>
                <w:szCs w:val="17"/>
                <w:color w:val="auto"/>
              </w:rPr>
            </w:pP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8,756,480</w:t>
            </w:r>
          </w:p>
        </w:tc>
        <w:tc>
          <w:tcPr>
            <w:tcW w:w="300" w:type="dxa"/>
            <w:vAlign w:val="bottom"/>
          </w:tcPr>
          <w:p>
            <w:pPr>
              <w:spacing w:after="0"/>
              <w:rPr>
                <w:sz w:val="17"/>
                <w:szCs w:val="17"/>
                <w:color w:val="auto"/>
              </w:rPr>
            </w:pP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7,476,720</w:t>
            </w:r>
          </w:p>
        </w:tc>
      </w:tr>
      <w:tr>
        <w:trPr>
          <w:trHeight w:val="203"/>
        </w:trPr>
        <w:tc>
          <w:tcPr>
            <w:tcW w:w="4540" w:type="dxa"/>
            <w:vAlign w:val="bottom"/>
          </w:tcPr>
          <w:p>
            <w:pPr>
              <w:spacing w:after="0"/>
              <w:rPr>
                <w:sz w:val="17"/>
                <w:szCs w:val="17"/>
                <w:color w:val="auto"/>
              </w:rPr>
            </w:pPr>
          </w:p>
        </w:tc>
        <w:tc>
          <w:tcPr>
            <w:tcW w:w="17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w:t>
            </w:r>
          </w:p>
        </w:tc>
        <w:tc>
          <w:tcPr>
            <w:tcW w:w="17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Expenses:</w:t>
            </w: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Base management fee</w:t>
            </w:r>
          </w:p>
        </w:tc>
        <w:tc>
          <w:tcPr>
            <w:tcW w:w="100" w:type="dxa"/>
            <w:vAlign w:val="bottom"/>
          </w:tcPr>
          <w:p>
            <w:pPr>
              <w:spacing w:after="0"/>
              <w:rPr>
                <w:sz w:val="17"/>
                <w:szCs w:val="17"/>
                <w:color w:val="auto"/>
              </w:rPr>
            </w:pP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1,077,740</w:t>
            </w:r>
          </w:p>
        </w:tc>
        <w:tc>
          <w:tcPr>
            <w:tcW w:w="300" w:type="dxa"/>
            <w:vAlign w:val="bottom"/>
          </w:tcPr>
          <w:p>
            <w:pPr>
              <w:spacing w:after="0"/>
              <w:rPr>
                <w:sz w:val="17"/>
                <w:szCs w:val="17"/>
                <w:color w:val="auto"/>
              </w:rPr>
            </w:pP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883,370</w:t>
            </w: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Performance-based incentive fee</w:t>
            </w:r>
          </w:p>
        </w:tc>
        <w:tc>
          <w:tcPr>
            <w:tcW w:w="100" w:type="dxa"/>
            <w:vAlign w:val="bottom"/>
          </w:tcPr>
          <w:p>
            <w:pPr>
              <w:spacing w:after="0"/>
              <w:rPr>
                <w:sz w:val="17"/>
                <w:szCs w:val="17"/>
                <w:color w:val="auto"/>
              </w:rPr>
            </w:pPr>
          </w:p>
        </w:tc>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(2,936)</w:t>
            </w:r>
          </w:p>
        </w:tc>
        <w:tc>
          <w:tcPr>
            <w:tcW w:w="300" w:type="dxa"/>
            <w:vAlign w:val="bottom"/>
          </w:tcPr>
          <w:p>
            <w:pPr>
              <w:spacing w:after="0"/>
              <w:rPr>
                <w:sz w:val="17"/>
                <w:szCs w:val="17"/>
                <w:color w:val="auto"/>
              </w:rPr>
            </w:pPr>
          </w:p>
        </w:tc>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(314,057)</w:t>
            </w: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Interest and expenses on Credit Facility</w:t>
            </w:r>
          </w:p>
        </w:tc>
        <w:tc>
          <w:tcPr>
            <w:tcW w:w="100" w:type="dxa"/>
            <w:vAlign w:val="bottom"/>
          </w:tcPr>
          <w:p>
            <w:pPr>
              <w:spacing w:after="0"/>
              <w:rPr>
                <w:sz w:val="17"/>
                <w:szCs w:val="17"/>
                <w:color w:val="auto"/>
              </w:rPr>
            </w:pP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939,682</w:t>
            </w:r>
          </w:p>
        </w:tc>
        <w:tc>
          <w:tcPr>
            <w:tcW w:w="300" w:type="dxa"/>
            <w:vAlign w:val="bottom"/>
          </w:tcPr>
          <w:p>
            <w:pPr>
              <w:spacing w:after="0"/>
              <w:rPr>
                <w:sz w:val="17"/>
                <w:szCs w:val="17"/>
                <w:color w:val="auto"/>
              </w:rPr>
            </w:pP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885,758</w:t>
            </w: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Administrative services expenses</w:t>
            </w:r>
          </w:p>
        </w:tc>
        <w:tc>
          <w:tcPr>
            <w:tcW w:w="100" w:type="dxa"/>
            <w:vAlign w:val="bottom"/>
          </w:tcPr>
          <w:p>
            <w:pPr>
              <w:spacing w:after="0"/>
              <w:rPr>
                <w:sz w:val="17"/>
                <w:szCs w:val="17"/>
                <w:color w:val="auto"/>
              </w:rPr>
            </w:pP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200,000</w:t>
            </w:r>
          </w:p>
        </w:tc>
        <w:tc>
          <w:tcPr>
            <w:tcW w:w="300" w:type="dxa"/>
            <w:vAlign w:val="bottom"/>
          </w:tcPr>
          <w:p>
            <w:pPr>
              <w:spacing w:after="0"/>
              <w:rPr>
                <w:sz w:val="17"/>
                <w:szCs w:val="17"/>
                <w:color w:val="auto"/>
              </w:rPr>
            </w:pP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226,000</w:t>
            </w: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general and administrative</w:t>
            </w: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4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expenses</w:t>
            </w:r>
          </w:p>
        </w:tc>
        <w:tc>
          <w:tcPr>
            <w:tcW w:w="100" w:type="dxa"/>
            <w:vAlign w:val="bottom"/>
          </w:tcPr>
          <w:p>
            <w:pPr>
              <w:spacing w:after="0"/>
              <w:rPr>
                <w:sz w:val="17"/>
                <w:szCs w:val="17"/>
                <w:color w:val="auto"/>
              </w:rPr>
            </w:pP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548,314</w:t>
            </w:r>
          </w:p>
        </w:tc>
        <w:tc>
          <w:tcPr>
            <w:tcW w:w="300" w:type="dxa"/>
            <w:vAlign w:val="bottom"/>
          </w:tcPr>
          <w:p>
            <w:pPr>
              <w:spacing w:after="0"/>
              <w:rPr>
                <w:sz w:val="17"/>
                <w:szCs w:val="17"/>
                <w:color w:val="auto"/>
              </w:rPr>
            </w:pP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217,203</w:t>
            </w:r>
          </w:p>
        </w:tc>
      </w:tr>
      <w:tr>
        <w:trPr>
          <w:trHeight w:val="203"/>
        </w:trPr>
        <w:tc>
          <w:tcPr>
            <w:tcW w:w="4540" w:type="dxa"/>
            <w:vAlign w:val="bottom"/>
          </w:tcPr>
          <w:p>
            <w:pPr>
              <w:spacing w:after="0"/>
              <w:rPr>
                <w:sz w:val="17"/>
                <w:szCs w:val="17"/>
                <w:color w:val="auto"/>
              </w:rPr>
            </w:pPr>
          </w:p>
        </w:tc>
        <w:tc>
          <w:tcPr>
            <w:tcW w:w="17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w:t>
            </w:r>
          </w:p>
        </w:tc>
        <w:tc>
          <w:tcPr>
            <w:tcW w:w="17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Expenses before provision for taxes and</w:t>
            </w: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4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amendment costs</w:t>
            </w:r>
          </w:p>
        </w:tc>
        <w:tc>
          <w:tcPr>
            <w:tcW w:w="100" w:type="dxa"/>
            <w:vAlign w:val="bottom"/>
          </w:tcPr>
          <w:p>
            <w:pPr>
              <w:spacing w:after="0"/>
              <w:rPr>
                <w:sz w:val="17"/>
                <w:szCs w:val="17"/>
                <w:color w:val="auto"/>
              </w:rPr>
            </w:pP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2,762,800</w:t>
            </w:r>
          </w:p>
        </w:tc>
        <w:tc>
          <w:tcPr>
            <w:tcW w:w="300" w:type="dxa"/>
            <w:vAlign w:val="bottom"/>
          </w:tcPr>
          <w:p>
            <w:pPr>
              <w:spacing w:after="0"/>
              <w:rPr>
                <w:sz w:val="17"/>
                <w:szCs w:val="17"/>
                <w:color w:val="auto"/>
              </w:rPr>
            </w:pP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1,898,274</w:t>
            </w:r>
          </w:p>
        </w:tc>
      </w:tr>
      <w:tr>
        <w:trPr>
          <w:trHeight w:val="202"/>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Provision for taxes</w:t>
            </w:r>
          </w:p>
        </w:tc>
        <w:tc>
          <w:tcPr>
            <w:tcW w:w="100" w:type="dxa"/>
            <w:vAlign w:val="bottom"/>
          </w:tcPr>
          <w:p>
            <w:pPr>
              <w:spacing w:after="0"/>
              <w:rPr>
                <w:sz w:val="17"/>
                <w:szCs w:val="17"/>
                <w:color w:val="auto"/>
              </w:rPr>
            </w:pP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300" w:type="dxa"/>
            <w:vAlign w:val="bottom"/>
          </w:tcPr>
          <w:p>
            <w:pPr>
              <w:spacing w:after="0"/>
              <w:rPr>
                <w:sz w:val="17"/>
                <w:szCs w:val="17"/>
                <w:color w:val="auto"/>
              </w:rPr>
            </w:pP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110,000</w:t>
            </w: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Credit Facility amendment costs</w:t>
            </w:r>
          </w:p>
        </w:tc>
        <w:tc>
          <w:tcPr>
            <w:tcW w:w="100" w:type="dxa"/>
            <w:vAlign w:val="bottom"/>
          </w:tcPr>
          <w:p>
            <w:pPr>
              <w:spacing w:after="0"/>
              <w:rPr>
                <w:sz w:val="17"/>
                <w:szCs w:val="17"/>
                <w:color w:val="auto"/>
              </w:rPr>
            </w:pP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907,722</w:t>
            </w:r>
          </w:p>
        </w:tc>
        <w:tc>
          <w:tcPr>
            <w:tcW w:w="300" w:type="dxa"/>
            <w:vAlign w:val="bottom"/>
          </w:tcPr>
          <w:p>
            <w:pPr>
              <w:spacing w:after="0"/>
              <w:rPr>
                <w:sz w:val="17"/>
                <w:szCs w:val="17"/>
                <w:color w:val="auto"/>
              </w:rPr>
            </w:pP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540" w:type="dxa"/>
            <w:vAlign w:val="bottom"/>
          </w:tcPr>
          <w:p>
            <w:pPr>
              <w:spacing w:after="0"/>
              <w:rPr>
                <w:sz w:val="17"/>
                <w:szCs w:val="17"/>
                <w:color w:val="auto"/>
              </w:rPr>
            </w:pPr>
          </w:p>
        </w:tc>
        <w:tc>
          <w:tcPr>
            <w:tcW w:w="17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w:t>
            </w:r>
          </w:p>
        </w:tc>
        <w:tc>
          <w:tcPr>
            <w:tcW w:w="17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expenses</w:t>
            </w:r>
          </w:p>
        </w:tc>
        <w:tc>
          <w:tcPr>
            <w:tcW w:w="100" w:type="dxa"/>
            <w:vAlign w:val="bottom"/>
          </w:tcPr>
          <w:p>
            <w:pPr>
              <w:spacing w:after="0"/>
              <w:rPr>
                <w:sz w:val="17"/>
                <w:szCs w:val="17"/>
                <w:color w:val="auto"/>
              </w:rPr>
            </w:pP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3,670,522</w:t>
            </w:r>
          </w:p>
        </w:tc>
        <w:tc>
          <w:tcPr>
            <w:tcW w:w="300" w:type="dxa"/>
            <w:vAlign w:val="bottom"/>
          </w:tcPr>
          <w:p>
            <w:pPr>
              <w:spacing w:after="0"/>
              <w:rPr>
                <w:sz w:val="17"/>
                <w:szCs w:val="17"/>
                <w:color w:val="auto"/>
              </w:rPr>
            </w:pP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2,008,274</w:t>
            </w:r>
          </w:p>
        </w:tc>
      </w:tr>
      <w:tr>
        <w:trPr>
          <w:trHeight w:val="203"/>
        </w:trPr>
        <w:tc>
          <w:tcPr>
            <w:tcW w:w="4540" w:type="dxa"/>
            <w:vAlign w:val="bottom"/>
          </w:tcPr>
          <w:p>
            <w:pPr>
              <w:spacing w:after="0"/>
              <w:rPr>
                <w:sz w:val="17"/>
                <w:szCs w:val="17"/>
                <w:color w:val="auto"/>
              </w:rPr>
            </w:pPr>
          </w:p>
        </w:tc>
        <w:tc>
          <w:tcPr>
            <w:tcW w:w="17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w:t>
            </w:r>
          </w:p>
        </w:tc>
        <w:tc>
          <w:tcPr>
            <w:tcW w:w="17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investment income</w:t>
            </w:r>
          </w:p>
        </w:tc>
        <w:tc>
          <w:tcPr>
            <w:tcW w:w="100" w:type="dxa"/>
            <w:vAlign w:val="bottom"/>
          </w:tcPr>
          <w:p>
            <w:pPr>
              <w:spacing w:after="0"/>
              <w:rPr>
                <w:sz w:val="17"/>
                <w:szCs w:val="17"/>
                <w:color w:val="auto"/>
              </w:rPr>
            </w:pP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5,085,958</w:t>
            </w:r>
          </w:p>
        </w:tc>
        <w:tc>
          <w:tcPr>
            <w:tcW w:w="300" w:type="dxa"/>
            <w:vAlign w:val="bottom"/>
          </w:tcPr>
          <w:p>
            <w:pPr>
              <w:spacing w:after="0"/>
              <w:rPr>
                <w:sz w:val="17"/>
                <w:szCs w:val="17"/>
                <w:color w:val="auto"/>
              </w:rPr>
            </w:pP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5,468,446</w:t>
            </w:r>
          </w:p>
        </w:tc>
      </w:tr>
      <w:tr>
        <w:trPr>
          <w:trHeight w:val="203"/>
        </w:trPr>
        <w:tc>
          <w:tcPr>
            <w:tcW w:w="4540" w:type="dxa"/>
            <w:vAlign w:val="bottom"/>
          </w:tcPr>
          <w:p>
            <w:pPr>
              <w:spacing w:after="0"/>
              <w:rPr>
                <w:sz w:val="17"/>
                <w:szCs w:val="17"/>
                <w:color w:val="auto"/>
              </w:rPr>
            </w:pPr>
          </w:p>
        </w:tc>
        <w:tc>
          <w:tcPr>
            <w:tcW w:w="17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w:t>
            </w:r>
          </w:p>
        </w:tc>
        <w:tc>
          <w:tcPr>
            <w:tcW w:w="17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Realized and unrealized loss on</w:t>
            </w: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4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investments and Credit Facility:</w:t>
            </w: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realized loss on investments</w:t>
            </w:r>
          </w:p>
        </w:tc>
        <w:tc>
          <w:tcPr>
            <w:tcW w:w="100" w:type="dxa"/>
            <w:vAlign w:val="bottom"/>
          </w:tcPr>
          <w:p>
            <w:pPr>
              <w:spacing w:after="0"/>
              <w:rPr>
                <w:sz w:val="17"/>
                <w:szCs w:val="17"/>
                <w:color w:val="auto"/>
              </w:rPr>
            </w:pPr>
          </w:p>
        </w:tc>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(3,232,008)</w:t>
            </w:r>
          </w:p>
        </w:tc>
        <w:tc>
          <w:tcPr>
            <w:tcW w:w="300" w:type="dxa"/>
            <w:vAlign w:val="bottom"/>
          </w:tcPr>
          <w:p>
            <w:pPr>
              <w:spacing w:after="0"/>
              <w:rPr>
                <w:sz w:val="17"/>
                <w:szCs w:val="17"/>
                <w:color w:val="auto"/>
              </w:rPr>
            </w:pPr>
          </w:p>
        </w:tc>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(173,989)</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change in unrealized depreciation on:</w:t>
            </w: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Non-controlled, non-affiliated</w:t>
            </w: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4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investments</w:t>
            </w:r>
          </w:p>
        </w:tc>
        <w:tc>
          <w:tcPr>
            <w:tcW w:w="100" w:type="dxa"/>
            <w:vAlign w:val="bottom"/>
          </w:tcPr>
          <w:p>
            <w:pPr>
              <w:spacing w:after="0"/>
              <w:rPr>
                <w:sz w:val="17"/>
                <w:szCs w:val="17"/>
                <w:color w:val="auto"/>
              </w:rPr>
            </w:pPr>
          </w:p>
        </w:tc>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(708,946)</w:t>
            </w:r>
          </w:p>
        </w:tc>
        <w:tc>
          <w:tcPr>
            <w:tcW w:w="300" w:type="dxa"/>
            <w:vAlign w:val="bottom"/>
          </w:tcPr>
          <w:p>
            <w:pPr>
              <w:spacing w:after="0"/>
              <w:rPr>
                <w:sz w:val="17"/>
                <w:szCs w:val="17"/>
                <w:color w:val="auto"/>
              </w:rPr>
            </w:pPr>
          </w:p>
        </w:tc>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(4,897,130)</w:t>
            </w: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Credit Facility depreciation</w:t>
            </w:r>
          </w:p>
        </w:tc>
        <w:tc>
          <w:tcPr>
            <w:tcW w:w="100" w:type="dxa"/>
            <w:vAlign w:val="bottom"/>
          </w:tcPr>
          <w:p>
            <w:pPr>
              <w:spacing w:after="0"/>
              <w:rPr>
                <w:sz w:val="17"/>
                <w:szCs w:val="17"/>
                <w:color w:val="auto"/>
              </w:rPr>
            </w:pP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601,875</w:t>
            </w:r>
          </w:p>
        </w:tc>
        <w:tc>
          <w:tcPr>
            <w:tcW w:w="300" w:type="dxa"/>
            <w:vAlign w:val="bottom"/>
          </w:tcPr>
          <w:p>
            <w:pPr>
              <w:spacing w:after="0"/>
              <w:rPr>
                <w:sz w:val="17"/>
                <w:szCs w:val="17"/>
                <w:color w:val="auto"/>
              </w:rPr>
            </w:pP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40,875</w:t>
            </w:r>
          </w:p>
        </w:tc>
      </w:tr>
      <w:tr>
        <w:trPr>
          <w:trHeight w:val="203"/>
        </w:trPr>
        <w:tc>
          <w:tcPr>
            <w:tcW w:w="4540" w:type="dxa"/>
            <w:vAlign w:val="bottom"/>
          </w:tcPr>
          <w:p>
            <w:pPr>
              <w:spacing w:after="0"/>
              <w:rPr>
                <w:sz w:val="17"/>
                <w:szCs w:val="17"/>
                <w:color w:val="auto"/>
              </w:rPr>
            </w:pPr>
          </w:p>
        </w:tc>
        <w:tc>
          <w:tcPr>
            <w:tcW w:w="17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w:t>
            </w:r>
          </w:p>
        </w:tc>
        <w:tc>
          <w:tcPr>
            <w:tcW w:w="17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Net change in unrealized depreciation on</w:t>
            </w: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4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investments and Credit Facility</w:t>
            </w:r>
          </w:p>
        </w:tc>
        <w:tc>
          <w:tcPr>
            <w:tcW w:w="100" w:type="dxa"/>
            <w:vAlign w:val="bottom"/>
          </w:tcPr>
          <w:p>
            <w:pPr>
              <w:spacing w:after="0"/>
              <w:rPr>
                <w:sz w:val="17"/>
                <w:szCs w:val="17"/>
                <w:color w:val="auto"/>
              </w:rPr>
            </w:pPr>
          </w:p>
        </w:tc>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(107,071)</w:t>
            </w:r>
          </w:p>
        </w:tc>
        <w:tc>
          <w:tcPr>
            <w:tcW w:w="300" w:type="dxa"/>
            <w:vAlign w:val="bottom"/>
          </w:tcPr>
          <w:p>
            <w:pPr>
              <w:spacing w:after="0"/>
              <w:rPr>
                <w:sz w:val="17"/>
                <w:szCs w:val="17"/>
                <w:color w:val="auto"/>
              </w:rPr>
            </w:pPr>
          </w:p>
        </w:tc>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(4,856,255)</w:t>
            </w:r>
          </w:p>
        </w:tc>
      </w:tr>
      <w:tr>
        <w:trPr>
          <w:trHeight w:val="203"/>
        </w:trPr>
        <w:tc>
          <w:tcPr>
            <w:tcW w:w="4540" w:type="dxa"/>
            <w:vAlign w:val="bottom"/>
          </w:tcPr>
          <w:p>
            <w:pPr>
              <w:spacing w:after="0"/>
              <w:rPr>
                <w:sz w:val="17"/>
                <w:szCs w:val="17"/>
                <w:color w:val="auto"/>
              </w:rPr>
            </w:pPr>
          </w:p>
        </w:tc>
        <w:tc>
          <w:tcPr>
            <w:tcW w:w="17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w:t>
            </w:r>
          </w:p>
        </w:tc>
        <w:tc>
          <w:tcPr>
            <w:tcW w:w="17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realized and unrealized loss from</w:t>
            </w: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4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investments and Credit Facility</w:t>
            </w:r>
          </w:p>
        </w:tc>
        <w:tc>
          <w:tcPr>
            <w:tcW w:w="100" w:type="dxa"/>
            <w:vAlign w:val="bottom"/>
          </w:tcPr>
          <w:p>
            <w:pPr>
              <w:spacing w:after="0"/>
              <w:rPr>
                <w:sz w:val="17"/>
                <w:szCs w:val="17"/>
                <w:color w:val="auto"/>
              </w:rPr>
            </w:pPr>
          </w:p>
        </w:tc>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(3,339,079)</w:t>
            </w:r>
          </w:p>
        </w:tc>
        <w:tc>
          <w:tcPr>
            <w:tcW w:w="300" w:type="dxa"/>
            <w:vAlign w:val="bottom"/>
          </w:tcPr>
          <w:p>
            <w:pPr>
              <w:spacing w:after="0"/>
              <w:rPr>
                <w:sz w:val="17"/>
                <w:szCs w:val="17"/>
                <w:color w:val="auto"/>
              </w:rPr>
            </w:pPr>
          </w:p>
        </w:tc>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(5,030,244)</w:t>
            </w:r>
          </w:p>
        </w:tc>
      </w:tr>
      <w:tr>
        <w:trPr>
          <w:trHeight w:val="202"/>
        </w:trPr>
        <w:tc>
          <w:tcPr>
            <w:tcW w:w="4540" w:type="dxa"/>
            <w:vAlign w:val="bottom"/>
          </w:tcPr>
          <w:p>
            <w:pPr>
              <w:spacing w:after="0"/>
              <w:rPr>
                <w:sz w:val="17"/>
                <w:szCs w:val="17"/>
                <w:color w:val="auto"/>
              </w:rPr>
            </w:pPr>
          </w:p>
        </w:tc>
        <w:tc>
          <w:tcPr>
            <w:tcW w:w="17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w:t>
            </w:r>
          </w:p>
        </w:tc>
        <w:tc>
          <w:tcPr>
            <w:tcW w:w="17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2"/>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increase in net assets resulting from</w:t>
            </w: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4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operations</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1,746,879</w:t>
            </w:r>
          </w:p>
        </w:tc>
        <w:tc>
          <w:tcPr>
            <w:tcW w:w="3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438,202</w:t>
            </w:r>
          </w:p>
        </w:tc>
      </w:tr>
      <w:tr>
        <w:trPr>
          <w:trHeight w:val="203"/>
        </w:trPr>
        <w:tc>
          <w:tcPr>
            <w:tcW w:w="4540" w:type="dxa"/>
            <w:vAlign w:val="bottom"/>
          </w:tcPr>
          <w:p>
            <w:pPr>
              <w:spacing w:after="0"/>
              <w:rPr>
                <w:sz w:val="17"/>
                <w:szCs w:val="17"/>
                <w:color w:val="auto"/>
              </w:rPr>
            </w:pPr>
          </w:p>
        </w:tc>
        <w:tc>
          <w:tcPr>
            <w:tcW w:w="17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w:t>
            </w:r>
          </w:p>
        </w:tc>
        <w:tc>
          <w:tcPr>
            <w:tcW w:w="17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2"/>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increase in net assets resulting from</w:t>
            </w: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4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operations per common share</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0.07</w:t>
            </w:r>
          </w:p>
        </w:tc>
        <w:tc>
          <w:tcPr>
            <w:tcW w:w="3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0.03</w:t>
            </w:r>
          </w:p>
        </w:tc>
      </w:tr>
      <w:tr>
        <w:trPr>
          <w:trHeight w:val="203"/>
        </w:trPr>
        <w:tc>
          <w:tcPr>
            <w:tcW w:w="4540" w:type="dxa"/>
            <w:vAlign w:val="bottom"/>
          </w:tcPr>
          <w:p>
            <w:pPr>
              <w:spacing w:after="0"/>
              <w:rPr>
                <w:sz w:val="17"/>
                <w:szCs w:val="17"/>
                <w:color w:val="auto"/>
              </w:rPr>
            </w:pPr>
          </w:p>
        </w:tc>
        <w:tc>
          <w:tcPr>
            <w:tcW w:w="17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w:t>
            </w:r>
          </w:p>
        </w:tc>
        <w:tc>
          <w:tcPr>
            <w:tcW w:w="17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investment income per common share</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0.19</w:t>
            </w:r>
          </w:p>
        </w:tc>
        <w:tc>
          <w:tcPr>
            <w:tcW w:w="3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0.37</w:t>
            </w:r>
          </w:p>
        </w:tc>
      </w:tr>
      <w:tr>
        <w:trPr>
          <w:trHeight w:val="203"/>
        </w:trPr>
        <w:tc>
          <w:tcPr>
            <w:tcW w:w="4540" w:type="dxa"/>
            <w:vAlign w:val="bottom"/>
          </w:tcPr>
          <w:p>
            <w:pPr>
              <w:spacing w:after="0"/>
              <w:rPr>
                <w:sz w:val="17"/>
                <w:szCs w:val="17"/>
                <w:color w:val="auto"/>
              </w:rPr>
            </w:pPr>
          </w:p>
        </w:tc>
        <w:tc>
          <w:tcPr>
            <w:tcW w:w="17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w:t>
            </w:r>
          </w:p>
        </w:tc>
        <w:tc>
          <w:tcPr>
            <w:tcW w:w="17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8"/>
              </w:rPr>
              <w:t>===============</w:t>
            </w:r>
          </w:p>
        </w:tc>
      </w:tr>
    </w:tbl>
    <w:p>
      <w:pPr>
        <w:spacing w:after="0" w:line="200" w:lineRule="exact"/>
        <w:rPr>
          <w:sz w:val="20"/>
          <w:szCs w:val="20"/>
          <w:color w:val="auto"/>
        </w:rPr>
      </w:pPr>
    </w:p>
    <w:p>
      <w:pPr>
        <w:sectPr>
          <w:pgSz w:w="11900" w:h="16838" w:orient="portrait"/>
          <w:cols w:equalWidth="0" w:num="1">
            <w:col w:w="10139"/>
          </w:cols>
          <w:pgMar w:left="320" w:top="136" w:right="1440" w:bottom="0" w:gutter="0" w:footer="0" w:header="0"/>
        </w:sectPr>
      </w:pPr>
    </w:p>
    <w:p>
      <w:pPr>
        <w:spacing w:after="0" w:line="19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ABOUT PENNANTPARK FLOATING RATE CAPITAL LTD.</w:t>
      </w:r>
    </w:p>
    <w:p>
      <w:pPr>
        <w:sectPr>
          <w:pgSz w:w="11900" w:h="16838" w:orient="portrait"/>
          <w:cols w:equalWidth="0" w:num="1">
            <w:col w:w="10139"/>
          </w:cols>
          <w:pgMar w:left="320" w:top="136" w:right="1440" w:bottom="0" w:gutter="0" w:footer="0" w:header="0"/>
          <w:type w:val="continuous"/>
        </w:sectPr>
      </w:pPr>
    </w:p>
    <w:bookmarkStart w:id="6" w:name="page7"/>
    <w:bookmarkEnd w:id="6"/>
    <w:p>
      <w:pPr>
        <w:ind w:right="560"/>
        <w:spacing w:after="0" w:line="238" w:lineRule="auto"/>
        <w:rPr>
          <w:sz w:val="20"/>
          <w:szCs w:val="20"/>
          <w:color w:val="auto"/>
        </w:rPr>
      </w:pPr>
      <w:r>
        <w:rPr>
          <w:rFonts w:ascii="Arial" w:cs="Arial" w:eastAsia="Arial" w:hAnsi="Arial"/>
          <w:sz w:val="22"/>
          <w:szCs w:val="22"/>
          <w:color w:val="auto"/>
        </w:rPr>
        <w:t>PennantPark Floating Rate Capital Ltd. is a business development company which primarily invests in U.S. middle-market private companies in the form of floating rate senior secured loans. From time to time, the Company may also invest in mezzanine debt and equity investments. PennantPark Floating Rate Capital Ltd. is managed by PennantPark Investment Advisers, LLC.</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212" w:lineRule="exact"/>
        <w:rPr>
          <w:sz w:val="20"/>
          <w:szCs w:val="20"/>
          <w:color w:val="auto"/>
        </w:rPr>
      </w:pPr>
    </w:p>
    <w:p>
      <w:pPr>
        <w:jc w:val="both"/>
        <w:ind w:right="100"/>
        <w:spacing w:after="0" w:line="276"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You should understand that under Section 27A(b)(2)(B) of the Securities Act of 1933, as amended, and Section 21E(b)</w:t>
      </w:r>
    </w:p>
    <w:p>
      <w:pPr>
        <w:spacing w:after="0" w:line="1" w:lineRule="exact"/>
        <w:rPr>
          <w:sz w:val="20"/>
          <w:szCs w:val="20"/>
          <w:color w:val="auto"/>
        </w:rPr>
      </w:pPr>
    </w:p>
    <w:p>
      <w:pPr>
        <w:ind w:right="20"/>
        <w:spacing w:after="0" w:line="243" w:lineRule="auto"/>
        <w:rPr>
          <w:sz w:val="20"/>
          <w:szCs w:val="20"/>
          <w:color w:val="auto"/>
        </w:rPr>
      </w:pPr>
      <w:r>
        <w:rPr>
          <w:rFonts w:ascii="Arial" w:cs="Arial" w:eastAsia="Arial" w:hAnsi="Arial"/>
          <w:sz w:val="21"/>
          <w:szCs w:val="21"/>
          <w:color w:val="auto"/>
        </w:rPr>
        <w:t>(2)(B) of the Securities Exchange Act of 1934, as amended, or the Exchange Act, the "safe harbor" provisions of the Private Securities Litigation Reform Act of 1995 do not apply to forward-looking statements made in periodic reports we file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 The Company undertakes no duty to update any forward-looking statement made herein. You should not place undue influence on such forward-looking statements as such statements speak only as of the date on which they are made.</w:t>
      </w:r>
    </w:p>
    <w:p>
      <w:pPr>
        <w:spacing w:after="0" w:line="186"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We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our historical experience and our present expectations.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38" w:lineRule="auto"/>
        <w:rPr>
          <w:sz w:val="20"/>
          <w:szCs w:val="20"/>
          <w:color w:val="auto"/>
        </w:rPr>
      </w:pPr>
      <w:r>
        <w:rPr>
          <w:rFonts w:ascii="Courier New" w:cs="Courier New" w:eastAsia="Courier New" w:hAnsi="Courier New"/>
          <w:sz w:val="18"/>
          <w:szCs w:val="18"/>
          <w:color w:val="auto"/>
        </w:rPr>
        <w:t>Aviv Efrat</w:t>
      </w:r>
    </w:p>
    <w:p>
      <w:pPr>
        <w:spacing w:after="0" w:line="238" w:lineRule="auto"/>
        <w:rPr>
          <w:sz w:val="20"/>
          <w:szCs w:val="20"/>
          <w:color w:val="auto"/>
        </w:rPr>
      </w:pPr>
      <w:r>
        <w:rPr>
          <w:rFonts w:ascii="Courier New" w:cs="Courier New" w:eastAsia="Courier New" w:hAnsi="Courier New"/>
          <w:sz w:val="18"/>
          <w:szCs w:val="18"/>
          <w:color w:val="auto"/>
        </w:rPr>
        <w:t>PennantPark Floating Rate Capital Ltd.</w:t>
      </w:r>
    </w:p>
    <w:p>
      <w:pPr>
        <w:spacing w:after="0"/>
        <w:rPr>
          <w:sz w:val="20"/>
          <w:szCs w:val="20"/>
          <w:color w:val="auto"/>
        </w:rPr>
      </w:pPr>
      <w:r>
        <w:rPr>
          <w:rFonts w:ascii="Courier New" w:cs="Courier New" w:eastAsia="Courier New" w:hAnsi="Courier New"/>
          <w:sz w:val="18"/>
          <w:szCs w:val="18"/>
          <w:color w:val="auto"/>
        </w:rPr>
        <w:t>Reception: (212) 905-1000</w:t>
      </w:r>
    </w:p>
    <w:p>
      <w:pPr>
        <w:spacing w:after="0" w:line="237" w:lineRule="auto"/>
        <w:rPr>
          <w:sz w:val="20"/>
          <w:szCs w:val="20"/>
          <w:color w:val="auto"/>
        </w:rPr>
      </w:pPr>
      <w:r>
        <w:rPr>
          <w:rFonts w:ascii="Courier New" w:cs="Courier New" w:eastAsia="Courier New" w:hAnsi="Courier New"/>
          <w:sz w:val="18"/>
          <w:szCs w:val="18"/>
          <w:color w:val="auto"/>
        </w:rPr>
        <w:t>www.pennantpark.com</w:t>
      </w:r>
    </w:p>
    <w:sectPr>
      <w:pgSz w:w="11900" w:h="16838" w:orient="portrait"/>
      <w:cols w:equalWidth="0" w:num="1">
        <w:col w:w="11200"/>
      </w:cols>
      <w:pgMar w:left="320" w:top="118"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2020-05-05T12:04:38Z</dcterms:created>
  <dcterms:modified xsi:type="dcterms:W3CDTF">2020-05-05T12:04:38Z</dcterms:modified>
</cp:coreProperties>
</file>