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19,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4"/>
          <w:szCs w:val="24"/>
          <w:color w:val="auto"/>
        </w:rPr>
      </w:pPr>
    </w:p>
    <w:p>
      <w:pPr>
        <w:ind w:left="40" w:right="100"/>
        <w:spacing w:after="0" w:line="287" w:lineRule="auto"/>
        <w:rPr>
          <w:sz w:val="20"/>
          <w:szCs w:val="20"/>
          <w:color w:val="auto"/>
        </w:rPr>
      </w:pPr>
      <w:r>
        <w:rPr>
          <w:rFonts w:ascii="Arial" w:cs="Arial" w:eastAsia="Arial" w:hAnsi="Arial"/>
          <w:sz w:val="19"/>
          <w:szCs w:val="19"/>
          <w:color w:val="auto"/>
        </w:rPr>
        <w:t>On October 16, 2015, PennantPark Floating Rate Capital Ltd. (the "Company"), announced that on October 15, 2015, it increased the size of its multi-currency, senior secured credit facility (the "Credit Facility"), from $290 million to $350 million. All other terms remain unchanged including our interest rate at London Interbank Offered Rate, or LIBOR, plus 200 basis points. SunTrust Robinson Humphrey, Inc. and Capital One, N.A. are joint lead arrangers in connection with the Credit Facility.</w:t>
      </w:r>
    </w:p>
    <w:p>
      <w:pPr>
        <w:spacing w:after="0" w:line="170" w:lineRule="exact"/>
        <w:rPr>
          <w:sz w:val="24"/>
          <w:szCs w:val="24"/>
          <w:color w:val="auto"/>
        </w:rPr>
      </w:pPr>
    </w:p>
    <w:p>
      <w:pPr>
        <w:ind w:left="40" w:right="20"/>
        <w:spacing w:after="0" w:line="328" w:lineRule="auto"/>
        <w:rPr>
          <w:sz w:val="20"/>
          <w:szCs w:val="20"/>
          <w:color w:val="auto"/>
        </w:rPr>
      </w:pPr>
      <w:r>
        <w:rPr>
          <w:rFonts w:ascii="Arial" w:cs="Arial" w:eastAsia="Arial" w:hAnsi="Arial"/>
          <w:sz w:val="19"/>
          <w:szCs w:val="19"/>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32" w:lineRule="exact"/>
        <w:rPr>
          <w:sz w:val="24"/>
          <w:szCs w:val="24"/>
          <w:color w:val="auto"/>
        </w:rPr>
      </w:pPr>
    </w:p>
    <w:p>
      <w:pPr>
        <w:ind w:left="40" w:right="100"/>
        <w:spacing w:after="0" w:line="328" w:lineRule="auto"/>
        <w:rPr>
          <w:sz w:val="20"/>
          <w:szCs w:val="20"/>
          <w:color w:val="auto"/>
        </w:rPr>
      </w:pPr>
      <w:r>
        <w:rPr>
          <w:rFonts w:ascii="Arial" w:cs="Arial" w:eastAsia="Arial" w:hAnsi="Arial"/>
          <w:sz w:val="19"/>
          <w:szCs w:val="19"/>
          <w:color w:val="auto"/>
        </w:rPr>
        <w:t>The description above is only a summary of the material provisions of the Credit Facility and is qualified in its entirety by reference to the Credit Facility, a copy of which was filed as Exhibit 10.1 to the Company's Form 10-Q filed on August 6, 2015.</w:t>
      </w:r>
    </w:p>
    <w:p>
      <w:pPr>
        <w:spacing w:after="0" w:line="132" w:lineRule="exact"/>
        <w:rPr>
          <w:sz w:val="24"/>
          <w:szCs w:val="24"/>
          <w:color w:val="auto"/>
        </w:rPr>
      </w:pPr>
    </w:p>
    <w:p>
      <w:pPr>
        <w:ind w:left="40"/>
        <w:spacing w:after="0"/>
        <w:rPr>
          <w:sz w:val="20"/>
          <w:szCs w:val="20"/>
          <w:color w:val="auto"/>
        </w:rPr>
      </w:pPr>
      <w:r>
        <w:rPr>
          <w:rFonts w:ascii="Arial" w:cs="Arial" w:eastAsia="Arial" w:hAnsi="Arial"/>
          <w:sz w:val="22"/>
          <w:szCs w:val="22"/>
          <w:color w:val="auto"/>
        </w:rPr>
        <w:t>A press release announcing the upsize of the Credit Facility is attached hereto as Exhibit 99.1.</w:t>
      </w:r>
    </w:p>
    <w:p>
      <w:pPr>
        <w:spacing w:after="0" w:line="233"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jc w:val="both"/>
        <w:ind w:left="40" w:right="6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4"/>
          <w:szCs w:val="24"/>
          <w:color w:val="auto"/>
        </w:rPr>
      </w:pPr>
    </w:p>
    <w:p>
      <w:pPr>
        <w:ind w:left="40" w:right="140"/>
        <w:spacing w:after="0" w:line="277"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w:t>
      </w:r>
    </w:p>
    <w:p>
      <w:pPr>
        <w:sectPr>
          <w:pgSz w:w="11900" w:h="16893" w:orient="portrait"/>
          <w:cols w:equalWidth="0" w:num="1">
            <w:col w:w="11200"/>
          </w:cols>
          <w:pgMar w:left="320" w:top="828" w:right="379" w:bottom="0" w:gutter="0" w:footer="0" w:header="0"/>
        </w:sectPr>
      </w:pPr>
    </w:p>
    <w:bookmarkStart w:id="1" w:name="page2"/>
    <w:bookmarkEnd w:id="1"/>
    <w:p>
      <w:pPr>
        <w:ind w:right="140"/>
        <w:spacing w:after="0"/>
        <w:rPr>
          <w:sz w:val="20"/>
          <w:szCs w:val="20"/>
          <w:color w:val="auto"/>
        </w:rPr>
      </w:pPr>
      <w:r>
        <w:rPr>
          <w:rFonts w:ascii="Arial" w:cs="Arial" w:eastAsia="Arial" w:hAnsi="Arial"/>
          <w:sz w:val="22"/>
          <w:szCs w:val="22"/>
          <w:color w:val="auto"/>
        </w:rPr>
        <w:t>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24" w:lineRule="exact"/>
        <w:rPr>
          <w:sz w:val="20"/>
          <w:szCs w:val="20"/>
          <w:color w:val="auto"/>
        </w:rPr>
      </w:pPr>
    </w:p>
    <w:p>
      <w:pPr>
        <w:ind w:right="380"/>
        <w:spacing w:after="0" w:line="256"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in Item 1.01 is incorporated by reference into this Item 2.03.</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19,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19, 2015</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19,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Upsizes Credit Facility to $350 Million</w:t>
      </w:r>
    </w:p>
    <w:p>
      <w:pPr>
        <w:spacing w:after="0" w:line="21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NEW YORK, NY -- (Marketwired - October 19, 2015) - PennantPark Floating Rate Capital Ltd. (NASDAQ: PFLT) announced that on October 16, 2015, it increased the size of its Credit Facility from $290 million to $350 million. All other terms remain unchanged including our interest rate at LIBOR plus 200 basis points. SunTrust Robinson Humphrey, Inc. and Capital One, N.A. are joint lead arrangers in connection with the Credit Facility.</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are pleased to have upsized our Credit Facility and it nicely complements our permanent equity base, which increased after our acquisition of MCG Capital Corporation. We are delighted to have received strong support from existing lenders and welcome the new relationships who have joined our growing list of lending partners," said Chairman and Chief Executive Officer Arthur H. Penn.</w:t>
      </w:r>
    </w:p>
    <w:p>
      <w:pPr>
        <w:spacing w:after="0" w:line="185"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2020-05-05T12:04:32Z</dcterms:created>
  <dcterms:modified xsi:type="dcterms:W3CDTF">2020-05-05T12:04:32Z</dcterms:modified>
</cp:coreProperties>
</file>