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09,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May 9, 2013, PennantPark Floating Rate Capital Ltd. issued a press release announcing its financial results for its second fiscal quarter ended March 31, 2013.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report on Form 8-K.</w:t>
      </w:r>
    </w:p>
    <w:p>
      <w:pPr>
        <w:sectPr>
          <w:pgSz w:w="11900" w:h="16838" w:orient="portrait"/>
          <w:cols w:equalWidth="0" w:num="1">
            <w:col w:w="11200"/>
          </w:cols>
          <w:pgMar w:left="320" w:top="828" w:right="379" w:bottom="0" w:gutter="0" w:footer="0" w:header="0"/>
        </w:sectPr>
      </w:pPr>
    </w:p>
    <w:bookmarkStart w:id="1" w:name="page2"/>
    <w:bookmarkEnd w:id="1"/>
    <w:p>
      <w:pPr>
        <w:ind w:right="10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09,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09, 2013</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09,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March 31, 2013</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NY -- (Marketwire - May 09, 2013) - PennantPark Floating Rate Capital Ltd. (NASDAQ: PFLT) announced today financial results for its second fiscal quarter ended March 31, 2013.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Quarter ended March 31, 2013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183.9</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138.9</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14.10</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$34.2)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8.8%</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Core net investment income per share (1)</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GAAP net investment income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0.24</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0.255</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45.1</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43.9</w:t>
            </w:r>
          </w:p>
        </w:tc>
      </w:tr>
      <w:tr>
        <w:trPr>
          <w:trHeight w:val="405"/>
        </w:trPr>
        <w:tc>
          <w:tcPr>
            <w:tcW w:w="59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1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1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w:t>
            </w:r>
          </w:p>
        </w:tc>
      </w:tr>
    </w:tbl>
    <w:p>
      <w:pPr>
        <w:spacing w:after="0" w:line="399" w:lineRule="exact"/>
        <w:rPr>
          <w:sz w:val="20"/>
          <w:szCs w:val="20"/>
          <w:color w:val="auto"/>
        </w:rPr>
      </w:pPr>
    </w:p>
    <w:p>
      <w:pPr>
        <w:ind w:right="140" w:firstLine="8"/>
        <w:spacing w:after="0" w:line="287"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the costs associated with amending our Credit Facility. The presentation of this additional information is not meant to be considered in isolation or as a substitute for financial results prepared in accordance with GAAP.</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10, 2013</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Floating Rate Capital Ltd. ("we," "our," "us" or "Company") will host a conference call at 10:00 a.m. (Eastern Time) on Friday, May 10, 2013 to discuss its financial results. All interested parties are welcome to participate. You can access the conference call by dialing (888) 397-5352 approximately 5-10 minutes prior to the call. International callers should dial (719)</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325-2177. All callers should reference PennantPark Floating Rate Capital Ltd. An archived replay of the call will be available through May 24, 2013 by calling (888) 203-1112. International callers please dial (719) 457-0820. For all phone replays, please reference conference ID #1262842.</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As of March 31, 2013, our portfolio totaled $183.9 million and consisted of $159.7 million of senior secured loans, $10.4 million of second lien secured debt and $13.8 million of subordinated debt, preferred and common equity investments. Our debt portfolio consisted of 88% variable-rate investments (including 83% with a London Interbank Offered Rate, or LIBOR, or prime floor) and 12% fixed-rate investments. Overall, the portfolio had unrealized appreciation of $0.3 million. Our overall portfolio consisted of 63 companies with an average investment size of $2.9 million, had a weighted average yield on debt investments of 8.8%, and was invested 87% in senior secured loans, 6% in second lien secured debt and 7% in subordinated debt, preferred and common equity investments.</w:t>
      </w:r>
    </w:p>
    <w:p>
      <w:pPr>
        <w:spacing w:after="0" w:line="191"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91"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portfolio companies and six existing portfolio companies with a weighted average yield on debt investments of 8.8%. Sales and repayments of investments for the six months ended March 31, 2013 totaled $74.2 million.</w:t>
      </w:r>
    </w:p>
    <w:p>
      <w:pPr>
        <w:sectPr>
          <w:pgSz w:w="11900" w:h="16838" w:orient="portrait"/>
          <w:cols w:equalWidth="0" w:num="1">
            <w:col w:w="11240"/>
          </w:cols>
          <w:pgMar w:left="320" w:top="111" w:right="339" w:bottom="0" w:gutter="0" w:footer="0" w:header="0"/>
        </w:sectPr>
      </w:pPr>
    </w:p>
    <w:bookmarkStart w:id="3" w:name="page4"/>
    <w:bookmarkEnd w:id="3"/>
    <w:p>
      <w:pPr>
        <w:spacing w:after="0" w:line="249" w:lineRule="auto"/>
        <w:rPr>
          <w:sz w:val="20"/>
          <w:szCs w:val="20"/>
          <w:color w:val="auto"/>
        </w:rPr>
      </w:pPr>
      <w:r>
        <w:rPr>
          <w:rFonts w:ascii="Arial" w:cs="Arial" w:eastAsia="Arial" w:hAnsi="Arial"/>
          <w:sz w:val="21"/>
          <w:szCs w:val="21"/>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two existing portfolio companies with a weighted average yield on debt investments of 9.2%. Sales and repayments of investments for the six months ended March 31, 2012 totaled $41.6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2013 and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0"/>
        <w:spacing w:after="0" w:line="274" w:lineRule="auto"/>
        <w:rPr>
          <w:sz w:val="20"/>
          <w:szCs w:val="20"/>
          <w:color w:val="auto"/>
        </w:rPr>
      </w:pPr>
      <w:r>
        <w:rPr>
          <w:rFonts w:ascii="Arial" w:cs="Arial" w:eastAsia="Arial" w:hAnsi="Arial"/>
          <w:sz w:val="19"/>
          <w:szCs w:val="19"/>
          <w:color w:val="auto"/>
        </w:rPr>
        <w:t>Investment income for the three and six months ended March 31, 2013 was $4.1 million and $8.1 million, respectively, and was attributable to $3.6 million and $6.9 million from senior secured loans, $0.2 million and $0.5 million from second lien secured debt investments and $0.3 million and $0.7 million from subordinated debt investments, respectively. This compares to investment income for the three and six months ended March 31, 2012, which was $2.9 million and $5.4 million, respectively, and was attributable to $2.3 million and $4.3 million from senior secured loans, $0.3 million and $0.6 million from second lien secured debt investments and $0.3 million and $0.5 million from subordinated debt investments, respectively. The increase in investment income was due to a larger portfolio which was funded through both our senior secured revolving credit facility, or the Credit Facility, and rotation out of lower yielding assets. We intend to grow our portfolio with the proceeds of our recent offering of common stock and our increased borrowing capacity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Expenses for the three and six months ended March 31, 2013 totaled $2.5 million and $4.4 million, respectively. Base management fees for the same periods totaled $0.5 million and $0.9 million, performance-based incentive fees totaled $0.6 million and $1.0 million (including $0.3 million of non-payable incentive fees), Credit Facility expenses totaled $0.5 million and $1.0 million (excluding $0.5 million of Credit Facility amendment expenses), general and administrative expenses totaled $0.4 million and $0.9 million and excise taxes were $0.1 million, respectively. This compares to expenses for the three and six months ended March 31, 2012, which totaled $1.4 million and $2.5 million, respectively. Base management fees for the same periods in the prior year totaled $0.4 million and $0.7 million, performance-based incentive fees totaled $0.2 million and $0.2 million, Credit Facility expenses totaled $0.3 million and $0.6 million and general and administrative expenses totaled $0.5 million and $1.0 million, respectively. The increase in management fees, incentive fees and Credit Facility expenses was due to the growth of our portfolio and expanding our borrowing capacity under our Credit Facility.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80"/>
        <w:spacing w:after="0" w:line="238" w:lineRule="auto"/>
        <w:rPr>
          <w:sz w:val="20"/>
          <w:szCs w:val="20"/>
          <w:color w:val="auto"/>
        </w:rPr>
      </w:pPr>
      <w:r>
        <w:rPr>
          <w:rFonts w:ascii="Arial" w:cs="Arial" w:eastAsia="Arial" w:hAnsi="Arial"/>
          <w:sz w:val="22"/>
          <w:szCs w:val="22"/>
          <w:color w:val="auto"/>
        </w:rPr>
        <w:t>Net investment income totaled $1.7 million and $3.7 million, or $0.24 and $0.54 per share, for the three and six months ended March 31, 2013, respectively. Core net investment income (excluding $0.5 million of Credit Facility amendment expenses), a non-GAAP financial measure, totaled $2.2 million and $4.2 million, or $0.31 and $0.61 per share, for the three and six months ended March 31, 2013, respectively.</w:t>
      </w:r>
    </w:p>
    <w:p>
      <w:pPr>
        <w:spacing w:after="0" w:line="185" w:lineRule="exact"/>
        <w:rPr>
          <w:sz w:val="20"/>
          <w:szCs w:val="20"/>
          <w:color w:val="auto"/>
        </w:rPr>
      </w:pPr>
    </w:p>
    <w:p>
      <w:pPr>
        <w:ind w:right="340"/>
        <w:spacing w:after="0" w:line="257" w:lineRule="auto"/>
        <w:rPr>
          <w:sz w:val="20"/>
          <w:szCs w:val="20"/>
          <w:color w:val="auto"/>
        </w:rPr>
      </w:pPr>
      <w:r>
        <w:rPr>
          <w:rFonts w:ascii="Arial" w:cs="Arial" w:eastAsia="Arial" w:hAnsi="Arial"/>
          <w:sz w:val="21"/>
          <w:szCs w:val="21"/>
          <w:color w:val="auto"/>
        </w:rPr>
        <w:t>Net investment income totaled $1.5 million and $2.9 million, or $0.23 and $0.43 per share, for the three and six months ended March 31, 2012, respectively. The increase in net investment income was due to a larger portfolio and higher yielding assets offset by higher Credit Facility expenses and management and incentive fees.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Sales and repayments of investments for the three and six months ended March 31, 2013 totaled $43.9 million and $74.2 million and realized gains totaled $1.1 million and $1.5 million, respectively. Sales and repayments of investments for the three and six months ended March 31, 2012 totaled $19.3 million and $41.6 million and realized gains totaled $0.1 million and $0.4 million, respectively. The increase in realized gains was driven by a higher volume of sales and early repayments than the comparable periods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For the three and six months ended March 31, 2013, we reported unrealized appreciation on investments of $0.4 million and $0.1 million, respectively. For the three and six months ended March 31, 2012, we reported unrealized appreciation on investments of $3.0 million and $4.1 million, respectively. As of March 31, 2013 and September 30, 2012, net unrealized appreciation on investments totaled $0.3 million and $0.3 million, respectively. The decrease in unrealized appreciation for current periods compared to prior periods was the result of the reversal of unrealized gains upon exiting our investments and changes in market values.</w:t>
      </w:r>
    </w:p>
    <w:p>
      <w:pPr>
        <w:spacing w:after="0" w:line="188"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For the three and six months ended March 31, 2013, our long-term Credit Facility had a change in unrealized (appreciation) of zero and $(0.4) million, respectively. For the three and six months ended March 31, 2012, our long-term Credit Facility had a change in unrealized (appreciation) depreciation of $(0.1) million and $0.2 million, respectively. As of March 31,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ectPr>
          <w:pgSz w:w="11900" w:h="16838" w:orient="portrait"/>
          <w:cols w:equalWidth="0" w:num="1">
            <w:col w:w="11240"/>
          </w:cols>
          <w:pgMar w:left="320" w:top="118" w:right="339" w:bottom="0" w:gutter="0" w:footer="0" w:header="0"/>
        </w:sectPr>
      </w:pPr>
    </w:p>
    <w:bookmarkStart w:id="4" w:name="page5"/>
    <w:bookmarkEnd w:id="4"/>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3"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Net increase in net assets resulting from operations totaled $3.2 million and $5.0 million, or $0.45 and $0.72 per share, respectively, for the three and six months ended March 31, 2013. This compares to a net increase in net assets resulting from operations which totaled $4.5 million and $7.6 million, or $0.66 and $1.12 per share, respectively, for the three and six months ended March 31, 2012. The decrease in net assets resulting from operations compared to last year was due to changes in fair value of our investments due to changes in the market values of our investments.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21"/>
          <w:szCs w:val="21"/>
          <w:color w:val="auto"/>
        </w:rPr>
        <w:t>On March 26, 2013, we completed a follow-on public offering of 3,000,000 shares of common stock at a public offering price of $14.00 per share for gross proceeds of $42.0 million and net proceeds of $41.6 million after offering expenses. PennantPark Investment Advisers, LLC paid the entire sales load of $1.3 million in connection with this offering.</w:t>
      </w:r>
    </w:p>
    <w:p>
      <w:pPr>
        <w:spacing w:after="0" w:line="169"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On March 29, 2013, we amended our Credit Facility with affiliates of SunTrust Bank to expand the size of its Credit Facility from $100 million to $125 million, subject to satisfaction of certain conditions and the regulatory restrictions that the Investment Company Act of 1940, as amended, imposes on us as a business development company, to reduce the interest rate spread above LIBOR from 225 to 200 basis points, to reduce the undrawn commitment fee and to extend the maturity date to May 2018 and the revolving period to May 2016.</w:t>
      </w:r>
    </w:p>
    <w:p>
      <w:pPr>
        <w:spacing w:after="0" w:line="187"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As of March 31, 2013 and September 30, 2012, there were $34.2 million and $75.5 million of outstanding borrowings under the Credit Facility, with an interest rate of 2.21% and 2.47%, respectively, in each case excluding the 0.375% undrawn commitment fee.</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Our operating activities used cash of $23.3 million for the six months ended March 31, 2012, and our financing activities provided cash of $20.2 million for the same period. Our operating activities used cash primarily for our investment activity that was financed by net draws under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and six months ended March 31, 2013, we declared stockholders distributions of $0.255 and $0.503 per share, for total distributions of $1.7 million and $3.4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620"/>
        <w:spacing w:after="0" w:line="297" w:lineRule="auto"/>
        <w:rPr>
          <w:sz w:val="20"/>
          <w:szCs w:val="20"/>
          <w:color w:val="auto"/>
        </w:rPr>
      </w:pPr>
      <w:r>
        <w:rPr>
          <w:rFonts w:ascii="Arial" w:cs="Arial" w:eastAsia="Arial" w:hAnsi="Arial"/>
          <w:sz w:val="19"/>
          <w:szCs w:val="19"/>
          <w:color w:val="auto"/>
        </w:rPr>
        <w:t>On April 8, 2013, we sold an additional 450,000 shares of common stock pursuant to the exercise of the underwriters' overallotment option at a public offering price of $14.00 per share, generating gross proceeds of $6.3 million. PennantPark Investment Advisers LLC has paid the entire sales load of $0.2 million in connection with the sale of these shares.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its website at www.pennantpark.com.</w:t>
      </w:r>
    </w:p>
    <w:p>
      <w:pPr>
        <w:spacing w:after="0" w:line="396"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34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ectPr>
          <w:pgSz w:w="11900" w:h="16903"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March 31,</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2013</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2012</w:t>
      </w:r>
    </w:p>
    <w:p>
      <w:pPr>
        <w:spacing w:after="0" w:line="4" w:lineRule="exact"/>
        <w:rPr>
          <w:sz w:val="20"/>
          <w:szCs w:val="20"/>
          <w:color w:val="auto"/>
        </w:rPr>
      </w:pPr>
    </w:p>
    <w:p>
      <w:pPr>
        <w:sectPr>
          <w:pgSz w:w="11900" w:h="16903" w:orient="portrait"/>
          <w:cols w:equalWidth="0" w:num="2">
            <w:col w:w="6120" w:space="420"/>
            <w:col w:w="4700"/>
          </w:cols>
          <w:pgMar w:left="320" w:top="112" w:right="339" w:bottom="0" w:gutter="0" w:footer="0" w:header="0"/>
          <w:type w:val="continuous"/>
        </w:sectPr>
      </w:pPr>
    </w:p>
    <w:p>
      <w:pPr>
        <w:jc w:val="center"/>
        <w:ind w:right="-39"/>
        <w:spacing w:after="0"/>
        <w:rPr>
          <w:sz w:val="20"/>
          <w:szCs w:val="20"/>
          <w:color w:val="auto"/>
        </w:rPr>
      </w:pPr>
      <w:r>
        <w:rPr>
          <w:rFonts w:ascii="Courier New" w:cs="Courier New" w:eastAsia="Courier New" w:hAnsi="Courier New"/>
          <w:sz w:val="16"/>
          <w:szCs w:val="16"/>
          <w:color w:val="auto"/>
        </w:rPr>
        <w:t>(unaudited)</w:t>
      </w:r>
    </w:p>
    <w:p>
      <w:pPr>
        <w:sectPr>
          <w:pgSz w:w="11900" w:h="16903" w:orient="portrait"/>
          <w:cols w:equalWidth="0" w:num="1">
            <w:col w:w="11240"/>
          </w:cols>
          <w:pgMar w:left="320" w:top="112" w:right="339" w:bottom="0" w:gutter="0" w:footer="0" w:header="0"/>
          <w:type w:val="continuous"/>
        </w:sectPr>
      </w:pPr>
    </w:p>
    <w:p>
      <w:pPr>
        <w:spacing w:after="0" w:line="2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903" w:orient="portrait"/>
          <w:cols w:equalWidth="0" w:num="2">
            <w:col w:w="6320" w:space="220"/>
            <w:col w:w="4700"/>
          </w:cols>
          <w:pgMar w:left="320" w:top="112" w:right="339"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Assets</w:t>
      </w:r>
    </w:p>
    <w:p>
      <w:pPr>
        <w:spacing w:after="0" w:line="238" w:lineRule="auto"/>
        <w:rPr>
          <w:sz w:val="20"/>
          <w:szCs w:val="20"/>
          <w:color w:val="auto"/>
        </w:rPr>
      </w:pPr>
      <w:r>
        <w:rPr>
          <w:rFonts w:ascii="Courier New" w:cs="Courier New" w:eastAsia="Courier New" w:hAnsi="Courier New"/>
          <w:sz w:val="18"/>
          <w:szCs w:val="18"/>
          <w:color w:val="auto"/>
        </w:rPr>
        <w:t>Investments at fair value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Non-controlled, non-affiliated investments,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 fair value (cost--$183,536,973 and</w:t>
      </w:r>
    </w:p>
    <w:p>
      <w:pPr>
        <w:sectPr>
          <w:pgSz w:w="11900" w:h="16903" w:orient="portrait"/>
          <w:cols w:equalWidth="0" w:num="1">
            <w:col w:w="11240"/>
          </w:cols>
          <w:pgMar w:left="320" w:top="112"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$171,578,009, respectively)</w:t>
            </w:r>
          </w:p>
        </w:tc>
        <w:tc>
          <w:tcPr>
            <w:tcW w:w="2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$ 183,869,762</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$ 171,834,400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2,725,248</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3,845,803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1,231,099</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1,388,867</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986,278</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50,735</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311,313</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187,876,844</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178,366,661</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599,476</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548,053</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11,852,369</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3,357,500</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Credit Facility payable (cost--$34,200,000 and</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$75,500,000, respectively)</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34,200,000</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75,122,500</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153,476</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161,550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456,637</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424,747</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Performance-based incentive fees payable</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876,067</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506,314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859,334</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447,120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sales load charges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2,055,000</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48,997,359</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82,622,784</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Common stock, 9,851,151 and 6,850,667 shares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are issued and outstanding, respectively. Par</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value $0.001 per share and 100,000,000 shares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9,851</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Paid-in capital in excess of par value</w:t>
            </w: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136,796,167</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95,192,222</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(1,030,705)</w:t>
            </w:r>
          </w:p>
        </w:tc>
        <w:tc>
          <w:tcPr>
            <w:tcW w:w="1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(1,313,000)</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2,771,383</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1,223,913</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appreciation on investments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332,789</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256,391</w:t>
            </w:r>
          </w:p>
        </w:tc>
      </w:tr>
      <w:tr>
        <w:trPr>
          <w:trHeight w:val="203"/>
        </w:trPr>
        <w:tc>
          <w:tcPr>
            <w:tcW w:w="5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 Facility</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377,500</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$ 138,879,485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95,743,877</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$ 187,876,844</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$ 178,366,661</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2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13.98</w:t>
            </w:r>
          </w:p>
        </w:tc>
      </w:tr>
      <w:tr>
        <w:trPr>
          <w:trHeight w:val="203"/>
        </w:trPr>
        <w:tc>
          <w:tcPr>
            <w:tcW w:w="2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8020" w:type="dxa"/>
            <w:vAlign w:val="bottom"/>
            <w:gridSpan w:val="6"/>
          </w:tcPr>
          <w:p>
            <w:pPr>
              <w:jc w:val="center"/>
              <w:ind w:left="3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r>
      <w:tr>
        <w:trPr>
          <w:trHeight w:val="203"/>
        </w:trPr>
        <w:tc>
          <w:tcPr>
            <w:tcW w:w="6480" w:type="dxa"/>
            <w:vAlign w:val="bottom"/>
            <w:gridSpan w:val="4"/>
          </w:tcPr>
          <w:p>
            <w:pPr>
              <w:jc w:val="center"/>
              <w:ind w:left="15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2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4"/>
                <w:szCs w:val="24"/>
                <w:color w:val="auto"/>
              </w:rPr>
            </w:pPr>
          </w:p>
        </w:tc>
        <w:tc>
          <w:tcPr>
            <w:tcW w:w="2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74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Six Months Ended March</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March 31,</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8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2013</w:t>
            </w: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$ 3,976,016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$ 2,824,557</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$ 7,614,243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$ 5,267,364</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163,861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119,173</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488,307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143,394</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4,139,877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2,943,730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8,102,550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5,410,758</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456,637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370,352</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915,623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686,197</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563,191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175,740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980,220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175,740</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Credit Facility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495,395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342,496</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966,463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621,476</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153,679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149,624</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308,824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287,959</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271,709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360,618</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639,209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719,587</w:t>
            </w:r>
          </w:p>
        </w:tc>
      </w:tr>
      <w:tr>
        <w:trPr>
          <w:trHeight w:val="202"/>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expense and</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1,940,611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1,398,830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3,810,339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2,490,959</w:t>
            </w:r>
          </w:p>
        </w:tc>
      </w:tr>
      <w:tr>
        <w:trPr>
          <w:trHeight w:val="202"/>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33,341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67,413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2,473,952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1,398,830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4,377,752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2,490,959</w:t>
            </w:r>
          </w:p>
        </w:tc>
      </w:tr>
      <w:tr>
        <w:trPr>
          <w:trHeight w:val="202"/>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1,665,925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1,544,900</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3,724,798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2,919,799</w:t>
            </w:r>
          </w:p>
        </w:tc>
      </w:tr>
      <w:tr>
        <w:trPr>
          <w:trHeight w:val="203"/>
        </w:trPr>
        <w:tc>
          <w:tcPr>
            <w:tcW w:w="2860" w:type="dxa"/>
            <w:vAlign w:val="bottom"/>
          </w:tcPr>
          <w:p>
            <w:pPr>
              <w:spacing w:after="0"/>
              <w:rPr>
                <w:sz w:val="17"/>
                <w:szCs w:val="17"/>
                <w:color w:val="auto"/>
              </w:rPr>
            </w:pP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ind w:left="120"/>
              <w:spacing w:after="0"/>
              <w:rPr>
                <w:sz w:val="20"/>
                <w:szCs w:val="20"/>
                <w:color w:val="auto"/>
              </w:rPr>
            </w:pPr>
            <w:r>
              <w:rPr>
                <w:rFonts w:ascii="Courier New" w:cs="Courier New" w:eastAsia="Courier New" w:hAnsi="Courier New"/>
                <w:sz w:val="18"/>
                <w:szCs w:val="18"/>
                <w:color w:val="auto"/>
              </w:rPr>
              <w:t>gain (loss) 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controlled, non-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1,104,627</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95,712</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1,547,470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405,887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435,183</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2,996,463</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76,398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4,065,554</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(112,000)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239,000</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change in unrealized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435,183</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2,884,463</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(301,102)</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4,304,554</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 from</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1,539,810</w:t>
            </w:r>
          </w:p>
        </w:tc>
        <w:tc>
          <w:tcPr>
            <w:tcW w:w="2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2,980,175</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1,246,368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4,710,441</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increase in net assets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resulting from operations $ 3,205,735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4,525,075</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$ 4,971,166</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$ 7,630,240</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 Net increase in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assets resulting from</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 Net investment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0.43</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 Net increase in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assets resulting from</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 Net investment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0.43</w:t>
            </w:r>
          </w:p>
        </w:tc>
      </w:tr>
      <w:tr>
        <w:trPr>
          <w:trHeight w:val="203"/>
        </w:trPr>
        <w:tc>
          <w:tcPr>
            <w:tcW w:w="2800" w:type="dxa"/>
            <w:vAlign w:val="bottom"/>
          </w:tcPr>
          <w:p>
            <w:pPr>
              <w:spacing w:after="0"/>
              <w:rPr>
                <w:sz w:val="17"/>
                <w:szCs w:val="17"/>
                <w:color w:val="auto"/>
              </w:rPr>
            </w:pP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ectPr>
          <w:pgSz w:w="11900" w:h="16863" w:orient="portrait"/>
          <w:cols w:equalWidth="0" w:num="1">
            <w:col w:w="11200"/>
          </w:cols>
          <w:pgMar w:left="320" w:top="136" w:right="37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www.pennantpark.com</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2020-05-05T12:04:21Z</dcterms:created>
  <dcterms:modified xsi:type="dcterms:W3CDTF">2020-05-05T12:04:21Z</dcterms:modified>
</cp:coreProperties>
</file>