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ind w:left="4260"/>
        <w:spacing w:after="0"/>
        <w:rPr>
          <w:sz w:val="20"/>
          <w:szCs w:val="20"/>
          <w:color w:val="auto"/>
        </w:rPr>
      </w:pPr>
      <w:r>
        <w:rPr>
          <w:rFonts w:ascii="Arial" w:cs="Arial" w:eastAsia="Arial" w:hAnsi="Arial"/>
          <w:sz w:val="22"/>
          <w:szCs w:val="22"/>
          <w:b w:val="1"/>
          <w:bCs w:val="1"/>
          <w:color w:val="auto"/>
        </w:rPr>
        <w:t>Date of Report: May 03, 2012</w:t>
      </w:r>
    </w:p>
    <w:p>
      <w:pPr>
        <w:spacing w:after="0" w:line="14"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39" w:lineRule="exact"/>
        <w:rPr>
          <w:sz w:val="24"/>
          <w:szCs w:val="24"/>
          <w:color w:val="auto"/>
        </w:rPr>
      </w:pPr>
    </w:p>
    <w:p>
      <w:pPr>
        <w:ind w:left="40" w:right="100"/>
        <w:spacing w:after="0"/>
        <w:rPr>
          <w:sz w:val="20"/>
          <w:szCs w:val="20"/>
          <w:color w:val="auto"/>
        </w:rPr>
      </w:pPr>
      <w:r>
        <w:rPr>
          <w:rFonts w:ascii="Arial" w:cs="Arial" w:eastAsia="Arial" w:hAnsi="Arial"/>
          <w:sz w:val="22"/>
          <w:szCs w:val="22"/>
          <w:color w:val="auto"/>
        </w:rPr>
        <w:t>On May 3, 2012, PennantPark Floating Rate Capital Ltd. issued a press release announcing its financial results for the quarter ended March 31, 2012. A copy of the press release is furnished as Exhibit 99.1 to this report pursuant to Item 2.02 on Form 8-K and Regulation FD.</w:t>
      </w:r>
    </w:p>
    <w:p>
      <w:pPr>
        <w:spacing w:after="0" w:line="213" w:lineRule="exact"/>
        <w:rPr>
          <w:sz w:val="24"/>
          <w:szCs w:val="24"/>
          <w:color w:val="auto"/>
        </w:rPr>
      </w:pPr>
    </w:p>
    <w:p>
      <w:pPr>
        <w:ind w:left="40" w:right="80"/>
        <w:spacing w:after="0" w:line="236" w:lineRule="auto"/>
        <w:rPr>
          <w:sz w:val="20"/>
          <w:szCs w:val="20"/>
          <w:color w:val="auto"/>
        </w:rPr>
      </w:pPr>
      <w:r>
        <w:rPr>
          <w:rFonts w:ascii="Arial" w:cs="Arial" w:eastAsia="Arial" w:hAnsi="Arial"/>
          <w:sz w:val="22"/>
          <w:szCs w:val="22"/>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under the Exchange Act, except as shall be expressly set forth by specific reference in such filing.</w:t>
      </w:r>
    </w:p>
    <w:p>
      <w:pPr>
        <w:spacing w:after="0" w:line="181"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4"/>
          <w:szCs w:val="24"/>
          <w:color w:val="auto"/>
        </w:rPr>
      </w:pPr>
    </w:p>
    <w:p>
      <w:pPr>
        <w:spacing w:after="0" w:line="249" w:lineRule="exact"/>
        <w:rPr>
          <w:sz w:val="24"/>
          <w:szCs w:val="24"/>
          <w:color w:val="auto"/>
        </w:rPr>
      </w:pPr>
    </w:p>
    <w:p>
      <w:pPr>
        <w:ind w:left="700" w:right="8880" w:hanging="652"/>
        <w:spacing w:after="0" w:line="280" w:lineRule="auto"/>
        <w:tabs>
          <w:tab w:leader="none" w:pos="35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700" w:right="7800" w:hanging="652"/>
        <w:spacing w:after="0" w:line="230" w:lineRule="auto"/>
        <w:tabs>
          <w:tab w:leader="none" w:pos="37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700" w:right="8260" w:hanging="652"/>
        <w:spacing w:after="0" w:line="230" w:lineRule="auto"/>
        <w:tabs>
          <w:tab w:leader="none" w:pos="34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60" w:hanging="312"/>
        <w:spacing w:after="0" w:line="230" w:lineRule="auto"/>
        <w:tabs>
          <w:tab w:leader="none" w:pos="36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4"/>
          <w:szCs w:val="24"/>
          <w:color w:val="auto"/>
        </w:rPr>
      </w:pPr>
    </w:p>
    <w:p>
      <w:pPr>
        <w:ind w:left="700"/>
        <w:spacing w:after="0"/>
        <w:tabs>
          <w:tab w:leader="none" w:pos="144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May 03, 2012</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132715</wp:posOffset>
            </wp:positionV>
            <wp:extent cx="70808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890"/>
                    </a:xfrm>
                    <a:prstGeom prst="rect">
                      <a:avLst/>
                    </a:prstGeom>
                    <a:noFill/>
                  </pic:spPr>
                </pic:pic>
              </a:graphicData>
            </a:graphic>
          </wp:anchor>
        </w:drawing>
      </w:r>
    </w:p>
    <w:p>
      <w:pPr>
        <w:sectPr>
          <w:pgSz w:w="11900" w:h="16838" w:orient="portrait"/>
          <w:cols w:equalWidth="0" w:num="1">
            <w:col w:w="11200"/>
          </w:cols>
          <w:pgMar w:left="320" w:top="828" w:right="379" w:bottom="0" w:gutter="0" w:footer="0" w:header="0"/>
        </w:sectPr>
      </w:pPr>
    </w:p>
    <w:bookmarkStart w:id="1" w:name="page2"/>
    <w:bookmarkEnd w:id="1"/>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213" w:lineRule="exact"/>
        <w:rPr>
          <w:sz w:val="20"/>
          <w:szCs w:val="20"/>
          <w:color w:val="auto"/>
        </w:rPr>
      </w:pPr>
    </w:p>
    <w:p>
      <w:pPr>
        <w:ind w:right="1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720" w:type="dxa"/>
            <w:vAlign w:val="bottom"/>
          </w:tcPr>
          <w:p>
            <w:pPr>
              <w:spacing w:after="0"/>
              <w:rPr>
                <w:sz w:val="20"/>
                <w:szCs w:val="20"/>
                <w:color w:val="auto"/>
              </w:rPr>
            </w:pPr>
            <w:r>
              <w:rPr>
                <w:rFonts w:ascii="Arial" w:cs="Arial" w:eastAsia="Arial" w:hAnsi="Arial"/>
                <w:sz w:val="22"/>
                <w:szCs w:val="22"/>
                <w:color w:val="auto"/>
              </w:rPr>
              <w:t>Dated: May 03, 2012</w:t>
            </w:r>
          </w:p>
        </w:tc>
        <w:tc>
          <w:tcPr>
            <w:tcW w:w="6900" w:type="dxa"/>
            <w:vAlign w:val="bottom"/>
            <w:gridSpan w:val="3"/>
          </w:tcPr>
          <w:p>
            <w:pPr>
              <w:ind w:left="190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3720" w:type="dxa"/>
            <w:vAlign w:val="bottom"/>
          </w:tcPr>
          <w:p>
            <w:pPr>
              <w:spacing w:after="0"/>
              <w:rPr>
                <w:sz w:val="24"/>
                <w:szCs w:val="24"/>
                <w:color w:val="auto"/>
              </w:rPr>
            </w:pPr>
          </w:p>
        </w:tc>
        <w:tc>
          <w:tcPr>
            <w:tcW w:w="6900" w:type="dxa"/>
            <w:vAlign w:val="bottom"/>
            <w:gridSpan w:val="3"/>
          </w:tcPr>
          <w:p>
            <w:pPr>
              <w:ind w:left="1900"/>
              <w:spacing w:after="0"/>
              <w:rPr>
                <w:sz w:val="20"/>
                <w:szCs w:val="20"/>
                <w:color w:val="auto"/>
              </w:rPr>
            </w:pPr>
            <w:r>
              <w:rPr>
                <w:rFonts w:ascii="Arial" w:cs="Arial" w:eastAsia="Arial" w:hAnsi="Arial"/>
                <w:sz w:val="22"/>
                <w:szCs w:val="22"/>
                <w:color w:val="auto"/>
              </w:rPr>
              <w:t>By: /s/ Aviv Efrat</w:t>
            </w:r>
          </w:p>
        </w:tc>
      </w:tr>
      <w:tr>
        <w:trPr>
          <w:trHeight w:val="20"/>
        </w:trPr>
        <w:tc>
          <w:tcPr>
            <w:tcW w:w="37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3720" w:type="dxa"/>
            <w:vAlign w:val="bottom"/>
          </w:tcPr>
          <w:p>
            <w:pPr>
              <w:spacing w:after="0"/>
              <w:rPr>
                <w:sz w:val="21"/>
                <w:szCs w:val="21"/>
                <w:color w:val="auto"/>
              </w:rPr>
            </w:pPr>
          </w:p>
        </w:tc>
        <w:tc>
          <w:tcPr>
            <w:tcW w:w="6900" w:type="dxa"/>
            <w:vAlign w:val="bottom"/>
            <w:gridSpan w:val="3"/>
          </w:tcPr>
          <w:p>
            <w:pPr>
              <w:ind w:left="214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720" w:type="dxa"/>
            <w:vAlign w:val="bottom"/>
          </w:tcPr>
          <w:p>
            <w:pPr>
              <w:spacing w:after="0"/>
              <w:rPr>
                <w:sz w:val="23"/>
                <w:szCs w:val="23"/>
                <w:color w:val="auto"/>
              </w:rPr>
            </w:pPr>
          </w:p>
        </w:tc>
        <w:tc>
          <w:tcPr>
            <w:tcW w:w="6900" w:type="dxa"/>
            <w:vAlign w:val="bottom"/>
            <w:gridSpan w:val="3"/>
          </w:tcPr>
          <w:p>
            <w:pPr>
              <w:ind w:left="216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7"/>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32"/>
              <w:spacing w:after="0"/>
              <w:rPr>
                <w:sz w:val="20"/>
                <w:szCs w:val="20"/>
                <w:color w:val="auto"/>
              </w:rPr>
            </w:pPr>
            <w:r>
              <w:rPr>
                <w:rFonts w:ascii="Arial" w:cs="Arial" w:eastAsia="Arial" w:hAnsi="Arial"/>
                <w:sz w:val="22"/>
                <w:szCs w:val="22"/>
                <w:color w:val="auto"/>
                <w:w w:val="89"/>
              </w:rPr>
              <w:t>May 03, 2012</w:t>
            </w:r>
          </w:p>
        </w:tc>
        <w:tc>
          <w:tcPr>
            <w:tcW w:w="0" w:type="dxa"/>
            <w:vAlign w:val="bottom"/>
          </w:tcPr>
          <w:p>
            <w:pPr>
              <w:spacing w:after="0"/>
              <w:rPr>
                <w:sz w:val="1"/>
                <w:szCs w:val="1"/>
                <w:color w:val="auto"/>
              </w:rPr>
            </w:pPr>
          </w:p>
        </w:tc>
      </w:tr>
      <w:tr>
        <w:trPr>
          <w:trHeight w:val="121"/>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111" w:right="4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Floating Rate Capital Ltd. Announces Financial Results for the Quarter Ended March 31, 2012</w:t>
      </w:r>
    </w:p>
    <w:p>
      <w:pPr>
        <w:spacing w:after="0" w:line="213"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NEW YORK, NY -- (Marketwire - May 03, 2012) - PennantPark Floating Rate Capital Ltd. (NASDAQ: PFLT), "we," "our," "us" or "Company," today announces financial results for its second fiscal quarter ended March 31, 2012.</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HIGHLIGHTS</w:t>
      </w:r>
    </w:p>
    <w:p>
      <w:pPr>
        <w:spacing w:after="0" w:line="238" w:lineRule="auto"/>
        <w:rPr>
          <w:sz w:val="20"/>
          <w:szCs w:val="20"/>
          <w:color w:val="auto"/>
        </w:rPr>
      </w:pPr>
      <w:r>
        <w:rPr>
          <w:rFonts w:ascii="Arial" w:cs="Arial" w:eastAsia="Arial" w:hAnsi="Arial"/>
          <w:sz w:val="22"/>
          <w:szCs w:val="22"/>
          <w:color w:val="auto"/>
        </w:rPr>
        <w:t>Quarter Ended March 31, 2012</w:t>
      </w:r>
    </w:p>
    <w:p>
      <w:pPr>
        <w:spacing w:after="0"/>
        <w:rPr>
          <w:sz w:val="20"/>
          <w:szCs w:val="20"/>
          <w:color w:val="auto"/>
        </w:rPr>
      </w:pPr>
      <w:r>
        <w:rPr>
          <w:rFonts w:ascii="Arial" w:cs="Arial" w:eastAsia="Arial" w:hAnsi="Arial"/>
          <w:sz w:val="22"/>
          <w:szCs w:val="22"/>
          <w:color w:val="auto"/>
        </w:rPr>
        <w:t>($ in millions, except per share amounts)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960" w:type="dxa"/>
            <w:vAlign w:val="bottom"/>
            <w:gridSpan w:val="2"/>
          </w:tcPr>
          <w:p>
            <w:pPr>
              <w:spacing w:after="0"/>
              <w:rPr>
                <w:sz w:val="20"/>
                <w:szCs w:val="20"/>
                <w:color w:val="auto"/>
              </w:rPr>
            </w:pPr>
            <w:r>
              <w:rPr>
                <w:rFonts w:ascii="Courier New" w:cs="Courier New" w:eastAsia="Courier New" w:hAnsi="Courier New"/>
                <w:sz w:val="18"/>
                <w:szCs w:val="18"/>
                <w:color w:val="auto"/>
              </w:rPr>
              <w:t>Assets and Liabilities:</w:t>
            </w:r>
          </w:p>
        </w:tc>
        <w:tc>
          <w:tcPr>
            <w:tcW w:w="11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59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Investment portfolio</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146.2</w:t>
            </w:r>
          </w:p>
        </w:tc>
      </w:tr>
      <w:tr>
        <w:trPr>
          <w:trHeight w:val="203"/>
        </w:trPr>
        <w:tc>
          <w:tcPr>
            <w:tcW w:w="1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Net assets</w:t>
            </w:r>
          </w:p>
        </w:tc>
        <w:tc>
          <w:tcPr>
            <w:tcW w:w="468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96.7</w:t>
            </w:r>
          </w:p>
        </w:tc>
      </w:tr>
      <w:tr>
        <w:trPr>
          <w:trHeight w:val="203"/>
        </w:trPr>
        <w:tc>
          <w:tcPr>
            <w:tcW w:w="1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asset</w:t>
            </w:r>
          </w:p>
        </w:tc>
        <w:tc>
          <w:tcPr>
            <w:tcW w:w="4680" w:type="dxa"/>
            <w:vAlign w:val="bottom"/>
          </w:tcPr>
          <w:p>
            <w:pPr>
              <w:spacing w:after="0" w:line="203" w:lineRule="exact"/>
              <w:rPr>
                <w:sz w:val="20"/>
                <w:szCs w:val="20"/>
                <w:color w:val="auto"/>
              </w:rPr>
            </w:pPr>
            <w:r>
              <w:rPr>
                <w:rFonts w:ascii="Courier New" w:cs="Courier New" w:eastAsia="Courier New" w:hAnsi="Courier New"/>
                <w:sz w:val="18"/>
                <w:szCs w:val="18"/>
                <w:color w:val="auto"/>
              </w:rPr>
              <w:t>value per share</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14.12</w:t>
            </w:r>
          </w:p>
        </w:tc>
      </w:tr>
      <w:tr>
        <w:trPr>
          <w:trHeight w:val="203"/>
        </w:trPr>
        <w:tc>
          <w:tcPr>
            <w:tcW w:w="59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Credit Facility (cost $47.8)</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47.6</w:t>
            </w:r>
          </w:p>
        </w:tc>
      </w:tr>
      <w:tr>
        <w:trPr>
          <w:trHeight w:val="405"/>
        </w:trPr>
        <w:tc>
          <w:tcPr>
            <w:tcW w:w="5960" w:type="dxa"/>
            <w:vAlign w:val="bottom"/>
            <w:gridSpan w:val="2"/>
          </w:tcPr>
          <w:p>
            <w:pPr>
              <w:spacing w:after="0"/>
              <w:rPr>
                <w:sz w:val="20"/>
                <w:szCs w:val="20"/>
                <w:color w:val="auto"/>
              </w:rPr>
            </w:pPr>
            <w:r>
              <w:rPr>
                <w:rFonts w:ascii="Courier New" w:cs="Courier New" w:eastAsia="Courier New" w:hAnsi="Courier New"/>
                <w:sz w:val="18"/>
                <w:szCs w:val="18"/>
                <w:color w:val="auto"/>
              </w:rPr>
              <w:t>Yield on debt investments at quarter-end</w:t>
            </w:r>
          </w:p>
        </w:tc>
        <w:tc>
          <w:tcPr>
            <w:tcW w:w="1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8.6%</w:t>
            </w:r>
          </w:p>
        </w:tc>
      </w:tr>
      <w:tr>
        <w:trPr>
          <w:trHeight w:val="405"/>
        </w:trPr>
        <w:tc>
          <w:tcPr>
            <w:tcW w:w="5960" w:type="dxa"/>
            <w:vAlign w:val="bottom"/>
            <w:gridSpan w:val="2"/>
          </w:tcPr>
          <w:p>
            <w:pPr>
              <w:spacing w:after="0"/>
              <w:rPr>
                <w:sz w:val="20"/>
                <w:szCs w:val="20"/>
                <w:color w:val="auto"/>
              </w:rPr>
            </w:pPr>
            <w:r>
              <w:rPr>
                <w:rFonts w:ascii="Courier New" w:cs="Courier New" w:eastAsia="Courier New" w:hAnsi="Courier New"/>
                <w:sz w:val="18"/>
                <w:szCs w:val="18"/>
                <w:color w:val="auto"/>
              </w:rPr>
              <w:t>Operating Results:</w:t>
            </w:r>
          </w:p>
        </w:tc>
        <w:tc>
          <w:tcPr>
            <w:tcW w:w="11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59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Net investment income</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w:t>
            </w:r>
          </w:p>
        </w:tc>
      </w:tr>
      <w:tr>
        <w:trPr>
          <w:trHeight w:val="203"/>
        </w:trPr>
        <w:tc>
          <w:tcPr>
            <w:tcW w:w="59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Net investment income per share</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0.23</w:t>
            </w:r>
          </w:p>
        </w:tc>
      </w:tr>
      <w:tr>
        <w:trPr>
          <w:trHeight w:val="203"/>
        </w:trPr>
        <w:tc>
          <w:tcPr>
            <w:tcW w:w="59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Distributions declared per share</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0.225</w:t>
            </w:r>
          </w:p>
        </w:tc>
      </w:tr>
      <w:tr>
        <w:trPr>
          <w:trHeight w:val="405"/>
        </w:trPr>
        <w:tc>
          <w:tcPr>
            <w:tcW w:w="5960" w:type="dxa"/>
            <w:vAlign w:val="bottom"/>
            <w:gridSpan w:val="2"/>
          </w:tcPr>
          <w:p>
            <w:pPr>
              <w:spacing w:after="0"/>
              <w:rPr>
                <w:sz w:val="20"/>
                <w:szCs w:val="20"/>
                <w:color w:val="auto"/>
              </w:rPr>
            </w:pPr>
            <w:r>
              <w:rPr>
                <w:rFonts w:ascii="Courier New" w:cs="Courier New" w:eastAsia="Courier New" w:hAnsi="Courier New"/>
                <w:sz w:val="18"/>
                <w:szCs w:val="18"/>
                <w:color w:val="auto"/>
              </w:rPr>
              <w:t>Portfolio Activity:</w:t>
            </w:r>
          </w:p>
        </w:tc>
        <w:tc>
          <w:tcPr>
            <w:tcW w:w="11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1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Purchases</w:t>
            </w:r>
          </w:p>
        </w:tc>
        <w:tc>
          <w:tcPr>
            <w:tcW w:w="4680" w:type="dxa"/>
            <w:vAlign w:val="bottom"/>
          </w:tcPr>
          <w:p>
            <w:pPr>
              <w:spacing w:after="0" w:line="203" w:lineRule="exact"/>
              <w:rPr>
                <w:sz w:val="20"/>
                <w:szCs w:val="20"/>
                <w:color w:val="auto"/>
              </w:rPr>
            </w:pPr>
            <w:r>
              <w:rPr>
                <w:rFonts w:ascii="Courier New" w:cs="Courier New" w:eastAsia="Courier New" w:hAnsi="Courier New"/>
                <w:sz w:val="18"/>
                <w:szCs w:val="18"/>
                <w:color w:val="auto"/>
              </w:rPr>
              <w:t>of investments</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32.9</w:t>
            </w:r>
          </w:p>
        </w:tc>
      </w:tr>
      <w:tr>
        <w:trPr>
          <w:trHeight w:val="203"/>
        </w:trPr>
        <w:tc>
          <w:tcPr>
            <w:tcW w:w="1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Sales and</w:t>
            </w:r>
          </w:p>
        </w:tc>
        <w:tc>
          <w:tcPr>
            <w:tcW w:w="4680" w:type="dxa"/>
            <w:vAlign w:val="bottom"/>
          </w:tcPr>
          <w:p>
            <w:pPr>
              <w:spacing w:after="0" w:line="203" w:lineRule="exact"/>
              <w:rPr>
                <w:sz w:val="20"/>
                <w:szCs w:val="20"/>
                <w:color w:val="auto"/>
              </w:rPr>
            </w:pPr>
            <w:r>
              <w:rPr>
                <w:rFonts w:ascii="Courier New" w:cs="Courier New" w:eastAsia="Courier New" w:hAnsi="Courier New"/>
                <w:sz w:val="18"/>
                <w:szCs w:val="18"/>
                <w:color w:val="auto"/>
              </w:rPr>
              <w:t>repayments of investments</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19.3</w:t>
            </w:r>
          </w:p>
        </w:tc>
      </w:tr>
      <w:tr>
        <w:trPr>
          <w:trHeight w:val="405"/>
        </w:trPr>
        <w:tc>
          <w:tcPr>
            <w:tcW w:w="128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4680" w:type="dxa"/>
            <w:vAlign w:val="bottom"/>
          </w:tcPr>
          <w:p>
            <w:pPr>
              <w:spacing w:after="0"/>
              <w:rPr>
                <w:sz w:val="20"/>
                <w:szCs w:val="20"/>
                <w:color w:val="auto"/>
              </w:rPr>
            </w:pPr>
            <w:r>
              <w:rPr>
                <w:rFonts w:ascii="Courier New" w:cs="Courier New" w:eastAsia="Courier New" w:hAnsi="Courier New"/>
                <w:sz w:val="18"/>
                <w:szCs w:val="18"/>
                <w:color w:val="auto"/>
              </w:rPr>
              <w:t>new portfolio companies invested</w:t>
            </w:r>
          </w:p>
        </w:tc>
        <w:tc>
          <w:tcPr>
            <w:tcW w:w="1160" w:type="dxa"/>
            <w:vAlign w:val="bottom"/>
          </w:tcPr>
          <w:p>
            <w:pPr>
              <w:spacing w:after="0"/>
              <w:rPr>
                <w:sz w:val="24"/>
                <w:szCs w:val="24"/>
                <w:color w:val="auto"/>
              </w:rPr>
            </w:pP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12</w:t>
            </w:r>
          </w:p>
        </w:tc>
      </w:tr>
      <w:tr>
        <w:trPr>
          <w:trHeight w:val="203"/>
        </w:trPr>
        <w:tc>
          <w:tcPr>
            <w:tcW w:w="1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w:t>
            </w:r>
          </w:p>
        </w:tc>
        <w:tc>
          <w:tcPr>
            <w:tcW w:w="4680" w:type="dxa"/>
            <w:vAlign w:val="bottom"/>
          </w:tcPr>
          <w:p>
            <w:pPr>
              <w:spacing w:after="0" w:line="203" w:lineRule="exact"/>
              <w:rPr>
                <w:sz w:val="20"/>
                <w:szCs w:val="20"/>
                <w:color w:val="auto"/>
              </w:rPr>
            </w:pPr>
            <w:r>
              <w:rPr>
                <w:rFonts w:ascii="Courier New" w:cs="Courier New" w:eastAsia="Courier New" w:hAnsi="Courier New"/>
                <w:sz w:val="18"/>
                <w:szCs w:val="18"/>
                <w:color w:val="auto"/>
              </w:rPr>
              <w:t>existing portfolio companies invested</w:t>
            </w:r>
          </w:p>
        </w:tc>
        <w:tc>
          <w:tcPr>
            <w:tcW w:w="116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w:t>
            </w:r>
          </w:p>
        </w:tc>
        <w:tc>
          <w:tcPr>
            <w:tcW w:w="4680" w:type="dxa"/>
            <w:vAlign w:val="bottom"/>
          </w:tcPr>
          <w:p>
            <w:pPr>
              <w:spacing w:after="0" w:line="203" w:lineRule="exact"/>
              <w:rPr>
                <w:sz w:val="20"/>
                <w:szCs w:val="20"/>
                <w:color w:val="auto"/>
              </w:rPr>
            </w:pPr>
            <w:r>
              <w:rPr>
                <w:rFonts w:ascii="Courier New" w:cs="Courier New" w:eastAsia="Courier New" w:hAnsi="Courier New"/>
                <w:sz w:val="18"/>
                <w:szCs w:val="18"/>
                <w:color w:val="auto"/>
              </w:rPr>
              <w:t>portfolio companies at quarter-end</w:t>
            </w:r>
          </w:p>
        </w:tc>
        <w:tc>
          <w:tcPr>
            <w:tcW w:w="116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51</w:t>
            </w:r>
          </w:p>
        </w:tc>
      </w:tr>
    </w:tbl>
    <w:p>
      <w:pPr>
        <w:spacing w:after="0" w:line="3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AT 10:00 A.M. ET ON MAY 4, 2012</w:t>
      </w:r>
    </w:p>
    <w:p>
      <w:pPr>
        <w:spacing w:after="0" w:line="212" w:lineRule="exact"/>
        <w:rPr>
          <w:sz w:val="20"/>
          <w:szCs w:val="20"/>
          <w:color w:val="auto"/>
        </w:rPr>
      </w:pPr>
    </w:p>
    <w:p>
      <w:pPr>
        <w:ind w:right="280"/>
        <w:spacing w:after="0" w:line="282" w:lineRule="auto"/>
        <w:rPr>
          <w:sz w:val="20"/>
          <w:szCs w:val="20"/>
          <w:color w:val="auto"/>
        </w:rPr>
      </w:pPr>
      <w:r>
        <w:rPr>
          <w:rFonts w:ascii="Arial" w:cs="Arial" w:eastAsia="Arial" w:hAnsi="Arial"/>
          <w:sz w:val="19"/>
          <w:szCs w:val="19"/>
          <w:color w:val="auto"/>
        </w:rPr>
        <w:t>The Company will host a conference call at 10:00 a.m. (Eastern Time) on Friday, May 4, 2012 to discuss its quarterly financial results. All interested parties are welcome to participate. You can access the conference call by dialing (888) 378-4350 approximately 5-10 minutes prior to the call. International callers should dial (719) 457-2625. All callers should reference PennantPark Floating Rate Capital Ltd. An archived replay of the call will be available through May 18, 2012 by calling (888) 203-1112. International callers please dial (719) 457-0820. For all phone replays, please reference conference ID #3847131.</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PORTFOLIO AND INVESTMENT ACTIVITY</w:t>
      </w:r>
    </w:p>
    <w:p>
      <w:pPr>
        <w:spacing w:after="0" w:line="212" w:lineRule="exact"/>
        <w:rPr>
          <w:sz w:val="20"/>
          <w:szCs w:val="20"/>
          <w:color w:val="auto"/>
        </w:rPr>
      </w:pPr>
    </w:p>
    <w:p>
      <w:pPr>
        <w:spacing w:after="0" w:line="234" w:lineRule="auto"/>
        <w:rPr>
          <w:sz w:val="20"/>
          <w:szCs w:val="20"/>
          <w:color w:val="auto"/>
        </w:rPr>
      </w:pPr>
      <w:r>
        <w:rPr>
          <w:rFonts w:ascii="Arial" w:cs="Arial" w:eastAsia="Arial" w:hAnsi="Arial"/>
          <w:sz w:val="22"/>
          <w:szCs w:val="22"/>
          <w:color w:val="auto"/>
        </w:rPr>
        <w:t>As of March 31, 2012, our portfolio totaled $146.2 million and consisted of $126.3 million of senior secured loans, $7.1 million of second lien secured debt, $12.8 million of subordinated debt, preferred and common equity investments. Our portfolio consisted of 85% variable-rate investments (including 80% with a London Interbank Offered Rate, or LIBOR, or prime floor) and 15% fixed-rate investments. Overall, the portfolio had net unrealized depreciation of less than $0.1 million. Our portfolio consisted of 51 companies with an average investment size of $2.9 million, had a weighted average yield on debt investments of 8.6% and was invested 86% in senior secured loans, 5% in second lien secured debt and 9% in subordinated debt, preferred and common equity investments.</w:t>
      </w:r>
    </w:p>
    <w:p>
      <w:pPr>
        <w:spacing w:after="0" w:line="191" w:lineRule="exact"/>
        <w:rPr>
          <w:sz w:val="20"/>
          <w:szCs w:val="20"/>
          <w:color w:val="auto"/>
        </w:rPr>
      </w:pPr>
    </w:p>
    <w:p>
      <w:pPr>
        <w:ind w:right="200"/>
        <w:spacing w:after="0" w:line="279" w:lineRule="auto"/>
        <w:rPr>
          <w:sz w:val="20"/>
          <w:szCs w:val="20"/>
          <w:color w:val="auto"/>
        </w:rPr>
      </w:pPr>
      <w:r>
        <w:rPr>
          <w:rFonts w:ascii="Arial" w:cs="Arial" w:eastAsia="Arial" w:hAnsi="Arial"/>
          <w:sz w:val="19"/>
          <w:szCs w:val="19"/>
          <w:color w:val="auto"/>
        </w:rPr>
        <w:t>As of September 30, 2011, our portfolio totaled $110.7 million and consisted of $94.3 million of senior secured loans, $9.3 million of second lien secured debt, $7.1 million of subordinated debt, preferred and common equity investments. Our portfolio consisted of 84% variable-rate investments (including 78% with a LIBOR or prime floor) and 16% fixed-rate investments. Overall, the portfolio had net unrealized depreciation of $4.1 million. Our overall portfolio consisted of 38 companies with an average investment size of $2.9 million, had a weighted average yield on debt investments of 8.0% and was invested 85% in senior secured loans, 9% in second lien secured debt and 6% in subordinated debt, preferred and common equity investments.</w:t>
      </w:r>
    </w:p>
    <w:p>
      <w:pPr>
        <w:spacing w:after="0" w:line="150" w:lineRule="exact"/>
        <w:rPr>
          <w:sz w:val="20"/>
          <w:szCs w:val="20"/>
          <w:color w:val="auto"/>
        </w:rPr>
      </w:pPr>
    </w:p>
    <w:p>
      <w:pPr>
        <w:ind w:right="240"/>
        <w:spacing w:after="0" w:line="287" w:lineRule="auto"/>
        <w:rPr>
          <w:sz w:val="20"/>
          <w:szCs w:val="20"/>
          <w:color w:val="auto"/>
        </w:rPr>
      </w:pPr>
      <w:r>
        <w:rPr>
          <w:rFonts w:ascii="Arial" w:cs="Arial" w:eastAsia="Arial" w:hAnsi="Arial"/>
          <w:sz w:val="19"/>
          <w:szCs w:val="19"/>
          <w:color w:val="auto"/>
        </w:rPr>
        <w:t>For the three months ended March 31, 2012, we invested $32.9 million in 12 new portfolio companies with a weighted average yield on debt investments of 8.9%. Sales and repayments of investments totaled $19.3 million for the same period. For the six months ended March 31, 2012, we invested $72.2 million in 25 new and two existing portfolio companies with a weighted average yield on debt investments of 9.2%. Sales and repayments of investments totaled $41.6 million for the same period.</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Set forth below are the results of operations for the three and six months ended March 31, 2012, respectively.</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Investment Income</w:t>
      </w:r>
    </w:p>
    <w:p>
      <w:pPr>
        <w:spacing w:after="0" w:line="212" w:lineRule="exact"/>
        <w:rPr>
          <w:sz w:val="20"/>
          <w:szCs w:val="20"/>
          <w:color w:val="auto"/>
        </w:rPr>
      </w:pPr>
    </w:p>
    <w:p>
      <w:pPr>
        <w:ind w:right="100"/>
        <w:spacing w:after="0" w:line="252" w:lineRule="auto"/>
        <w:rPr>
          <w:sz w:val="20"/>
          <w:szCs w:val="20"/>
          <w:color w:val="auto"/>
        </w:rPr>
      </w:pPr>
      <w:r>
        <w:rPr>
          <w:rFonts w:ascii="Arial" w:cs="Arial" w:eastAsia="Arial" w:hAnsi="Arial"/>
          <w:sz w:val="21"/>
          <w:szCs w:val="21"/>
          <w:color w:val="auto"/>
        </w:rPr>
        <w:t>Investment income for the three and six months ended March 31, 2012 was $2.9 million and $5.4 million, respectively, and was primarily attributable to $2.3 million and $4.3 million from senior secured loans investments, $0.3 million and $0.6 million from second lien secured debt investments and $0.3 million and $0.5 million from subordinated debt investments, respectively. We continue to find attractive investment opportunities and grow our portfolio.</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Expenses</w:t>
      </w:r>
    </w:p>
    <w:p>
      <w:pPr>
        <w:sectPr>
          <w:pgSz w:w="11900" w:h="16838" w:orient="portrait"/>
          <w:cols w:equalWidth="0" w:num="1">
            <w:col w:w="11240"/>
          </w:cols>
          <w:pgMar w:left="320" w:top="111" w:right="339" w:bottom="0" w:gutter="0" w:footer="0" w:header="0"/>
        </w:sectPr>
      </w:pPr>
    </w:p>
    <w:bookmarkStart w:id="3" w:name="page4"/>
    <w:bookmarkEnd w:id="3"/>
    <w:p>
      <w:pPr>
        <w:spacing w:after="0" w:line="249" w:lineRule="auto"/>
        <w:rPr>
          <w:sz w:val="20"/>
          <w:szCs w:val="20"/>
          <w:color w:val="auto"/>
        </w:rPr>
      </w:pPr>
      <w:r>
        <w:rPr>
          <w:rFonts w:ascii="Arial" w:cs="Arial" w:eastAsia="Arial" w:hAnsi="Arial"/>
          <w:sz w:val="21"/>
          <w:szCs w:val="21"/>
          <w:color w:val="auto"/>
        </w:rPr>
        <w:t>Expenses for the three and six months ended March 31, 2012 totaled $1.4 million and $2.5 million, respectively. Base management fees for the same period totaled $0.4 million and $0.7 million, performance-based incentive fees totaled $0.2 million and $0.2 million, our senior secured revolving credit facility, or the Credit Facility, expenses totaled $0.3 million and $0.6 million and general and administrative expenses totaled $0.5 million and $1.0 million, respectively. We expect our Credit Facility expenses and management fees to continue to increase as a result of growth in our portfolio.</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Investment Income</w:t>
      </w:r>
    </w:p>
    <w:p>
      <w:pPr>
        <w:spacing w:after="0" w:line="212" w:lineRule="exact"/>
        <w:rPr>
          <w:sz w:val="20"/>
          <w:szCs w:val="20"/>
          <w:color w:val="auto"/>
        </w:rPr>
      </w:pPr>
    </w:p>
    <w:p>
      <w:pPr>
        <w:ind w:right="60"/>
        <w:spacing w:after="0" w:line="250" w:lineRule="auto"/>
        <w:rPr>
          <w:sz w:val="20"/>
          <w:szCs w:val="20"/>
          <w:color w:val="auto"/>
        </w:rPr>
      </w:pPr>
      <w:r>
        <w:rPr>
          <w:rFonts w:ascii="Arial" w:cs="Arial" w:eastAsia="Arial" w:hAnsi="Arial"/>
          <w:sz w:val="22"/>
          <w:szCs w:val="22"/>
          <w:color w:val="auto"/>
        </w:rPr>
        <w:t>Net investment income totaled $1.5 million and $2.9 million, or $0.23 per share and $0.43 per share, for the three and six months ended March 31, 2012,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Realized Gains or Losses</w:t>
      </w:r>
    </w:p>
    <w:p>
      <w:pPr>
        <w:spacing w:after="0" w:line="212" w:lineRule="exact"/>
        <w:rPr>
          <w:sz w:val="20"/>
          <w:szCs w:val="20"/>
          <w:color w:val="auto"/>
        </w:rPr>
      </w:pPr>
    </w:p>
    <w:p>
      <w:pPr>
        <w:ind w:right="120"/>
        <w:spacing w:after="0" w:line="328" w:lineRule="auto"/>
        <w:rPr>
          <w:sz w:val="20"/>
          <w:szCs w:val="20"/>
          <w:color w:val="auto"/>
        </w:rPr>
      </w:pPr>
      <w:r>
        <w:rPr>
          <w:rFonts w:ascii="Arial" w:cs="Arial" w:eastAsia="Arial" w:hAnsi="Arial"/>
          <w:sz w:val="19"/>
          <w:szCs w:val="19"/>
          <w:color w:val="auto"/>
        </w:rPr>
        <w:t>Sales and repayments of investments for the three and six months ended March 31, 2012 totaled $19.3 million and $41.6 million and realized gains totaled $0.1 million and $0.4 million, respectively, due to rotation and refinancing of our debt investments.</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Unrealized Appreciation or Depreciation on Investments and Credit Facility</w:t>
      </w:r>
    </w:p>
    <w:p>
      <w:pPr>
        <w:spacing w:after="0" w:line="212" w:lineRule="exact"/>
        <w:rPr>
          <w:sz w:val="20"/>
          <w:szCs w:val="20"/>
          <w:color w:val="auto"/>
        </w:rPr>
      </w:pPr>
    </w:p>
    <w:p>
      <w:pPr>
        <w:ind w:right="60"/>
        <w:spacing w:after="0"/>
        <w:rPr>
          <w:sz w:val="20"/>
          <w:szCs w:val="20"/>
          <w:color w:val="auto"/>
        </w:rPr>
      </w:pPr>
      <w:r>
        <w:rPr>
          <w:rFonts w:ascii="Arial" w:cs="Arial" w:eastAsia="Arial" w:hAnsi="Arial"/>
          <w:sz w:val="22"/>
          <w:szCs w:val="22"/>
          <w:color w:val="auto"/>
        </w:rPr>
        <w:t>For the three and six months ended March 31, 2012, we reported unrealized appreciation on investments of $3.0 million and $4.1 million, respectively. On March 31, 2012 and September 30, 2011, net unrealized depreciation on investments totaled less than $0.1 million and $4.1 million, respectively.</w:t>
      </w:r>
    </w:p>
    <w:p>
      <w:pPr>
        <w:spacing w:after="0" w:line="186" w:lineRule="exact"/>
        <w:rPr>
          <w:sz w:val="20"/>
          <w:szCs w:val="20"/>
          <w:color w:val="auto"/>
        </w:rPr>
      </w:pPr>
    </w:p>
    <w:p>
      <w:pPr>
        <w:ind w:right="180"/>
        <w:spacing w:after="0" w:line="257" w:lineRule="auto"/>
        <w:rPr>
          <w:sz w:val="20"/>
          <w:szCs w:val="20"/>
          <w:color w:val="auto"/>
        </w:rPr>
      </w:pPr>
      <w:r>
        <w:rPr>
          <w:rFonts w:ascii="Arial" w:cs="Arial" w:eastAsia="Arial" w:hAnsi="Arial"/>
          <w:sz w:val="21"/>
          <w:szCs w:val="21"/>
          <w:color w:val="auto"/>
        </w:rPr>
        <w:t>For the three and six months ended March 31, 2012, our long-term Credit Facility payable increased (decreased) in value due to unrealized appreciation of $0.1 million and $(0.2) million, respectively. On March 31, 2012 and September 30, 2011, net unrealized depreciation on our long-term Credit Facility totaled $0.2 million and zero, respectively.</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Increase in Net Assets Resulting from Operations</w:t>
      </w:r>
    </w:p>
    <w:p>
      <w:pPr>
        <w:spacing w:after="0" w:line="212" w:lineRule="exact"/>
        <w:rPr>
          <w:sz w:val="20"/>
          <w:szCs w:val="20"/>
          <w:color w:val="auto"/>
        </w:rPr>
      </w:pPr>
    </w:p>
    <w:p>
      <w:pPr>
        <w:ind w:right="340"/>
        <w:spacing w:after="0" w:line="250" w:lineRule="auto"/>
        <w:rPr>
          <w:sz w:val="20"/>
          <w:szCs w:val="20"/>
          <w:color w:val="auto"/>
        </w:rPr>
      </w:pPr>
      <w:r>
        <w:rPr>
          <w:rFonts w:ascii="Arial" w:cs="Arial" w:eastAsia="Arial" w:hAnsi="Arial"/>
          <w:sz w:val="22"/>
          <w:szCs w:val="22"/>
          <w:color w:val="auto"/>
        </w:rPr>
        <w:t>Net increase in net assets resulting from operations totaled $4.5 million and $7.6 million, or $0.66 and $1.12 per share, for the three and six months ended March 31, 2012,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12" w:lineRule="exact"/>
        <w:rPr>
          <w:sz w:val="20"/>
          <w:szCs w:val="20"/>
          <w:color w:val="auto"/>
        </w:rPr>
      </w:pPr>
    </w:p>
    <w:p>
      <w:pPr>
        <w:ind w:right="120"/>
        <w:spacing w:after="0" w:line="236" w:lineRule="auto"/>
        <w:rPr>
          <w:sz w:val="20"/>
          <w:szCs w:val="20"/>
          <w:color w:val="auto"/>
        </w:rPr>
      </w:pPr>
      <w:r>
        <w:rPr>
          <w:rFonts w:ascii="Arial" w:cs="Arial" w:eastAsia="Arial" w:hAnsi="Arial"/>
          <w:sz w:val="22"/>
          <w:szCs w:val="22"/>
          <w:color w:val="auto"/>
        </w:rPr>
        <w:t>Our liquidity and capital resources were and are derived from our initial public offering, our Credit Facility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Credit Facility, proceeds from the rotation of our portfolio and proceeds from public and private offerings of securities to finance our investment objectives.</w:t>
      </w:r>
    </w:p>
    <w:p>
      <w:pPr>
        <w:spacing w:after="0" w:line="187" w:lineRule="exact"/>
        <w:rPr>
          <w:sz w:val="20"/>
          <w:szCs w:val="20"/>
          <w:color w:val="auto"/>
        </w:rPr>
      </w:pPr>
    </w:p>
    <w:p>
      <w:pPr>
        <w:ind w:right="60"/>
        <w:spacing w:after="0" w:line="328" w:lineRule="auto"/>
        <w:rPr>
          <w:sz w:val="20"/>
          <w:szCs w:val="20"/>
          <w:color w:val="auto"/>
        </w:rPr>
      </w:pPr>
      <w:r>
        <w:rPr>
          <w:rFonts w:ascii="Arial" w:cs="Arial" w:eastAsia="Arial" w:hAnsi="Arial"/>
          <w:sz w:val="19"/>
          <w:szCs w:val="19"/>
          <w:color w:val="auto"/>
        </w:rPr>
        <w:t>On March 31, 2012 and September 30, 2011, we had outstanding borrowings of $47.8 million and $24.7 million under our Credit Facility, with a weighted average interest rate of 2.54% and 2.53% excluding the 0.50% undrawn commitment fee, respectively.</w:t>
      </w:r>
    </w:p>
    <w:p>
      <w:pPr>
        <w:spacing w:after="0" w:line="105" w:lineRule="exact"/>
        <w:rPr>
          <w:sz w:val="20"/>
          <w:szCs w:val="20"/>
          <w:color w:val="auto"/>
        </w:rPr>
      </w:pPr>
    </w:p>
    <w:p>
      <w:pPr>
        <w:ind w:right="340"/>
        <w:spacing w:after="0"/>
        <w:rPr>
          <w:sz w:val="20"/>
          <w:szCs w:val="20"/>
          <w:color w:val="auto"/>
        </w:rPr>
      </w:pPr>
      <w:r>
        <w:rPr>
          <w:rFonts w:ascii="Arial" w:cs="Arial" w:eastAsia="Arial" w:hAnsi="Arial"/>
          <w:sz w:val="22"/>
          <w:szCs w:val="22"/>
          <w:color w:val="auto"/>
        </w:rPr>
        <w:t>Our operating activities used cash of $23.3 million for the six months ended March 31, 2012 primarily due to investments and offset by repayments. Our financing activities provided cash of $20.2 million for the same period primarily due to net draws under the Credit Facility.</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DISTRIBUTIONS</w:t>
      </w:r>
    </w:p>
    <w:p>
      <w:pPr>
        <w:spacing w:after="0" w:line="212" w:lineRule="exact"/>
        <w:rPr>
          <w:sz w:val="20"/>
          <w:szCs w:val="20"/>
          <w:color w:val="auto"/>
        </w:rPr>
      </w:pPr>
    </w:p>
    <w:p>
      <w:pPr>
        <w:ind w:right="20"/>
        <w:spacing w:after="0" w:line="236" w:lineRule="auto"/>
        <w:rPr>
          <w:sz w:val="20"/>
          <w:szCs w:val="20"/>
          <w:color w:val="auto"/>
        </w:rPr>
      </w:pPr>
      <w:r>
        <w:rPr>
          <w:rFonts w:ascii="Arial" w:cs="Arial" w:eastAsia="Arial" w:hAnsi="Arial"/>
          <w:sz w:val="22"/>
          <w:szCs w:val="22"/>
          <w:color w:val="auto"/>
        </w:rPr>
        <w:t>During the three and six months ended March 31, 2012, we declared to stockholders distributions of $0.225 and $0.435 per share, respectively, for total distributions of $1.5 million and $3.0 million, respectively. Distributions are paid from taxable earnings and may include a return of capital and/or capital gains. The specific tax characteristics of the distributions will be reported to stockholders on Form 1099-DIV after the end of the calendar year and in our periodic reports filed with the Securities and Exchange Commission.</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pacing w:after="0" w:line="212" w:lineRule="exact"/>
        <w:rPr>
          <w:sz w:val="20"/>
          <w:szCs w:val="20"/>
          <w:color w:val="auto"/>
        </w:rPr>
      </w:pPr>
    </w:p>
    <w:p>
      <w:pPr>
        <w:ind w:right="300"/>
        <w:spacing w:after="0" w:line="250" w:lineRule="auto"/>
        <w:rPr>
          <w:sz w:val="20"/>
          <w:szCs w:val="20"/>
          <w:color w:val="auto"/>
        </w:rPr>
      </w:pPr>
      <w:r>
        <w:rPr>
          <w:rFonts w:ascii="Arial" w:cs="Arial" w:eastAsia="Arial" w:hAnsi="Arial"/>
          <w:sz w:val="22"/>
          <w:szCs w:val="22"/>
          <w:color w:val="auto"/>
        </w:rPr>
        <w:t>The Company makes available on its website its report on Form 10-Q filed with the Securities and Exchange Commission and stockholders may find the report on its website at www.pennantpark.com.</w:t>
      </w:r>
    </w:p>
    <w:p>
      <w:pPr>
        <w:spacing w:after="0" w:line="396" w:lineRule="exact"/>
        <w:rPr>
          <w:sz w:val="20"/>
          <w:szCs w:val="20"/>
          <w:color w:val="auto"/>
        </w:rPr>
      </w:pPr>
    </w:p>
    <w:p>
      <w:pPr>
        <w:jc w:val="center"/>
        <w:ind w:right="3340"/>
        <w:spacing w:after="0"/>
        <w:rPr>
          <w:sz w:val="20"/>
          <w:szCs w:val="20"/>
          <w:color w:val="auto"/>
        </w:rPr>
      </w:pPr>
      <w:r>
        <w:rPr>
          <w:rFonts w:ascii="Courier New" w:cs="Courier New" w:eastAsia="Courier New" w:hAnsi="Courier New"/>
          <w:sz w:val="18"/>
          <w:szCs w:val="18"/>
          <w:color w:val="auto"/>
        </w:rPr>
        <w:t>PENNANTPARK FLOATING RATE CAPITAL LTD. AND SUBSIDIARY</w:t>
      </w:r>
    </w:p>
    <w:p>
      <w:pPr>
        <w:jc w:val="center"/>
        <w:ind w:right="3340"/>
        <w:spacing w:after="0" w:line="238" w:lineRule="auto"/>
        <w:rPr>
          <w:sz w:val="20"/>
          <w:szCs w:val="20"/>
          <w:color w:val="auto"/>
        </w:rPr>
      </w:pPr>
      <w:r>
        <w:rPr>
          <w:rFonts w:ascii="Courier New" w:cs="Courier New" w:eastAsia="Courier New" w:hAnsi="Courier New"/>
          <w:sz w:val="18"/>
          <w:szCs w:val="18"/>
          <w:color w:val="auto"/>
        </w:rPr>
        <w:t>CONSOLIDATED STATEMENTS OF ASSETS AND LIABILITIES</w:t>
      </w:r>
    </w:p>
    <w:p>
      <w:pPr>
        <w:sectPr>
          <w:pgSz w:w="11900" w:h="16838" w:orient="portrait"/>
          <w:cols w:equalWidth="0" w:num="1">
            <w:col w:w="11240"/>
          </w:cols>
          <w:pgMar w:left="320" w:top="118" w:right="339" w:bottom="0" w:gutter="0" w:footer="0" w:header="0"/>
        </w:sectPr>
      </w:pPr>
    </w:p>
    <w:p>
      <w:pPr>
        <w:spacing w:after="0" w:line="201"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March 31,</w:t>
      </w:r>
    </w:p>
    <w:p>
      <w:pPr>
        <w:ind w:left="5480"/>
        <w:spacing w:after="0" w:line="238" w:lineRule="auto"/>
        <w:rPr>
          <w:sz w:val="20"/>
          <w:szCs w:val="20"/>
          <w:color w:val="auto"/>
        </w:rPr>
      </w:pPr>
      <w:r>
        <w:rPr>
          <w:rFonts w:ascii="Courier New" w:cs="Courier New" w:eastAsia="Courier New" w:hAnsi="Courier New"/>
          <w:sz w:val="18"/>
          <w:szCs w:val="18"/>
          <w:color w:val="auto"/>
        </w:rPr>
        <w:t>2012</w:t>
      </w:r>
    </w:p>
    <w:p>
      <w:pPr>
        <w:spacing w:after="0" w:line="5" w:lineRule="exact"/>
        <w:rPr>
          <w:sz w:val="20"/>
          <w:szCs w:val="20"/>
          <w:color w:val="auto"/>
        </w:rPr>
      </w:pPr>
    </w:p>
    <w:p>
      <w:pPr>
        <w:ind w:left="5160"/>
        <w:spacing w:after="0"/>
        <w:rPr>
          <w:sz w:val="20"/>
          <w:szCs w:val="20"/>
          <w:color w:val="auto"/>
        </w:rPr>
      </w:pPr>
      <w:r>
        <w:rPr>
          <w:rFonts w:ascii="Courier New" w:cs="Courier New" w:eastAsia="Courier New" w:hAnsi="Courier New"/>
          <w:sz w:val="16"/>
          <w:szCs w:val="16"/>
          <w:color w:val="auto"/>
        </w:rPr>
        <w:t>(unaudited)</w:t>
      </w:r>
    </w:p>
    <w:p>
      <w:pPr>
        <w:spacing w:after="0" w:line="21"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30,</w:t>
      </w:r>
    </w:p>
    <w:p>
      <w:pPr>
        <w:spacing w:after="0" w:line="16"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2011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ectPr>
          <w:pgSz w:w="11900" w:h="16838" w:orient="portrait"/>
          <w:cols w:equalWidth="0" w:num="2">
            <w:col w:w="6320" w:space="220"/>
            <w:col w:w="4700"/>
          </w:cols>
          <w:pgMar w:left="320" w:top="118" w:right="339"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Assets</w:t>
      </w:r>
    </w:p>
    <w:p>
      <w:pPr>
        <w:spacing w:after="0" w:line="238" w:lineRule="auto"/>
        <w:rPr>
          <w:sz w:val="20"/>
          <w:szCs w:val="20"/>
          <w:color w:val="auto"/>
        </w:rPr>
      </w:pPr>
      <w:r>
        <w:rPr>
          <w:rFonts w:ascii="Courier New" w:cs="Courier New" w:eastAsia="Courier New" w:hAnsi="Courier New"/>
          <w:sz w:val="18"/>
          <w:szCs w:val="18"/>
          <w:color w:val="auto"/>
        </w:rPr>
        <w:t>Investments at fair value</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Non-controlled, non-affiliated investments,</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at fair value</w:t>
      </w:r>
    </w:p>
    <w:p>
      <w:pPr>
        <w:ind w:left="640"/>
        <w:spacing w:after="0" w:line="238" w:lineRule="auto"/>
        <w:rPr>
          <w:sz w:val="20"/>
          <w:szCs w:val="20"/>
          <w:color w:val="auto"/>
        </w:rPr>
      </w:pPr>
      <w:r>
        <w:rPr>
          <w:rFonts w:ascii="Courier New" w:cs="Courier New" w:eastAsia="Courier New" w:hAnsi="Courier New"/>
          <w:sz w:val="18"/>
          <w:szCs w:val="18"/>
          <w:color w:val="auto"/>
        </w:rPr>
        <w:t>(cost--$146,227,958 and $114,829,621,</w:t>
      </w:r>
    </w:p>
    <w:p>
      <w:pPr>
        <w:sectPr>
          <w:pgSz w:w="11900" w:h="16838" w:orient="portrait"/>
          <w:cols w:equalWidth="0" w:num="1">
            <w:col w:w="11240"/>
          </w:cols>
          <w:pgMar w:left="320" w:top="118" w:right="339" w:bottom="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4900" w:type="dxa"/>
            <w:vAlign w:val="bottom"/>
          </w:tcPr>
          <w:p>
            <w:pPr>
              <w:ind w:left="740"/>
              <w:spacing w:after="0"/>
              <w:rPr>
                <w:sz w:val="20"/>
                <w:szCs w:val="20"/>
                <w:color w:val="auto"/>
              </w:rPr>
            </w:pPr>
            <w:r>
              <w:rPr>
                <w:rFonts w:ascii="Courier New" w:cs="Courier New" w:eastAsia="Courier New" w:hAnsi="Courier New"/>
                <w:sz w:val="18"/>
                <w:szCs w:val="18"/>
                <w:color w:val="auto"/>
              </w:rPr>
              <w:t>respectively)</w:t>
            </w:r>
          </w:p>
        </w:tc>
        <w:tc>
          <w:tcPr>
            <w:tcW w:w="158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w w:val="99"/>
              </w:rPr>
              <w:t>$ 146,188,132</w:t>
            </w:r>
          </w:p>
        </w:tc>
        <w:tc>
          <w:tcPr>
            <w:tcW w:w="154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w w:val="99"/>
              </w:rPr>
              <w:t>$ 110,724,241</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equivalents</w:t>
            </w:r>
          </w:p>
        </w:tc>
        <w:tc>
          <w:tcPr>
            <w:tcW w:w="220" w:type="dxa"/>
            <w:vAlign w:val="bottom"/>
          </w:tcPr>
          <w:p>
            <w:pPr>
              <w:spacing w:after="0"/>
              <w:rPr>
                <w:sz w:val="17"/>
                <w:szCs w:val="17"/>
                <w:color w:val="auto"/>
              </w:rPr>
            </w:pP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3,849,360</w:t>
            </w:r>
          </w:p>
        </w:tc>
        <w:tc>
          <w:tcPr>
            <w:tcW w:w="2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6,987,450</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receivable</w:t>
            </w:r>
          </w:p>
        </w:tc>
        <w:tc>
          <w:tcPr>
            <w:tcW w:w="220" w:type="dxa"/>
            <w:vAlign w:val="bottom"/>
          </w:tcPr>
          <w:p>
            <w:pPr>
              <w:spacing w:after="0"/>
              <w:rPr>
                <w:sz w:val="17"/>
                <w:szCs w:val="17"/>
                <w:color w:val="auto"/>
              </w:rPr>
            </w:pP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1,085,930</w:t>
            </w:r>
          </w:p>
        </w:tc>
        <w:tc>
          <w:tcPr>
            <w:tcW w:w="2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732,695</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Receivable for investments sold</w:t>
            </w:r>
          </w:p>
        </w:tc>
        <w:tc>
          <w:tcPr>
            <w:tcW w:w="220" w:type="dxa"/>
            <w:vAlign w:val="bottom"/>
          </w:tcPr>
          <w:p>
            <w:pPr>
              <w:spacing w:after="0"/>
              <w:rPr>
                <w:sz w:val="17"/>
                <w:szCs w:val="17"/>
                <w:color w:val="auto"/>
              </w:rPr>
            </w:pP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2,467,500</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expenses and other assets</w:t>
            </w:r>
          </w:p>
        </w:tc>
        <w:tc>
          <w:tcPr>
            <w:tcW w:w="220" w:type="dxa"/>
            <w:vAlign w:val="bottom"/>
          </w:tcPr>
          <w:p>
            <w:pPr>
              <w:spacing w:after="0"/>
              <w:rPr>
                <w:sz w:val="17"/>
                <w:szCs w:val="17"/>
                <w:color w:val="auto"/>
              </w:rPr>
            </w:pP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50,742</w:t>
            </w:r>
          </w:p>
        </w:tc>
        <w:tc>
          <w:tcPr>
            <w:tcW w:w="2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163,374</w:t>
            </w:r>
          </w:p>
        </w:tc>
      </w:tr>
      <w:tr>
        <w:trPr>
          <w:trHeight w:val="203"/>
        </w:trPr>
        <w:tc>
          <w:tcPr>
            <w:tcW w:w="4900" w:type="dxa"/>
            <w:vAlign w:val="bottom"/>
          </w:tcPr>
          <w:p>
            <w:pPr>
              <w:spacing w:after="0"/>
              <w:rPr>
                <w:sz w:val="17"/>
                <w:szCs w:val="17"/>
                <w:color w:val="auto"/>
              </w:rPr>
            </w:pP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2"/>
        </w:trPr>
        <w:tc>
          <w:tcPr>
            <w:tcW w:w="49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Total assets</w:t>
            </w:r>
          </w:p>
        </w:tc>
        <w:tc>
          <w:tcPr>
            <w:tcW w:w="220" w:type="dxa"/>
            <w:vAlign w:val="bottom"/>
          </w:tcPr>
          <w:p>
            <w:pPr>
              <w:spacing w:after="0"/>
              <w:rPr>
                <w:sz w:val="17"/>
                <w:szCs w:val="17"/>
                <w:color w:val="auto"/>
              </w:rPr>
            </w:pP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151,174,164</w:t>
            </w:r>
          </w:p>
        </w:tc>
        <w:tc>
          <w:tcPr>
            <w:tcW w:w="2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121,075,260</w:t>
            </w:r>
          </w:p>
        </w:tc>
      </w:tr>
      <w:tr>
        <w:trPr>
          <w:trHeight w:val="203"/>
        </w:trPr>
        <w:tc>
          <w:tcPr>
            <w:tcW w:w="4900" w:type="dxa"/>
            <w:vAlign w:val="bottom"/>
          </w:tcPr>
          <w:p>
            <w:pPr>
              <w:spacing w:after="0"/>
              <w:rPr>
                <w:sz w:val="17"/>
                <w:szCs w:val="17"/>
                <w:color w:val="auto"/>
              </w:rPr>
            </w:pP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Distributions payable</w:t>
            </w:r>
          </w:p>
        </w:tc>
        <w:tc>
          <w:tcPr>
            <w:tcW w:w="220" w:type="dxa"/>
            <w:vAlign w:val="bottom"/>
          </w:tcPr>
          <w:p>
            <w:pPr>
              <w:spacing w:after="0"/>
              <w:rPr>
                <w:sz w:val="17"/>
                <w:szCs w:val="17"/>
                <w:color w:val="auto"/>
              </w:rPr>
            </w:pP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513,800</w:t>
            </w:r>
          </w:p>
        </w:tc>
        <w:tc>
          <w:tcPr>
            <w:tcW w:w="2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479,547</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Payable for investments purchased</w:t>
            </w:r>
          </w:p>
        </w:tc>
        <w:tc>
          <w:tcPr>
            <w:tcW w:w="220" w:type="dxa"/>
            <w:vAlign w:val="bottom"/>
          </w:tcPr>
          <w:p>
            <w:pPr>
              <w:spacing w:after="0"/>
              <w:rPr>
                <w:sz w:val="17"/>
                <w:szCs w:val="17"/>
                <w:color w:val="auto"/>
              </w:rPr>
            </w:pP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2,940,000</w:t>
            </w:r>
          </w:p>
        </w:tc>
        <w:tc>
          <w:tcPr>
            <w:tcW w:w="2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990,000</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Unfunded investments</w:t>
            </w:r>
          </w:p>
        </w:tc>
        <w:tc>
          <w:tcPr>
            <w:tcW w:w="220" w:type="dxa"/>
            <w:vAlign w:val="bottom"/>
          </w:tcPr>
          <w:p>
            <w:pPr>
              <w:spacing w:after="0"/>
              <w:rPr>
                <w:sz w:val="17"/>
                <w:szCs w:val="17"/>
                <w:color w:val="auto"/>
              </w:rPr>
            </w:pP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2,161,880</w:t>
            </w:r>
          </w:p>
        </w:tc>
        <w:tc>
          <w:tcPr>
            <w:tcW w:w="2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2,323,250</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Credit Facility payable (cost--$47,800,000 and</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$24,650,000, respectively)</w:t>
            </w:r>
          </w:p>
        </w:tc>
        <w:tc>
          <w:tcPr>
            <w:tcW w:w="220" w:type="dxa"/>
            <w:vAlign w:val="bottom"/>
          </w:tcPr>
          <w:p>
            <w:pPr>
              <w:spacing w:after="0"/>
              <w:rPr>
                <w:sz w:val="17"/>
                <w:szCs w:val="17"/>
                <w:color w:val="auto"/>
              </w:rPr>
            </w:pP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47,561,000</w:t>
            </w:r>
          </w:p>
        </w:tc>
        <w:tc>
          <w:tcPr>
            <w:tcW w:w="2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24,650,000</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payable on Credit Facility</w:t>
            </w:r>
          </w:p>
        </w:tc>
        <w:tc>
          <w:tcPr>
            <w:tcW w:w="220" w:type="dxa"/>
            <w:vAlign w:val="bottom"/>
          </w:tcPr>
          <w:p>
            <w:pPr>
              <w:spacing w:after="0"/>
              <w:rPr>
                <w:sz w:val="17"/>
                <w:szCs w:val="17"/>
                <w:color w:val="auto"/>
              </w:rPr>
            </w:pP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342,495</w:t>
            </w:r>
          </w:p>
        </w:tc>
        <w:tc>
          <w:tcPr>
            <w:tcW w:w="2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150,246</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Management fee payable</w:t>
            </w:r>
          </w:p>
        </w:tc>
        <w:tc>
          <w:tcPr>
            <w:tcW w:w="220" w:type="dxa"/>
            <w:vAlign w:val="bottom"/>
          </w:tcPr>
          <w:p>
            <w:pPr>
              <w:spacing w:after="0"/>
              <w:rPr>
                <w:sz w:val="17"/>
                <w:szCs w:val="17"/>
                <w:color w:val="auto"/>
              </w:rPr>
            </w:pP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370,352</w:t>
            </w:r>
          </w:p>
        </w:tc>
        <w:tc>
          <w:tcPr>
            <w:tcW w:w="2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266,432</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Performance-based incentive fees payable</w:t>
            </w:r>
          </w:p>
        </w:tc>
        <w:tc>
          <w:tcPr>
            <w:tcW w:w="220" w:type="dxa"/>
            <w:vAlign w:val="bottom"/>
          </w:tcPr>
          <w:p>
            <w:pPr>
              <w:spacing w:after="0"/>
              <w:rPr>
                <w:sz w:val="17"/>
                <w:szCs w:val="17"/>
                <w:color w:val="auto"/>
              </w:rPr>
            </w:pP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175,740</w:t>
            </w:r>
          </w:p>
        </w:tc>
        <w:tc>
          <w:tcPr>
            <w:tcW w:w="2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other expenses</w:t>
            </w:r>
          </w:p>
        </w:tc>
        <w:tc>
          <w:tcPr>
            <w:tcW w:w="220" w:type="dxa"/>
            <w:vAlign w:val="bottom"/>
          </w:tcPr>
          <w:p>
            <w:pPr>
              <w:spacing w:after="0"/>
              <w:rPr>
                <w:sz w:val="17"/>
                <w:szCs w:val="17"/>
                <w:color w:val="auto"/>
              </w:rPr>
            </w:pP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386,592</w:t>
            </w:r>
          </w:p>
        </w:tc>
        <w:tc>
          <w:tcPr>
            <w:tcW w:w="2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143,680</w:t>
            </w:r>
          </w:p>
        </w:tc>
      </w:tr>
      <w:tr>
        <w:trPr>
          <w:trHeight w:val="203"/>
        </w:trPr>
        <w:tc>
          <w:tcPr>
            <w:tcW w:w="4900" w:type="dxa"/>
            <w:vAlign w:val="bottom"/>
          </w:tcPr>
          <w:p>
            <w:pPr>
              <w:spacing w:after="0"/>
              <w:rPr>
                <w:sz w:val="17"/>
                <w:szCs w:val="17"/>
                <w:color w:val="auto"/>
              </w:rPr>
            </w:pP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9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Total liabilities</w:t>
            </w:r>
          </w:p>
        </w:tc>
        <w:tc>
          <w:tcPr>
            <w:tcW w:w="220" w:type="dxa"/>
            <w:vAlign w:val="bottom"/>
          </w:tcPr>
          <w:p>
            <w:pPr>
              <w:spacing w:after="0"/>
              <w:rPr>
                <w:sz w:val="17"/>
                <w:szCs w:val="17"/>
                <w:color w:val="auto"/>
              </w:rPr>
            </w:pP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54,451,859</w:t>
            </w:r>
          </w:p>
        </w:tc>
        <w:tc>
          <w:tcPr>
            <w:tcW w:w="2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29,003,155</w:t>
            </w:r>
          </w:p>
        </w:tc>
      </w:tr>
      <w:tr>
        <w:trPr>
          <w:trHeight w:val="203"/>
        </w:trPr>
        <w:tc>
          <w:tcPr>
            <w:tcW w:w="4900" w:type="dxa"/>
            <w:vAlign w:val="bottom"/>
          </w:tcPr>
          <w:p>
            <w:pPr>
              <w:spacing w:after="0"/>
              <w:rPr>
                <w:sz w:val="17"/>
                <w:szCs w:val="17"/>
                <w:color w:val="auto"/>
              </w:rPr>
            </w:pP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Assets</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 6,850,667 shares are issued and</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outstanding.</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8"/>
              </w:rPr>
              <w:t>Par value $0.001 per share and 100,000,000</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shares authorized.</w:t>
            </w:r>
          </w:p>
        </w:tc>
        <w:tc>
          <w:tcPr>
            <w:tcW w:w="220" w:type="dxa"/>
            <w:vAlign w:val="bottom"/>
          </w:tcPr>
          <w:p>
            <w:pPr>
              <w:spacing w:after="0"/>
              <w:rPr>
                <w:sz w:val="17"/>
                <w:szCs w:val="17"/>
                <w:color w:val="auto"/>
              </w:rPr>
            </w:pP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6,851</w:t>
            </w:r>
          </w:p>
        </w:tc>
        <w:tc>
          <w:tcPr>
            <w:tcW w:w="2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6,851</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Paid-in capital in excess of par value</w:t>
            </w:r>
          </w:p>
        </w:tc>
        <w:tc>
          <w:tcPr>
            <w:tcW w:w="220" w:type="dxa"/>
            <w:vAlign w:val="bottom"/>
          </w:tcPr>
          <w:p>
            <w:pPr>
              <w:spacing w:after="0"/>
              <w:rPr>
                <w:sz w:val="17"/>
                <w:szCs w:val="17"/>
                <w:color w:val="auto"/>
              </w:rPr>
            </w:pP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97,251,174</w:t>
            </w:r>
          </w:p>
        </w:tc>
        <w:tc>
          <w:tcPr>
            <w:tcW w:w="2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97,251,174</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Distributions in excess of net investment</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income</w:t>
            </w:r>
          </w:p>
        </w:tc>
        <w:tc>
          <w:tcPr>
            <w:tcW w:w="22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(1,452,769)</w:t>
            </w:r>
          </w:p>
        </w:tc>
        <w:tc>
          <w:tcPr>
            <w:tcW w:w="22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(1,392,528)</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Accumulated net realized gain on investments</w:t>
            </w:r>
          </w:p>
        </w:tc>
        <w:tc>
          <w:tcPr>
            <w:tcW w:w="220" w:type="dxa"/>
            <w:vAlign w:val="bottom"/>
          </w:tcPr>
          <w:p>
            <w:pPr>
              <w:spacing w:after="0"/>
              <w:rPr>
                <w:sz w:val="17"/>
                <w:szCs w:val="17"/>
                <w:color w:val="auto"/>
              </w:rPr>
            </w:pP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717,875</w:t>
            </w:r>
          </w:p>
        </w:tc>
        <w:tc>
          <w:tcPr>
            <w:tcW w:w="2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311,988</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unrealized depreciation on investments</w:t>
            </w:r>
          </w:p>
        </w:tc>
        <w:tc>
          <w:tcPr>
            <w:tcW w:w="22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(39,826)</w:t>
            </w:r>
          </w:p>
        </w:tc>
        <w:tc>
          <w:tcPr>
            <w:tcW w:w="22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(4,105,380)</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Net unrealized depreciation on Credit Facility</w:t>
            </w:r>
          </w:p>
        </w:tc>
        <w:tc>
          <w:tcPr>
            <w:tcW w:w="220" w:type="dxa"/>
            <w:vAlign w:val="bottom"/>
          </w:tcPr>
          <w:p>
            <w:pPr>
              <w:spacing w:after="0"/>
              <w:rPr>
                <w:sz w:val="17"/>
                <w:szCs w:val="17"/>
                <w:color w:val="auto"/>
              </w:rPr>
            </w:pP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239,000</w:t>
            </w:r>
          </w:p>
        </w:tc>
        <w:tc>
          <w:tcPr>
            <w:tcW w:w="2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spacing w:after="0"/>
              <w:rPr>
                <w:sz w:val="17"/>
                <w:szCs w:val="17"/>
                <w:color w:val="auto"/>
              </w:rPr>
            </w:pP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9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Total net assets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96,722,305</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92,072,105</w:t>
            </w:r>
          </w:p>
        </w:tc>
      </w:tr>
      <w:tr>
        <w:trPr>
          <w:trHeight w:val="203"/>
        </w:trPr>
        <w:tc>
          <w:tcPr>
            <w:tcW w:w="4900" w:type="dxa"/>
            <w:vAlign w:val="bottom"/>
          </w:tcPr>
          <w:p>
            <w:pPr>
              <w:spacing w:after="0"/>
              <w:rPr>
                <w:sz w:val="17"/>
                <w:szCs w:val="17"/>
                <w:color w:val="auto"/>
              </w:rPr>
            </w:pP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9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Total liabilities and net assets</w:t>
            </w: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$ 151,174,164</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$ 121,075,260</w:t>
            </w:r>
          </w:p>
        </w:tc>
      </w:tr>
      <w:tr>
        <w:trPr>
          <w:trHeight w:val="203"/>
        </w:trPr>
        <w:tc>
          <w:tcPr>
            <w:tcW w:w="4900" w:type="dxa"/>
            <w:vAlign w:val="bottom"/>
          </w:tcPr>
          <w:p>
            <w:pPr>
              <w:spacing w:after="0"/>
              <w:rPr>
                <w:sz w:val="17"/>
                <w:szCs w:val="17"/>
                <w:color w:val="auto"/>
              </w:rPr>
            </w:pP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asset value per share</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14.12</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13.44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PENNANTPARK FLOATING RATE CAPITAL LTD. AND SUBSIDIARY</w:t>
      </w:r>
    </w:p>
    <w:p>
      <w:pPr>
        <w:ind w:left="2120"/>
        <w:spacing w:after="0" w:line="238" w:lineRule="auto"/>
        <w:rPr>
          <w:sz w:val="20"/>
          <w:szCs w:val="20"/>
          <w:color w:val="auto"/>
        </w:rPr>
      </w:pPr>
      <w:r>
        <w:rPr>
          <w:rFonts w:ascii="Courier New" w:cs="Courier New" w:eastAsia="Courier New" w:hAnsi="Courier New"/>
          <w:sz w:val="18"/>
          <w:szCs w:val="18"/>
          <w:color w:val="auto"/>
        </w:rPr>
        <w:t>CONSOLIDATED STATEMENT OF OPERATIONS</w:t>
      </w:r>
    </w:p>
    <w:tbl>
      <w:tblPr>
        <w:tblLayout w:type="fixed"/>
        <w:tblInd w:w="0" w:type="dxa"/>
        <w:tblCellMar>
          <w:top w:w="0" w:type="dxa"/>
          <w:left w:w="0" w:type="dxa"/>
          <w:bottom w:w="0" w:type="dxa"/>
          <w:right w:w="0" w:type="dxa"/>
        </w:tblCellMar>
      </w:tblPr>
      <w:tr>
        <w:trPr>
          <w:trHeight w:val="203"/>
        </w:trPr>
        <w:tc>
          <w:tcPr>
            <w:tcW w:w="5120" w:type="dxa"/>
            <w:vAlign w:val="bottom"/>
          </w:tcPr>
          <w:p>
            <w:pPr>
              <w:ind w:left="3380"/>
              <w:spacing w:after="0" w:line="203" w:lineRule="exact"/>
              <w:rPr>
                <w:sz w:val="20"/>
                <w:szCs w:val="20"/>
                <w:color w:val="auto"/>
              </w:rPr>
            </w:pPr>
            <w:r>
              <w:rPr>
                <w:rFonts w:ascii="Courier New" w:cs="Courier New" w:eastAsia="Courier New" w:hAnsi="Courier New"/>
                <w:sz w:val="18"/>
                <w:szCs w:val="18"/>
                <w:color w:val="auto"/>
              </w:rPr>
              <w:t>(Unaudited)</w:t>
            </w: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405"/>
        </w:trPr>
        <w:tc>
          <w:tcPr>
            <w:tcW w:w="5120" w:type="dxa"/>
            <w:vAlign w:val="bottom"/>
          </w:tcPr>
          <w:p>
            <w:pPr>
              <w:spacing w:after="0"/>
              <w:rPr>
                <w:sz w:val="24"/>
                <w:szCs w:val="24"/>
                <w:color w:val="auto"/>
              </w:rPr>
            </w:pPr>
          </w:p>
        </w:tc>
        <w:tc>
          <w:tcPr>
            <w:tcW w:w="1460" w:type="dxa"/>
            <w:vAlign w:val="bottom"/>
          </w:tcPr>
          <w:p>
            <w:pPr>
              <w:jc w:val="right"/>
              <w:ind w:right="52"/>
              <w:spacing w:after="0"/>
              <w:rPr>
                <w:sz w:val="20"/>
                <w:szCs w:val="20"/>
                <w:color w:val="auto"/>
              </w:rPr>
            </w:pPr>
            <w:r>
              <w:rPr>
                <w:rFonts w:ascii="Courier New" w:cs="Courier New" w:eastAsia="Courier New" w:hAnsi="Courier New"/>
                <w:sz w:val="18"/>
                <w:szCs w:val="18"/>
                <w:color w:val="auto"/>
              </w:rPr>
              <w:t>Three Months</w:t>
            </w:r>
          </w:p>
        </w:tc>
        <w:tc>
          <w:tcPr>
            <w:tcW w:w="14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Six Months</w:t>
            </w:r>
          </w:p>
        </w:tc>
      </w:tr>
      <w:tr>
        <w:trPr>
          <w:trHeight w:val="203"/>
        </w:trPr>
        <w:tc>
          <w:tcPr>
            <w:tcW w:w="5120" w:type="dxa"/>
            <w:vAlign w:val="bottom"/>
          </w:tcPr>
          <w:p>
            <w:pPr>
              <w:spacing w:after="0"/>
              <w:rPr>
                <w:sz w:val="17"/>
                <w:szCs w:val="17"/>
                <w:color w:val="auto"/>
              </w:rPr>
            </w:pPr>
          </w:p>
        </w:tc>
        <w:tc>
          <w:tcPr>
            <w:tcW w:w="146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Ended</w:t>
            </w:r>
          </w:p>
        </w:tc>
        <w:tc>
          <w:tcPr>
            <w:tcW w:w="14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Ended</w:t>
            </w:r>
          </w:p>
        </w:tc>
      </w:tr>
      <w:tr>
        <w:trPr>
          <w:trHeight w:val="203"/>
        </w:trPr>
        <w:tc>
          <w:tcPr>
            <w:tcW w:w="5120" w:type="dxa"/>
            <w:vAlign w:val="bottom"/>
          </w:tcPr>
          <w:p>
            <w:pPr>
              <w:spacing w:after="0"/>
              <w:rPr>
                <w:sz w:val="17"/>
                <w:szCs w:val="17"/>
                <w:color w:val="auto"/>
              </w:rPr>
            </w:pPr>
          </w:p>
        </w:tc>
        <w:tc>
          <w:tcPr>
            <w:tcW w:w="14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March 31,</w:t>
            </w:r>
          </w:p>
        </w:tc>
        <w:tc>
          <w:tcPr>
            <w:tcW w:w="14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March 31,</w:t>
            </w:r>
          </w:p>
        </w:tc>
      </w:tr>
      <w:tr>
        <w:trPr>
          <w:trHeight w:val="203"/>
        </w:trPr>
        <w:tc>
          <w:tcPr>
            <w:tcW w:w="5120" w:type="dxa"/>
            <w:vAlign w:val="bottom"/>
          </w:tcPr>
          <w:p>
            <w:pPr>
              <w:spacing w:after="0"/>
              <w:rPr>
                <w:sz w:val="17"/>
                <w:szCs w:val="17"/>
                <w:color w:val="auto"/>
              </w:rPr>
            </w:pPr>
          </w:p>
        </w:tc>
        <w:tc>
          <w:tcPr>
            <w:tcW w:w="146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2012</w:t>
            </w:r>
          </w:p>
        </w:tc>
        <w:tc>
          <w:tcPr>
            <w:tcW w:w="14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2012</w:t>
            </w:r>
          </w:p>
        </w:tc>
      </w:tr>
      <w:tr>
        <w:trPr>
          <w:trHeight w:val="203"/>
        </w:trPr>
        <w:tc>
          <w:tcPr>
            <w:tcW w:w="5120" w:type="dxa"/>
            <w:vAlign w:val="bottom"/>
          </w:tcPr>
          <w:p>
            <w:pPr>
              <w:spacing w:after="0"/>
              <w:rPr>
                <w:sz w:val="17"/>
                <w:szCs w:val="17"/>
                <w:color w:val="auto"/>
              </w:rPr>
            </w:pP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 income:</w:t>
            </w: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From non-controlled, non-affiliated investments:</w:t>
            </w: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  2,943,730</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5,410,758</w:t>
            </w:r>
          </w:p>
        </w:tc>
      </w:tr>
      <w:tr>
        <w:trPr>
          <w:trHeight w:val="203"/>
        </w:trPr>
        <w:tc>
          <w:tcPr>
            <w:tcW w:w="5120" w:type="dxa"/>
            <w:vAlign w:val="bottom"/>
          </w:tcPr>
          <w:p>
            <w:pPr>
              <w:spacing w:after="0"/>
              <w:rPr>
                <w:sz w:val="17"/>
                <w:szCs w:val="17"/>
                <w:color w:val="auto"/>
              </w:rPr>
            </w:pP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Expenses:</w:t>
            </w: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Base management fee</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370,352</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686,197</w:t>
            </w: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Performance-base incentive fees payable</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175,740</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175,740</w:t>
            </w: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and expenses on the Credit Facility</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342,496</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621,476</w:t>
            </w: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Administrative services expenses</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149,624</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287,959</w:t>
            </w: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general and administrative expenses</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360,618</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719,587</w:t>
            </w:r>
          </w:p>
        </w:tc>
      </w:tr>
      <w:tr>
        <w:trPr>
          <w:trHeight w:val="203"/>
        </w:trPr>
        <w:tc>
          <w:tcPr>
            <w:tcW w:w="5120" w:type="dxa"/>
            <w:vAlign w:val="bottom"/>
          </w:tcPr>
          <w:p>
            <w:pPr>
              <w:spacing w:after="0"/>
              <w:rPr>
                <w:sz w:val="17"/>
                <w:szCs w:val="17"/>
                <w:color w:val="auto"/>
              </w:rPr>
            </w:pP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expenses</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1,398,830</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2,490,959</w:t>
            </w:r>
          </w:p>
        </w:tc>
      </w:tr>
      <w:tr>
        <w:trPr>
          <w:trHeight w:val="203"/>
        </w:trPr>
        <w:tc>
          <w:tcPr>
            <w:tcW w:w="5120" w:type="dxa"/>
            <w:vAlign w:val="bottom"/>
          </w:tcPr>
          <w:p>
            <w:pPr>
              <w:spacing w:after="0"/>
              <w:rPr>
                <w:sz w:val="17"/>
                <w:szCs w:val="17"/>
                <w:color w:val="auto"/>
              </w:rPr>
            </w:pP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investment income</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1,544,900</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2,919,799</w:t>
            </w:r>
          </w:p>
        </w:tc>
      </w:tr>
      <w:tr>
        <w:trPr>
          <w:trHeight w:val="203"/>
        </w:trPr>
        <w:tc>
          <w:tcPr>
            <w:tcW w:w="5120" w:type="dxa"/>
            <w:vAlign w:val="bottom"/>
          </w:tcPr>
          <w:p>
            <w:pPr>
              <w:spacing w:after="0"/>
              <w:rPr>
                <w:sz w:val="17"/>
                <w:szCs w:val="17"/>
                <w:color w:val="auto"/>
              </w:rPr>
            </w:pP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2"/>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Realized and unrealized gain on investments and</w:t>
            </w: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5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Credit Facility:</w:t>
            </w: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realized gain on non-controlled, non-</w:t>
            </w: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2"/>
        </w:trPr>
        <w:tc>
          <w:tcPr>
            <w:tcW w:w="5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affiliated investments</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95,712</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405,887</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change in unrealized depreciation on:</w:t>
            </w: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Non-controlled, non-affiliated investments</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2,996,463</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4,065,554</w:t>
            </w: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Credit Facility depreciation</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(112,000)</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239,000</w:t>
            </w:r>
          </w:p>
        </w:tc>
      </w:tr>
      <w:tr>
        <w:trPr>
          <w:trHeight w:val="203"/>
        </w:trPr>
        <w:tc>
          <w:tcPr>
            <w:tcW w:w="5120" w:type="dxa"/>
            <w:vAlign w:val="bottom"/>
          </w:tcPr>
          <w:p>
            <w:pPr>
              <w:spacing w:after="0"/>
              <w:rPr>
                <w:sz w:val="17"/>
                <w:szCs w:val="17"/>
                <w:color w:val="auto"/>
              </w:rPr>
            </w:pP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change in unrealized depreciation on</w:t>
            </w: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5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investments and Credit Facility</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2,884,463</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4,304,554</w:t>
            </w:r>
          </w:p>
        </w:tc>
      </w:tr>
      <w:tr>
        <w:trPr>
          <w:trHeight w:val="202"/>
        </w:trPr>
        <w:tc>
          <w:tcPr>
            <w:tcW w:w="5120" w:type="dxa"/>
            <w:vAlign w:val="bottom"/>
          </w:tcPr>
          <w:p>
            <w:pPr>
              <w:spacing w:after="0"/>
              <w:rPr>
                <w:sz w:val="17"/>
                <w:szCs w:val="17"/>
                <w:color w:val="auto"/>
              </w:rPr>
            </w:pP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realized and unrealized gain from</w:t>
            </w: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2"/>
        </w:trPr>
        <w:tc>
          <w:tcPr>
            <w:tcW w:w="5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 and Credit Facility</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2,980,175</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4,710,441</w:t>
            </w:r>
          </w:p>
        </w:tc>
      </w:tr>
      <w:tr>
        <w:trPr>
          <w:trHeight w:val="203"/>
        </w:trPr>
        <w:tc>
          <w:tcPr>
            <w:tcW w:w="5120" w:type="dxa"/>
            <w:vAlign w:val="bottom"/>
          </w:tcPr>
          <w:p>
            <w:pPr>
              <w:spacing w:after="0"/>
              <w:rPr>
                <w:sz w:val="17"/>
                <w:szCs w:val="17"/>
                <w:color w:val="auto"/>
              </w:rPr>
            </w:pP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 in net assets resulting from</w:t>
            </w: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bl>
    <w:p>
      <w:pPr>
        <w:sectPr>
          <w:pgSz w:w="11900" w:h="16838" w:orient="portrait"/>
          <w:cols w:equalWidth="0" w:num="1">
            <w:col w:w="10139"/>
          </w:cols>
          <w:pgMar w:left="320" w:top="136" w:right="1440"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40" w:type="dxa"/>
            <w:vAlign w:val="bottom"/>
          </w:tcPr>
          <w:p>
            <w:pPr>
              <w:ind w:left="120"/>
              <w:spacing w:after="0"/>
              <w:rPr>
                <w:sz w:val="20"/>
                <w:szCs w:val="20"/>
                <w:color w:val="auto"/>
              </w:rPr>
            </w:pPr>
            <w:r>
              <w:rPr>
                <w:rFonts w:ascii="Courier New" w:cs="Courier New" w:eastAsia="Courier New" w:hAnsi="Courier New"/>
                <w:sz w:val="18"/>
                <w:szCs w:val="18"/>
                <w:color w:val="auto"/>
              </w:rPr>
              <w:t>operations</w:t>
            </w:r>
          </w:p>
        </w:tc>
        <w:tc>
          <w:tcPr>
            <w:tcW w:w="6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4,525,075</w:t>
            </w:r>
          </w:p>
        </w:tc>
        <w:tc>
          <w:tcPr>
            <w:tcW w:w="320" w:type="dxa"/>
            <w:vAlign w:val="bottom"/>
          </w:tcPr>
          <w:p>
            <w:pPr>
              <w:ind w:left="100"/>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7,630,240</w:t>
            </w:r>
          </w:p>
        </w:tc>
      </w:tr>
      <w:tr>
        <w:trPr>
          <w:trHeight w:val="203"/>
        </w:trPr>
        <w:tc>
          <w:tcPr>
            <w:tcW w:w="4740" w:type="dxa"/>
            <w:vAlign w:val="bottom"/>
          </w:tcPr>
          <w:p>
            <w:pPr>
              <w:spacing w:after="0"/>
              <w:rPr>
                <w:sz w:val="17"/>
                <w:szCs w:val="17"/>
                <w:color w:val="auto"/>
              </w:rPr>
            </w:pPr>
          </w:p>
        </w:tc>
        <w:tc>
          <w:tcPr>
            <w:tcW w:w="18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 in net assets resulting from</w:t>
            </w:r>
          </w:p>
        </w:tc>
        <w:tc>
          <w:tcPr>
            <w:tcW w:w="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operations per common share</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0.66</w:t>
            </w:r>
          </w:p>
        </w:tc>
        <w:tc>
          <w:tcPr>
            <w:tcW w:w="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1.12</w:t>
            </w:r>
          </w:p>
        </w:tc>
      </w:tr>
      <w:tr>
        <w:trPr>
          <w:trHeight w:val="203"/>
        </w:trPr>
        <w:tc>
          <w:tcPr>
            <w:tcW w:w="4740" w:type="dxa"/>
            <w:vAlign w:val="bottom"/>
          </w:tcPr>
          <w:p>
            <w:pPr>
              <w:spacing w:after="0"/>
              <w:rPr>
                <w:sz w:val="17"/>
                <w:szCs w:val="17"/>
                <w:color w:val="auto"/>
              </w:rPr>
            </w:pPr>
          </w:p>
        </w:tc>
        <w:tc>
          <w:tcPr>
            <w:tcW w:w="18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investment income per common share</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0.23</w:t>
            </w:r>
          </w:p>
        </w:tc>
        <w:tc>
          <w:tcPr>
            <w:tcW w:w="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0.43</w:t>
            </w:r>
          </w:p>
        </w:tc>
      </w:tr>
      <w:tr>
        <w:trPr>
          <w:trHeight w:val="203"/>
        </w:trPr>
        <w:tc>
          <w:tcPr>
            <w:tcW w:w="4740" w:type="dxa"/>
            <w:vAlign w:val="bottom"/>
          </w:tcPr>
          <w:p>
            <w:pPr>
              <w:spacing w:after="0"/>
              <w:rPr>
                <w:sz w:val="17"/>
                <w:szCs w:val="17"/>
                <w:color w:val="auto"/>
              </w:rPr>
            </w:pPr>
          </w:p>
        </w:tc>
        <w:tc>
          <w:tcPr>
            <w:tcW w:w="18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6"/>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FLOATING RATE CAPITAL LTD.</w:t>
      </w:r>
    </w:p>
    <w:p>
      <w:pPr>
        <w:spacing w:after="0" w:line="212" w:lineRule="exact"/>
        <w:rPr>
          <w:sz w:val="20"/>
          <w:szCs w:val="20"/>
          <w:color w:val="auto"/>
        </w:rPr>
      </w:pPr>
    </w:p>
    <w:p>
      <w:pPr>
        <w:ind w:right="56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12" w:lineRule="exact"/>
        <w:rPr>
          <w:sz w:val="20"/>
          <w:szCs w:val="20"/>
          <w:color w:val="auto"/>
        </w:rPr>
      </w:pPr>
    </w:p>
    <w:p>
      <w:pPr>
        <w:ind w:right="20"/>
        <w:spacing w:after="0" w:line="279"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50"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 You should not place undue influence on such forward-looking statements as such statements speak only as of the date on which they are made. We do not undertake to update our forward-looking statements unless required by law.</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rPr>
          <w:sz w:val="20"/>
          <w:szCs w:val="20"/>
          <w:color w:val="auto"/>
        </w:rPr>
      </w:pPr>
      <w:r>
        <w:rPr>
          <w:rFonts w:ascii="Courier New" w:cs="Courier New" w:eastAsia="Courier New" w:hAnsi="Courier New"/>
          <w:sz w:val="18"/>
          <w:szCs w:val="18"/>
          <w:color w:val="auto"/>
        </w:rPr>
        <w:t>Reception: (212) 905-1000</w:t>
      </w:r>
    </w:p>
    <w:p>
      <w:pPr>
        <w:spacing w:after="0" w:line="237" w:lineRule="auto"/>
        <w:rPr>
          <w:sz w:val="20"/>
          <w:szCs w:val="20"/>
          <w:color w:val="auto"/>
        </w:rPr>
      </w:pPr>
      <w:r>
        <w:rPr>
          <w:rFonts w:ascii="Courier New" w:cs="Courier New" w:eastAsia="Courier New" w:hAnsi="Courier New"/>
          <w:sz w:val="18"/>
          <w:szCs w:val="18"/>
          <w:color w:val="auto"/>
        </w:rPr>
        <w:t>www.pennantpark.com</w:t>
      </w:r>
    </w:p>
    <w:sectPr>
      <w:pgSz w:w="11900" w:h="16838" w:orient="portrait"/>
      <w:cols w:equalWidth="0" w:num="1">
        <w:col w:w="11200"/>
      </w:cols>
      <w:pgMar w:left="320" w:top="136"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2020-05-05T12:04:14Z</dcterms:created>
  <dcterms:modified xsi:type="dcterms:W3CDTF">2020-05-05T12:04:14Z</dcterms:modified>
</cp:coreProperties>
</file>