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333-215111</w:t>
      </w:r>
    </w:p>
    <w:p>
      <w:pPr>
        <w:spacing w:after="0" w:line="140"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Prospectus Supplement</w:t>
      </w:r>
    </w:p>
    <w:p>
      <w:pPr>
        <w:spacing w:after="0" w:line="6" w:lineRule="exact"/>
        <w:rPr>
          <w:sz w:val="24"/>
          <w:szCs w:val="24"/>
          <w:color w:val="auto"/>
        </w:rPr>
      </w:pPr>
    </w:p>
    <w:p>
      <w:pPr>
        <w:ind w:left="200"/>
        <w:spacing w:after="0"/>
        <w:rPr>
          <w:sz w:val="20"/>
          <w:szCs w:val="20"/>
          <w:color w:val="auto"/>
        </w:rPr>
      </w:pPr>
      <w:r>
        <w:rPr>
          <w:rFonts w:ascii="Arial" w:cs="Arial" w:eastAsia="Arial" w:hAnsi="Arial"/>
          <w:sz w:val="15"/>
          <w:szCs w:val="15"/>
          <w:b w:val="1"/>
          <w:bCs w:val="1"/>
          <w:color w:val="auto"/>
        </w:rPr>
        <w:t>To the Prospectus dated January 19,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36830</wp:posOffset>
            </wp:positionV>
            <wp:extent cx="222123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6,000,000 Shares</w:t>
      </w:r>
    </w:p>
    <w:p>
      <w:pPr>
        <w:spacing w:after="0" w:line="69" w:lineRule="exact"/>
        <w:rPr>
          <w:sz w:val="24"/>
          <w:szCs w:val="24"/>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25"/>
          <w:szCs w:val="25"/>
          <w:b w:val="1"/>
          <w:bCs w:val="1"/>
          <w:color w:val="auto"/>
        </w:rPr>
        <w:t>$14.15 Per Share</w:t>
      </w:r>
    </w:p>
    <w:p>
      <w:pPr>
        <w:spacing w:after="0" w:line="72" w:lineRule="exact"/>
        <w:rPr>
          <w:sz w:val="24"/>
          <w:szCs w:val="24"/>
          <w:color w:val="auto"/>
        </w:rPr>
      </w:pPr>
    </w:p>
    <w:p>
      <w:pPr>
        <w:ind w:left="200" w:right="340" w:firstLine="331"/>
        <w:spacing w:after="0" w:line="314" w:lineRule="auto"/>
        <w:rPr>
          <w:sz w:val="20"/>
          <w:szCs w:val="20"/>
          <w:color w:val="auto"/>
        </w:rPr>
      </w:pPr>
      <w:r>
        <w:rPr>
          <w:rFonts w:ascii="Arial" w:cs="Arial" w:eastAsia="Arial" w:hAnsi="Arial"/>
          <w:sz w:val="13"/>
          <w:szCs w:val="13"/>
          <w:color w:val="auto"/>
        </w:rPr>
        <w:t>We are offering for sale 6,000,000 shares of our common stock. Our common stock is traded on the NASDAQ Global Select Market under the symbol “PFLT.” The last reported closing sale price for our common stock on October 24, 2017 was $14.59 per share. The net asset value of our common stock on June 30, 2017 was $14.05 per share.</w:t>
      </w:r>
    </w:p>
    <w:p>
      <w:pPr>
        <w:ind w:left="200" w:right="120" w:firstLine="331"/>
        <w:spacing w:after="0" w:line="255" w:lineRule="auto"/>
        <w:rPr>
          <w:sz w:val="20"/>
          <w:szCs w:val="20"/>
          <w:color w:val="auto"/>
        </w:rPr>
      </w:pPr>
      <w:r>
        <w:rPr>
          <w:rFonts w:ascii="Arial" w:cs="Arial" w:eastAsia="Arial" w:hAnsi="Arial"/>
          <w:sz w:val="15"/>
          <w:szCs w:val="15"/>
          <w:color w:val="auto"/>
        </w:rPr>
        <w:t>PennantPark Floating Rate Capital Ltd., a Maryland corporation, is a closed-end, externally managed, non-diversified investment company that has elected to be treated as a business development company under the Investment Company Act of 1940, as amended.</w:t>
      </w:r>
    </w:p>
    <w:p>
      <w:pPr>
        <w:spacing w:after="0" w:line="25" w:lineRule="exact"/>
        <w:rPr>
          <w:sz w:val="24"/>
          <w:szCs w:val="24"/>
          <w:color w:val="auto"/>
        </w:rPr>
      </w:pPr>
    </w:p>
    <w:p>
      <w:pPr>
        <w:ind w:left="200" w:right="140" w:firstLine="331"/>
        <w:spacing w:after="0" w:line="236" w:lineRule="auto"/>
        <w:rPr>
          <w:sz w:val="20"/>
          <w:szCs w:val="20"/>
          <w:color w:val="auto"/>
        </w:rPr>
      </w:pPr>
      <w:r>
        <w:rPr>
          <w:rFonts w:ascii="Arial" w:cs="Arial" w:eastAsia="Arial" w:hAnsi="Arial"/>
          <w:sz w:val="15"/>
          <w:szCs w:val="15"/>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37" w:lineRule="exact"/>
        <w:rPr>
          <w:sz w:val="24"/>
          <w:szCs w:val="24"/>
          <w:color w:val="auto"/>
        </w:rPr>
      </w:pPr>
    </w:p>
    <w:p>
      <w:pPr>
        <w:ind w:left="54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82" w:lineRule="exact"/>
        <w:rPr>
          <w:sz w:val="24"/>
          <w:szCs w:val="24"/>
          <w:color w:val="auto"/>
        </w:rPr>
      </w:pPr>
    </w:p>
    <w:p>
      <w:pPr>
        <w:ind w:left="200" w:right="40" w:firstLine="331"/>
        <w:spacing w:after="0" w:line="254" w:lineRule="auto"/>
        <w:rPr>
          <w:sz w:val="20"/>
          <w:szCs w:val="20"/>
          <w:color w:val="auto"/>
        </w:rPr>
      </w:pPr>
      <w:r>
        <w:rPr>
          <w:rFonts w:ascii="Arial" w:cs="Arial" w:eastAsia="Arial" w:hAnsi="Arial"/>
          <w:sz w:val="14"/>
          <w:szCs w:val="14"/>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4"/>
          <w:szCs w:val="14"/>
          <w:i w:val="1"/>
          <w:iCs w:val="1"/>
          <w:u w:val="single" w:color="auto"/>
          <w:color w:val="auto"/>
        </w:rPr>
        <w:t>www.pennantpark.com</w:t>
      </w:r>
      <w:r>
        <w:rPr>
          <w:rFonts w:ascii="Arial" w:cs="Arial" w:eastAsia="Arial" w:hAnsi="Arial"/>
          <w:sz w:val="14"/>
          <w:szCs w:val="14"/>
          <w:color w:val="auto"/>
        </w:rPr>
        <w:t xml:space="preserve">. The information on our website is not incorporated by reference into this prospectus supplement or the accompanying prospectus. The SEC also maintains a website at </w:t>
      </w:r>
      <w:r>
        <w:rPr>
          <w:rFonts w:ascii="Arial" w:cs="Arial" w:eastAsia="Arial" w:hAnsi="Arial"/>
          <w:sz w:val="14"/>
          <w:szCs w:val="14"/>
          <w:i w:val="1"/>
          <w:iCs w:val="1"/>
          <w:u w:val="single" w:color="auto"/>
          <w:color w:val="auto"/>
        </w:rPr>
        <w:t>www.sec.gov</w:t>
      </w:r>
      <w:r>
        <w:rPr>
          <w:rFonts w:ascii="Arial" w:cs="Arial" w:eastAsia="Arial" w:hAnsi="Arial"/>
          <w:sz w:val="14"/>
          <w:szCs w:val="14"/>
          <w:color w:val="auto"/>
        </w:rPr>
        <w:t xml:space="preserve"> that contains such information free of charge.</w:t>
      </w:r>
    </w:p>
    <w:p>
      <w:pPr>
        <w:spacing w:after="0" w:line="11" w:lineRule="exact"/>
        <w:rPr>
          <w:sz w:val="24"/>
          <w:szCs w:val="24"/>
          <w:color w:val="auto"/>
        </w:rPr>
      </w:pPr>
    </w:p>
    <w:p>
      <w:pPr>
        <w:ind w:left="200" w:right="120" w:firstLine="331"/>
        <w:spacing w:after="0" w:line="252"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including the risk of leverage. Before buying any shares of our common stock, you should read the discussion of the material risks of investing in us in “</w:t>
      </w:r>
      <w:hyperlink w:anchor="page13">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S-10 of this prospectus supplement and page 8 of the accompanying prospectus.</w:t>
      </w:r>
    </w:p>
    <w:p>
      <w:pPr>
        <w:spacing w:after="0" w:line="32" w:lineRule="exact"/>
        <w:rPr>
          <w:sz w:val="24"/>
          <w:szCs w:val="24"/>
          <w:color w:val="auto"/>
        </w:rPr>
      </w:pPr>
    </w:p>
    <w:p>
      <w:pPr>
        <w:ind w:left="200" w:right="120" w:firstLine="331"/>
        <w:spacing w:after="0" w:line="314"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 w:lineRule="exact"/>
        <w:rPr>
          <w:sz w:val="24"/>
          <w:szCs w:val="24"/>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608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Public offering price</w:t>
            </w: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14.1500</w:t>
            </w:r>
          </w:p>
        </w:tc>
        <w:tc>
          <w:tcPr>
            <w:tcW w:w="4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0"/>
              </w:rPr>
              <w:t>84,900,000</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6080" w:type="dxa"/>
            <w:vAlign w:val="bottom"/>
          </w:tcPr>
          <w:p>
            <w:pPr>
              <w:spacing w:after="0" w:line="162" w:lineRule="exact"/>
              <w:rPr>
                <w:sz w:val="20"/>
                <w:szCs w:val="20"/>
                <w:color w:val="auto"/>
              </w:rPr>
            </w:pPr>
            <w:r>
              <w:rPr>
                <w:rFonts w:ascii="Arial" w:cs="Arial" w:eastAsia="Arial" w:hAnsi="Arial"/>
                <w:sz w:val="15"/>
                <w:szCs w:val="15"/>
                <w:color w:val="auto"/>
              </w:rPr>
              <w:t xml:space="preserve">Underwriting discounts and commissions (sales load) </w:t>
            </w:r>
            <w:r>
              <w:rPr>
                <w:rFonts w:ascii="Arial" w:cs="Arial" w:eastAsia="Arial" w:hAnsi="Arial"/>
                <w:sz w:val="13"/>
                <w:szCs w:val="13"/>
                <w:color w:val="auto"/>
              </w:rPr>
              <w:t>(1)</w:t>
            </w:r>
          </w:p>
        </w:tc>
        <w:tc>
          <w:tcPr>
            <w:tcW w:w="5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2" w:lineRule="exact"/>
              <w:rPr>
                <w:sz w:val="20"/>
                <w:szCs w:val="20"/>
                <w:color w:val="auto"/>
              </w:rPr>
            </w:pPr>
            <w:r>
              <w:rPr>
                <w:rFonts w:ascii="Arial" w:cs="Arial" w:eastAsia="Arial" w:hAnsi="Arial"/>
                <w:sz w:val="15"/>
                <w:szCs w:val="15"/>
                <w:color w:val="auto"/>
              </w:rPr>
              <w:t>0.0933</w:t>
            </w:r>
          </w:p>
        </w:tc>
        <w:tc>
          <w:tcPr>
            <w:tcW w:w="5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559,800</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0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7"/>
              </w:rPr>
              <w:t>Proceeds to PennantPark Floating Rate Capital Ltd. (before estimated expenses of $425,000)</w:t>
            </w:r>
          </w:p>
        </w:tc>
        <w:tc>
          <w:tcPr>
            <w:tcW w:w="5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2"/>
              </w:rPr>
              <w:t>14.0567</w:t>
            </w:r>
          </w:p>
        </w:tc>
        <w:tc>
          <w:tcPr>
            <w:tcW w:w="5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0"/>
              </w:rPr>
              <w:t>84,340,200</w:t>
            </w:r>
          </w:p>
        </w:tc>
        <w:tc>
          <w:tcPr>
            <w:tcW w:w="40" w:type="dxa"/>
            <w:vAlign w:val="bottom"/>
            <w:shd w:val="clear" w:color="auto" w:fill="CCEEFF"/>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6" w:lineRule="exact"/>
        <w:rPr>
          <w:sz w:val="24"/>
          <w:szCs w:val="24"/>
          <w:color w:val="auto"/>
        </w:rPr>
      </w:pPr>
    </w:p>
    <w:p>
      <w:pPr>
        <w:ind w:left="520" w:right="20" w:hanging="316"/>
        <w:spacing w:after="0" w:line="266"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Our investment adviser, PennantPark Investment Advisers, LLC, has agreed to pay approximately $2.0 million, or $0.33 per share (or approximately $2.3 million, or $0.33 per share if the option to purchase additional shares is fully exercised) of the underwriting discounts and/or commissions in connection with this offering, which amount is not reflected in the above table. All other expenses of the offering, including the sales load not paid by our investment adviser, will be borne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97155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0" w:lineRule="exact"/>
        <w:rPr>
          <w:sz w:val="24"/>
          <w:szCs w:val="24"/>
          <w:color w:val="auto"/>
        </w:rPr>
      </w:pPr>
    </w:p>
    <w:p>
      <w:pPr>
        <w:ind w:left="200" w:right="200" w:firstLine="331"/>
        <w:spacing w:after="0" w:line="238" w:lineRule="auto"/>
        <w:rPr>
          <w:sz w:val="20"/>
          <w:szCs w:val="20"/>
          <w:color w:val="auto"/>
        </w:rPr>
      </w:pPr>
      <w:r>
        <w:rPr>
          <w:rFonts w:ascii="Arial" w:cs="Arial" w:eastAsia="Arial" w:hAnsi="Arial"/>
          <w:sz w:val="15"/>
          <w:szCs w:val="15"/>
          <w:b w:val="1"/>
          <w:bCs w:val="1"/>
          <w:color w:val="auto"/>
        </w:rPr>
        <w:t>The underwriters may also purchase up to an additional 900,000 shares from us at the public offering price, within 30 days from the date of this prospectus supplement. If the underwriters exercise this option in full, the total public offering price will be $97.6 million, the underwriting discount and commissions (sales load) that will be paid by us will be $0.6 million and the underwriting discount and/or commissions paid by PennantPark Investment Advisers, LLC will be approximately $2.3 million and our total proceeds, before estimated expenses, will be $97.0 million.</w:t>
      </w:r>
    </w:p>
    <w:p>
      <w:pPr>
        <w:spacing w:after="0" w:line="32" w:lineRule="exact"/>
        <w:rPr>
          <w:sz w:val="24"/>
          <w:szCs w:val="24"/>
          <w:color w:val="auto"/>
        </w:rPr>
      </w:pPr>
    </w:p>
    <w:p>
      <w:pPr>
        <w:ind w:left="540"/>
        <w:spacing w:after="0"/>
        <w:rPr>
          <w:sz w:val="20"/>
          <w:szCs w:val="20"/>
          <w:color w:val="auto"/>
        </w:rPr>
      </w:pPr>
      <w:r>
        <w:rPr>
          <w:rFonts w:ascii="Arial" w:cs="Arial" w:eastAsia="Arial" w:hAnsi="Arial"/>
          <w:sz w:val="15"/>
          <w:szCs w:val="15"/>
          <w:b w:val="1"/>
          <w:bCs w:val="1"/>
          <w:color w:val="auto"/>
        </w:rPr>
        <w:t>The underwriters expect to deliver the shares on or about October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124460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7" w:lineRule="exact"/>
        <w:rPr>
          <w:sz w:val="24"/>
          <w:szCs w:val="24"/>
          <w:color w:val="auto"/>
        </w:rPr>
      </w:pPr>
    </w:p>
    <w:p>
      <w:pPr>
        <w:jc w:val="center"/>
        <w:ind w:right="-199"/>
        <w:spacing w:after="0"/>
        <w:rPr>
          <w:sz w:val="20"/>
          <w:szCs w:val="20"/>
          <w:color w:val="auto"/>
        </w:rPr>
      </w:pPr>
      <w:r>
        <w:rPr>
          <w:rFonts w:ascii="Arial" w:cs="Arial" w:eastAsia="Arial" w:hAnsi="Arial"/>
          <w:sz w:val="15"/>
          <w:szCs w:val="15"/>
          <w:i w:val="1"/>
          <w:iCs w:val="1"/>
          <w:color w:val="auto"/>
        </w:rPr>
        <w:t>Joint Bookrunners</w:t>
      </w:r>
    </w:p>
    <w:p>
      <w:pPr>
        <w:sectPr>
          <w:pgSz w:w="11900" w:h="16838" w:orient="portrait"/>
          <w:cols w:equalWidth="0" w:num="1">
            <w:col w:w="11220"/>
          </w:cols>
          <w:pgMar w:left="240" w:top="230" w:right="439" w:bottom="1440" w:gutter="0" w:footer="0" w:header="0"/>
        </w:sectPr>
      </w:pPr>
    </w:p>
    <w:p>
      <w:pPr>
        <w:spacing w:after="0" w:line="112" w:lineRule="exact"/>
        <w:rPr>
          <w:sz w:val="24"/>
          <w:szCs w:val="24"/>
          <w:color w:val="auto"/>
        </w:rPr>
      </w:pPr>
    </w:p>
    <w:p>
      <w:pPr>
        <w:ind w:left="200"/>
        <w:spacing w:after="0"/>
        <w:rPr>
          <w:sz w:val="20"/>
          <w:szCs w:val="20"/>
          <w:color w:val="auto"/>
        </w:rPr>
      </w:pPr>
      <w:r>
        <w:rPr>
          <w:rFonts w:ascii="Arial" w:cs="Arial" w:eastAsia="Arial" w:hAnsi="Arial"/>
          <w:sz w:val="12"/>
          <w:szCs w:val="12"/>
          <w:b w:val="1"/>
          <w:bCs w:val="1"/>
          <w:color w:val="auto"/>
        </w:rPr>
        <w:t>Morgan Stanley</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J.P. Morgan</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tabs>
          <w:tab w:leader="none" w:pos="1440" w:val="left"/>
        </w:tabs>
        <w:rPr>
          <w:sz w:val="20"/>
          <w:szCs w:val="20"/>
          <w:color w:val="auto"/>
        </w:rPr>
      </w:pPr>
      <w:r>
        <w:rPr>
          <w:rFonts w:ascii="Arial" w:cs="Arial" w:eastAsia="Arial" w:hAnsi="Arial"/>
          <w:sz w:val="14"/>
          <w:szCs w:val="14"/>
          <w:b w:val="1"/>
          <w:bCs w:val="1"/>
          <w:color w:val="auto"/>
        </w:rPr>
        <w:t>RBC Capital Markets</w:t>
      </w:r>
      <w:r>
        <w:rPr>
          <w:sz w:val="20"/>
          <w:szCs w:val="20"/>
          <w:color w:val="auto"/>
        </w:rPr>
        <w:tab/>
      </w:r>
      <w:r>
        <w:rPr>
          <w:rFonts w:ascii="Arial" w:cs="Arial" w:eastAsia="Arial" w:hAnsi="Arial"/>
          <w:sz w:val="12"/>
          <w:szCs w:val="12"/>
          <w:b w:val="1"/>
          <w:bCs w:val="1"/>
          <w:color w:val="auto"/>
        </w:rPr>
        <w:t>SunTrust Robinson Humphrey</w:t>
      </w:r>
    </w:p>
    <w:p>
      <w:pPr>
        <w:spacing w:after="0" w:line="13" w:lineRule="exact"/>
        <w:rPr>
          <w:sz w:val="24"/>
          <w:szCs w:val="24"/>
          <w:color w:val="auto"/>
        </w:rPr>
      </w:pPr>
    </w:p>
    <w:p>
      <w:pPr>
        <w:sectPr>
          <w:pgSz w:w="11900" w:h="16838" w:orient="portrait"/>
          <w:cols w:equalWidth="0" w:num="5">
            <w:col w:w="1160" w:space="720"/>
            <w:col w:w="1760" w:space="720"/>
            <w:col w:w="700" w:space="460"/>
            <w:col w:w="1740" w:space="720"/>
            <w:col w:w="3240"/>
          </w:cols>
          <w:pgMar w:left="240" w:top="230" w:right="439" w:bottom="1440" w:gutter="0" w:footer="0" w:header="0"/>
          <w:type w:val="continuous"/>
        </w:sectPr>
      </w:pPr>
    </w:p>
    <w:p>
      <w:pPr>
        <w:ind w:left="6260"/>
        <w:spacing w:after="0"/>
        <w:rPr>
          <w:sz w:val="20"/>
          <w:szCs w:val="20"/>
          <w:color w:val="auto"/>
        </w:rPr>
      </w:pPr>
      <w:r>
        <w:rPr>
          <w:rFonts w:ascii="Arial" w:cs="Arial" w:eastAsia="Arial" w:hAnsi="Arial"/>
          <w:sz w:val="11"/>
          <w:szCs w:val="11"/>
          <w:i w:val="1"/>
          <w:iCs w:val="1"/>
          <w:color w:val="auto"/>
        </w:rPr>
        <w:t>A Stifel Company</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4"/>
          <w:szCs w:val="14"/>
          <w:i w:val="1"/>
          <w:iCs w:val="1"/>
          <w:color w:val="auto"/>
        </w:rPr>
        <w:t>Co-Managers</w:t>
      </w:r>
    </w:p>
    <w:p>
      <w:pPr>
        <w:sectPr>
          <w:pgSz w:w="11900" w:h="16838" w:orient="portrait"/>
          <w:cols w:equalWidth="0" w:num="1">
            <w:col w:w="11220"/>
          </w:cols>
          <w:pgMar w:left="240" w:top="230" w:right="439" w:bottom="1440" w:gutter="0" w:footer="0" w:header="0"/>
          <w:type w:val="continuous"/>
        </w:sectPr>
      </w:pPr>
    </w:p>
    <w:p>
      <w:pPr>
        <w:spacing w:after="0" w:line="118" w:lineRule="exact"/>
        <w:rPr>
          <w:sz w:val="24"/>
          <w:szCs w:val="24"/>
          <w:color w:val="auto"/>
        </w:rPr>
      </w:pPr>
    </w:p>
    <w:p>
      <w:pPr>
        <w:ind w:left="200"/>
        <w:spacing w:after="0"/>
        <w:rPr>
          <w:sz w:val="20"/>
          <w:szCs w:val="20"/>
          <w:color w:val="auto"/>
        </w:rPr>
      </w:pPr>
      <w:r>
        <w:rPr>
          <w:rFonts w:ascii="Arial" w:cs="Arial" w:eastAsia="Arial" w:hAnsi="Arial"/>
          <w:sz w:val="11"/>
          <w:szCs w:val="11"/>
          <w:b w:val="1"/>
          <w:bCs w:val="1"/>
          <w:color w:val="auto"/>
        </w:rPr>
        <w:t>Comerica Securities</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620"/>
        <w:spacing w:after="0"/>
        <w:rPr>
          <w:sz w:val="20"/>
          <w:szCs w:val="20"/>
          <w:color w:val="auto"/>
        </w:rPr>
      </w:pPr>
      <w:r>
        <w:rPr>
          <w:rFonts w:ascii="Arial" w:cs="Arial" w:eastAsia="Arial" w:hAnsi="Arial"/>
          <w:sz w:val="11"/>
          <w:szCs w:val="11"/>
          <w:b w:val="1"/>
          <w:bCs w:val="1"/>
          <w:color w:val="auto"/>
        </w:rPr>
        <w:t>JMP Securities</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Ladenburg Thalmann</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Maxim Group LLC</w:t>
      </w:r>
    </w:p>
    <w:p>
      <w:pPr>
        <w:spacing w:after="0" w:line="66" w:lineRule="exact"/>
        <w:rPr>
          <w:sz w:val="24"/>
          <w:szCs w:val="24"/>
          <w:color w:val="auto"/>
        </w:rPr>
      </w:pPr>
    </w:p>
    <w:p>
      <w:pPr>
        <w:sectPr>
          <w:pgSz w:w="11900" w:h="16838" w:orient="portrait"/>
          <w:cols w:equalWidth="0" w:num="5">
            <w:col w:w="2720" w:space="720"/>
            <w:col w:w="1980" w:space="720"/>
            <w:col w:w="1420" w:space="720"/>
            <w:col w:w="1180" w:space="700"/>
            <w:col w:w="1060"/>
          </w:cols>
          <w:pgMar w:left="240" w:top="230" w:right="439" w:bottom="1440" w:gutter="0" w:footer="0" w:header="0"/>
          <w:type w:val="continuous"/>
        </w:sectPr>
      </w:pPr>
    </w:p>
    <w:p>
      <w:pPr>
        <w:jc w:val="center"/>
        <w:ind w:right="-219"/>
        <w:spacing w:after="0"/>
        <w:rPr>
          <w:sz w:val="20"/>
          <w:szCs w:val="20"/>
          <w:color w:val="auto"/>
        </w:rPr>
      </w:pPr>
      <w:r>
        <w:rPr>
          <w:rFonts w:ascii="Arial" w:cs="Arial" w:eastAsia="Arial" w:hAnsi="Arial"/>
          <w:sz w:val="13"/>
          <w:szCs w:val="13"/>
          <w:b w:val="1"/>
          <w:bCs w:val="1"/>
          <w:color w:val="auto"/>
        </w:rPr>
        <w:t>The date of this prospectus supplement is October 25, 2017.</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or incorporated by reference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gridSpan w:val="4"/>
          </w:tcPr>
          <w:p>
            <w:pPr>
              <w:jc w:val="center"/>
              <w:ind w:right="316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2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w w:val="97"/>
              </w:rPr>
              <w:t>PROSPECTUS SUPPLEMENT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996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SUPPLEMENTAL PROSPECTUS SUMMARY</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70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FEES AND EXPENSES</w:t>
              </w:r>
            </w:hyperlink>
          </w:p>
        </w:tc>
        <w:tc>
          <w:tcPr>
            <w:tcW w:w="626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8"/>
          </w:tcPr>
          <w:p>
            <w:pPr>
              <w:spacing w:after="0"/>
              <w:rPr>
                <w:sz w:val="17"/>
                <w:szCs w:val="17"/>
                <w:color w:val="auto"/>
              </w:rPr>
            </w:pPr>
          </w:p>
        </w:tc>
        <w:tc>
          <w:tcPr>
            <w:tcW w:w="8100" w:type="dxa"/>
            <w:vAlign w:val="bottom"/>
            <w:gridSpan w:val="1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4">
              <w:r>
                <w:rPr>
                  <w:rFonts w:ascii="Arial" w:cs="Arial" w:eastAsia="Arial" w:hAnsi="Arial"/>
                  <w:sz w:val="18"/>
                  <w:szCs w:val="18"/>
                  <w:b w:val="1"/>
                  <w:bCs w:val="1"/>
                  <w:color w:val="0000EE"/>
                  <w:w w:val="99"/>
                </w:rPr>
                <w:t>FORWARD-LOOKING STATEMENTS</w:t>
              </w:r>
            </w:hyperlink>
          </w:p>
        </w:tc>
        <w:tc>
          <w:tcPr>
            <w:tcW w:w="68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6">
              <w:r>
                <w:rPr>
                  <w:rFonts w:ascii="Arial" w:cs="Arial" w:eastAsia="Arial" w:hAnsi="Arial"/>
                  <w:sz w:val="18"/>
                  <w:szCs w:val="18"/>
                  <w:b w:val="1"/>
                  <w:bCs w:val="1"/>
                  <w:color w:val="0000EE"/>
                  <w:w w:val="95"/>
                </w:rPr>
                <w:t>USE OF PROCEEDS</w:t>
              </w:r>
            </w:hyperlink>
          </w:p>
        </w:tc>
        <w:tc>
          <w:tcPr>
            <w:tcW w:w="828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CAPITALIZATION</w:t>
              </w:r>
            </w:hyperlink>
          </w:p>
        </w:tc>
        <w:tc>
          <w:tcPr>
            <w:tcW w:w="8380" w:type="dxa"/>
            <w:vAlign w:val="bottom"/>
            <w:gridSpan w:val="2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PRICE RANGE OF COMMON STOCK</w:t>
              </w:r>
            </w:hyperlink>
          </w:p>
        </w:tc>
        <w:tc>
          <w:tcPr>
            <w:tcW w:w="680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SELECTED FINANCIAL DATA</w:t>
              </w:r>
            </w:hyperlink>
          </w:p>
        </w:tc>
        <w:tc>
          <w:tcPr>
            <w:tcW w:w="740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MANAGEMENT’S DISCUSSION AND ANALYSIS OF FINANCIAL CONDITION AND RESULTS OF OPERATIONS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UNDERWRITING</w:t>
              </w:r>
            </w:hyperlink>
          </w:p>
        </w:tc>
        <w:tc>
          <w:tcPr>
            <w:tcW w:w="7820" w:type="dxa"/>
            <w:vAlign w:val="bottom"/>
            <w:tcBorders>
              <w:top w:val="single" w:sz="8" w:color="0000EE"/>
            </w:tcBorders>
            <w:gridSpan w:val="21"/>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S-33</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LEGAL MATTERS</w:t>
              </w:r>
            </w:hyperlink>
          </w:p>
        </w:tc>
        <w:tc>
          <w:tcPr>
            <w:tcW w:w="8400" w:type="dxa"/>
            <w:vAlign w:val="bottom"/>
            <w:gridSpan w:val="2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S-38</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INDEX TO FINANCIAL STATEMENTS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S-39</w:t>
            </w:r>
          </w:p>
        </w:tc>
        <w:tc>
          <w:tcPr>
            <w:tcW w:w="0" w:type="dxa"/>
            <w:vAlign w:val="bottom"/>
          </w:tcPr>
          <w:p>
            <w:pPr>
              <w:spacing w:after="0"/>
              <w:rPr>
                <w:sz w:val="1"/>
                <w:szCs w:val="1"/>
                <w:color w:val="auto"/>
              </w:rPr>
            </w:pPr>
          </w:p>
        </w:tc>
      </w:tr>
      <w:tr>
        <w:trPr>
          <w:trHeight w:val="669"/>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2"/>
          </w:tcPr>
          <w:p>
            <w:pPr>
              <w:jc w:val="center"/>
              <w:ind w:right="3820"/>
              <w:spacing w:after="0"/>
              <w:rPr>
                <w:sz w:val="20"/>
                <w:szCs w:val="20"/>
                <w:color w:val="auto"/>
              </w:rPr>
            </w:pPr>
            <w:r>
              <w:rPr>
                <w:rFonts w:ascii="Arial" w:cs="Arial" w:eastAsia="Arial" w:hAnsi="Arial"/>
                <w:sz w:val="18"/>
                <w:szCs w:val="18"/>
                <w:b w:val="1"/>
                <w:bCs w:val="1"/>
                <w:color w:val="auto"/>
                <w:w w:val="95"/>
              </w:rPr>
              <w:t>PROSPECTUS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2200" w:type="dxa"/>
            <w:vAlign w:val="bottom"/>
            <w:gridSpan w:val="11"/>
            <w:vMerge w:val="restart"/>
          </w:tcPr>
          <w:p>
            <w:pPr>
              <w:spacing w:after="0"/>
              <w:rPr>
                <w:rFonts w:ascii="Arial" w:cs="Arial" w:eastAsia="Arial" w:hAnsi="Arial"/>
                <w:sz w:val="18"/>
                <w:szCs w:val="18"/>
                <w:b w:val="1"/>
                <w:bCs w:val="1"/>
                <w:color w:val="0000EE"/>
                <w:w w:val="98"/>
              </w:rPr>
            </w:pPr>
            <w:hyperlink w:anchor="page81">
              <w:r>
                <w:rPr>
                  <w:rFonts w:ascii="Arial" w:cs="Arial" w:eastAsia="Arial" w:hAnsi="Arial"/>
                  <w:sz w:val="18"/>
                  <w:szCs w:val="18"/>
                  <w:b w:val="1"/>
                  <w:bCs w:val="1"/>
                  <w:color w:val="0000EE"/>
                  <w:w w:val="98"/>
                </w:rPr>
                <w:t>PROSPECTUS SUMMARY</w:t>
              </w:r>
            </w:hyperlink>
          </w:p>
        </w:tc>
        <w:tc>
          <w:tcPr>
            <w:tcW w:w="7760" w:type="dxa"/>
            <w:vAlign w:val="bottom"/>
            <w:gridSpan w:val="16"/>
            <w:vMerge w:val="restart"/>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2200" w:type="dxa"/>
            <w:vAlign w:val="bottom"/>
            <w:tcBorders>
              <w:bottom w:val="single" w:sz="8" w:color="0000EE"/>
            </w:tcBorders>
            <w:gridSpan w:val="11"/>
            <w:vMerge w:val="continue"/>
          </w:tcPr>
          <w:p>
            <w:pPr>
              <w:spacing w:after="0"/>
              <w:rPr>
                <w:sz w:val="16"/>
                <w:szCs w:val="16"/>
                <w:color w:val="auto"/>
              </w:rPr>
            </w:pPr>
          </w:p>
        </w:tc>
        <w:tc>
          <w:tcPr>
            <w:tcW w:w="7760" w:type="dxa"/>
            <w:vAlign w:val="bottom"/>
            <w:gridSpan w:val="16"/>
            <w:vMerge w:val="continue"/>
          </w:tcPr>
          <w:p>
            <w:pPr>
              <w:spacing w:after="0"/>
              <w:rPr>
                <w:sz w:val="16"/>
                <w:szCs w:val="16"/>
                <w:color w:val="auto"/>
              </w:rPr>
            </w:pPr>
          </w:p>
        </w:tc>
        <w:tc>
          <w:tcPr>
            <w:tcW w:w="10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FEES AND EXPENSES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88">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8"/>
          </w:tcPr>
          <w:p>
            <w:pPr>
              <w:spacing w:after="0"/>
              <w:rPr>
                <w:sz w:val="17"/>
                <w:szCs w:val="17"/>
                <w:color w:val="auto"/>
              </w:rPr>
            </w:pPr>
          </w:p>
        </w:tc>
        <w:tc>
          <w:tcPr>
            <w:tcW w:w="8100" w:type="dxa"/>
            <w:vAlign w:val="bottom"/>
            <w:gridSpan w:val="1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115">
              <w:r>
                <w:rPr>
                  <w:rFonts w:ascii="Arial" w:cs="Arial" w:eastAsia="Arial" w:hAnsi="Arial"/>
                  <w:sz w:val="18"/>
                  <w:szCs w:val="18"/>
                  <w:b w:val="1"/>
                  <w:bCs w:val="1"/>
                  <w:color w:val="0000EE"/>
                  <w:w w:val="99"/>
                </w:rPr>
                <w:t>FORWARD-LOOKING STATEMENTS</w:t>
              </w:r>
            </w:hyperlink>
          </w:p>
        </w:tc>
        <w:tc>
          <w:tcPr>
            <w:tcW w:w="6840" w:type="dxa"/>
            <w:vAlign w:val="bottom"/>
            <w:gridSpan w:val="1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5"/>
              </w:rPr>
            </w:pPr>
            <w:hyperlink w:anchor="page117">
              <w:r>
                <w:rPr>
                  <w:rFonts w:ascii="Arial" w:cs="Arial" w:eastAsia="Arial" w:hAnsi="Arial"/>
                  <w:sz w:val="18"/>
                  <w:szCs w:val="18"/>
                  <w:b w:val="1"/>
                  <w:bCs w:val="1"/>
                  <w:color w:val="0000EE"/>
                  <w:w w:val="95"/>
                </w:rPr>
                <w:t>USE OF PROCEEDS</w:t>
              </w:r>
            </w:hyperlink>
          </w:p>
        </w:tc>
        <w:tc>
          <w:tcPr>
            <w:tcW w:w="828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SELECTED FINANCIAL DATA</w:t>
              </w:r>
            </w:hyperlink>
          </w:p>
        </w:tc>
        <w:tc>
          <w:tcPr>
            <w:tcW w:w="740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MANAGEMENT’S DISCUSSION AND ANALYSIS OF FINANCIAL CONDITION AND RESULTS OF OPERATIONS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9300" w:type="dxa"/>
            <w:vAlign w:val="bottom"/>
            <w:tcBorders>
              <w:top w:val="single" w:sz="8" w:color="0000EE"/>
            </w:tcBorders>
            <w:gridSpan w:val="26"/>
          </w:tcPr>
          <w:p>
            <w:pPr>
              <w:spacing w:after="0" w:line="196" w:lineRule="exact"/>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SENIOR SECURITIES</w:t>
              </w:r>
            </w:hyperlink>
          </w:p>
        </w:tc>
        <w:tc>
          <w:tcPr>
            <w:tcW w:w="6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PRICE RANGE OF COMMON STOCK</w:t>
              </w:r>
            </w:hyperlink>
          </w:p>
        </w:tc>
        <w:tc>
          <w:tcPr>
            <w:tcW w:w="680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8"/>
              </w:rPr>
            </w:pPr>
            <w:hyperlink w:anchor="page136">
              <w:r>
                <w:rPr>
                  <w:rFonts w:ascii="Arial" w:cs="Arial" w:eastAsia="Arial" w:hAnsi="Arial"/>
                  <w:sz w:val="18"/>
                  <w:szCs w:val="18"/>
                  <w:b w:val="1"/>
                  <w:bCs w:val="1"/>
                  <w:color w:val="0000EE"/>
                  <w:w w:val="98"/>
                </w:rPr>
                <w:t>SALES OF COMMON STOCK BELOW NET ASSET VALUE</w:t>
              </w:r>
            </w:hyperlink>
          </w:p>
        </w:tc>
        <w:tc>
          <w:tcPr>
            <w:tcW w:w="508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42">
              <w:r>
                <w:rPr>
                  <w:rFonts w:ascii="Arial" w:cs="Arial" w:eastAsia="Arial" w:hAnsi="Arial"/>
                  <w:sz w:val="18"/>
                  <w:szCs w:val="18"/>
                  <w:b w:val="1"/>
                  <w:bCs w:val="1"/>
                  <w:color w:val="0000EE"/>
                </w:rPr>
                <w:t>DISTRIBUTIONS</w:t>
              </w:r>
            </w:hyperlink>
          </w:p>
        </w:tc>
        <w:tc>
          <w:tcPr>
            <w:tcW w:w="8520" w:type="dxa"/>
            <w:vAlign w:val="bottom"/>
            <w:gridSpan w:val="2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44">
              <w:r>
                <w:rPr>
                  <w:rFonts w:ascii="Arial" w:cs="Arial" w:eastAsia="Arial" w:hAnsi="Arial"/>
                  <w:sz w:val="18"/>
                  <w:szCs w:val="18"/>
                  <w:b w:val="1"/>
                  <w:bCs w:val="1"/>
                  <w:color w:val="0000EE"/>
                  <w:w w:val="93"/>
                </w:rPr>
                <w:t>BUSINESS</w:t>
              </w:r>
            </w:hyperlink>
          </w:p>
        </w:tc>
        <w:tc>
          <w:tcPr>
            <w:tcW w:w="9080" w:type="dxa"/>
            <w:vAlign w:val="bottom"/>
            <w:gridSpan w:val="2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INVESTMENT OBJECTIVES AND POLICIES</w:t>
              </w:r>
            </w:hyperlink>
          </w:p>
        </w:tc>
        <w:tc>
          <w:tcPr>
            <w:tcW w:w="622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PORTFOLIO COMPANIES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11"/>
          </w:tcPr>
          <w:p>
            <w:pPr>
              <w:spacing w:after="0" w:line="196" w:lineRule="exact"/>
              <w:rPr>
                <w:rFonts w:ascii="Arial" w:cs="Arial" w:eastAsia="Arial" w:hAnsi="Arial"/>
                <w:sz w:val="18"/>
                <w:szCs w:val="18"/>
                <w:b w:val="1"/>
                <w:bCs w:val="1"/>
                <w:color w:val="0000EE"/>
              </w:rPr>
            </w:pPr>
            <w:hyperlink w:anchor="page166">
              <w:r>
                <w:rPr>
                  <w:rFonts w:ascii="Arial" w:cs="Arial" w:eastAsia="Arial" w:hAnsi="Arial"/>
                  <w:sz w:val="18"/>
                  <w:szCs w:val="18"/>
                  <w:b w:val="1"/>
                  <w:bCs w:val="1"/>
                  <w:color w:val="0000EE"/>
                </w:rPr>
                <w:t>MANAGEMENT</w:t>
              </w:r>
            </w:hyperlink>
          </w:p>
        </w:tc>
        <w:tc>
          <w:tcPr>
            <w:tcW w:w="7760" w:type="dxa"/>
            <w:vAlign w:val="bottom"/>
            <w:gridSpan w:val="1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16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CONTROL PERSONS AND PRINCIPAL STOCKHOLDERS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24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b w:val="1"/>
                <w:bCs w:val="1"/>
                <w:color w:val="0000EE"/>
                <w:w w:val="99"/>
              </w:rPr>
            </w:pPr>
            <w:hyperlink w:anchor="page174">
              <w:r>
                <w:rPr>
                  <w:rFonts w:ascii="Arial" w:cs="Arial" w:eastAsia="Arial" w:hAnsi="Arial"/>
                  <w:sz w:val="18"/>
                  <w:szCs w:val="18"/>
                  <w:b w:val="1"/>
                  <w:bCs w:val="1"/>
                  <w:color w:val="0000EE"/>
                  <w:w w:val="99"/>
                </w:rPr>
                <w:t>CERTAIN RELATIONSHIPS AND TRANSACTIONS</w:t>
              </w:r>
            </w:hyperlink>
          </w:p>
        </w:tc>
        <w:tc>
          <w:tcPr>
            <w:tcW w:w="560" w:type="dxa"/>
            <w:vAlign w:val="bottom"/>
            <w:tcBorders>
              <w:top w:val="single" w:sz="8" w:color="0000EE"/>
            </w:tcBorders>
          </w:tcPr>
          <w:p>
            <w:pPr>
              <w:spacing w:after="0"/>
              <w:rPr>
                <w:sz w:val="17"/>
                <w:szCs w:val="17"/>
                <w:color w:val="auto"/>
              </w:rPr>
            </w:pPr>
          </w:p>
        </w:tc>
        <w:tc>
          <w:tcPr>
            <w:tcW w:w="516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DETERMINATION OF NET ASSET VALUE</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b w:val="1"/>
                <w:bCs w:val="1"/>
                <w:color w:val="0000EE"/>
              </w:rPr>
            </w:pPr>
            <w:hyperlink w:anchor="page184">
              <w:r>
                <w:rPr>
                  <w:rFonts w:ascii="Arial" w:cs="Arial" w:eastAsia="Arial" w:hAnsi="Arial"/>
                  <w:sz w:val="18"/>
                  <w:szCs w:val="18"/>
                  <w:b w:val="1"/>
                  <w:bCs w:val="1"/>
                  <w:color w:val="0000EE"/>
                </w:rPr>
                <w:t>DIVIDEND REINVESTMENT PLAN</w:t>
              </w:r>
            </w:hyperlink>
          </w:p>
        </w:tc>
        <w:tc>
          <w:tcPr>
            <w:tcW w:w="580" w:type="dxa"/>
            <w:vAlign w:val="bottom"/>
            <w:tcBorders>
              <w:top w:val="single" w:sz="8" w:color="0000EE"/>
            </w:tcBorders>
            <w:gridSpan w:val="6"/>
          </w:tcPr>
          <w:p>
            <w:pPr>
              <w:spacing w:after="0"/>
              <w:rPr>
                <w:sz w:val="17"/>
                <w:szCs w:val="17"/>
                <w:color w:val="auto"/>
              </w:rPr>
            </w:pPr>
          </w:p>
        </w:tc>
        <w:tc>
          <w:tcPr>
            <w:tcW w:w="642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86">
              <w:r>
                <w:rPr>
                  <w:rFonts w:ascii="Arial" w:cs="Arial" w:eastAsia="Arial" w:hAnsi="Arial"/>
                  <w:sz w:val="18"/>
                  <w:szCs w:val="18"/>
                  <w:b w:val="1"/>
                  <w:bCs w:val="1"/>
                  <w:color w:val="0000EE"/>
                </w:rPr>
                <w:t>DESCRIPTION OF OUR CAPITAL STOCK</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3060" w:type="dxa"/>
            <w:vAlign w:val="bottom"/>
            <w:gridSpan w:val="1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9"/>
              </w:rPr>
            </w:pPr>
            <w:hyperlink w:anchor="page192">
              <w:r>
                <w:rPr>
                  <w:rFonts w:ascii="Arial" w:cs="Arial" w:eastAsia="Arial" w:hAnsi="Arial"/>
                  <w:sz w:val="18"/>
                  <w:szCs w:val="18"/>
                  <w:b w:val="1"/>
                  <w:bCs w:val="1"/>
                  <w:color w:val="0000EE"/>
                  <w:w w:val="99"/>
                </w:rPr>
                <w:t>DESCRIPTION OF OUR PREFERRED STOCK</w:t>
              </w:r>
            </w:hyperlink>
          </w:p>
        </w:tc>
        <w:tc>
          <w:tcPr>
            <w:tcW w:w="614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9960" w:type="dxa"/>
            <w:vAlign w:val="bottom"/>
            <w:gridSpan w:val="27"/>
          </w:tcPr>
          <w:p>
            <w:pPr>
              <w:spacing w:after="0" w:line="196" w:lineRule="exact"/>
              <w:rPr>
                <w:rFonts w:ascii="Arial" w:cs="Arial" w:eastAsia="Arial" w:hAnsi="Arial"/>
                <w:sz w:val="18"/>
                <w:szCs w:val="18"/>
                <w:b w:val="1"/>
                <w:bCs w:val="1"/>
                <w:color w:val="0000EE"/>
              </w:rPr>
            </w:pPr>
            <w:hyperlink w:anchor="page193">
              <w:r>
                <w:rPr>
                  <w:rFonts w:ascii="Arial" w:cs="Arial" w:eastAsia="Arial" w:hAnsi="Arial"/>
                  <w:sz w:val="18"/>
                  <w:szCs w:val="18"/>
                  <w:b w:val="1"/>
                  <w:bCs w:val="1"/>
                  <w:color w:val="0000EE"/>
                </w:rPr>
                <w:t>DESCRIPTION OF OUR WARRANTS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40" w:type="dxa"/>
            <w:vAlign w:val="bottom"/>
            <w:gridSpan w:val="6"/>
            <w:vMerge w:val="restart"/>
          </w:tcPr>
          <w:p>
            <w:pPr>
              <w:spacing w:after="0"/>
              <w:rPr>
                <w:rFonts w:ascii="Arial" w:cs="Arial" w:eastAsia="Arial" w:hAnsi="Arial"/>
                <w:sz w:val="18"/>
                <w:szCs w:val="18"/>
                <w:b w:val="1"/>
                <w:bCs w:val="1"/>
                <w:color w:val="0000EE"/>
                <w:w w:val="99"/>
              </w:rPr>
            </w:pPr>
            <w:hyperlink w:anchor="page195">
              <w:r>
                <w:rPr>
                  <w:rFonts w:ascii="Arial" w:cs="Arial" w:eastAsia="Arial" w:hAnsi="Arial"/>
                  <w:sz w:val="18"/>
                  <w:szCs w:val="18"/>
                  <w:b w:val="1"/>
                  <w:bCs w:val="1"/>
                  <w:color w:val="0000EE"/>
                  <w:w w:val="99"/>
                </w:rPr>
                <w:t>DESCRIPTION OF OUR SUBSCRIPTION RIGHTS</w:t>
              </w:r>
            </w:hyperlink>
          </w:p>
        </w:tc>
        <w:tc>
          <w:tcPr>
            <w:tcW w:w="4280" w:type="dxa"/>
            <w:vAlign w:val="bottom"/>
            <w:gridSpan w:val="5"/>
            <w:vMerge w:val="restart"/>
          </w:tcPr>
          <w:p>
            <w:pPr>
              <w:spacing w:after="0"/>
              <w:rPr>
                <w:sz w:val="14"/>
                <w:szCs w:val="14"/>
                <w:color w:val="auto"/>
              </w:rPr>
            </w:pPr>
          </w:p>
        </w:tc>
        <w:tc>
          <w:tcPr>
            <w:tcW w:w="2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140" w:type="dxa"/>
            <w:vAlign w:val="bottom"/>
            <w:tcBorders>
              <w:bottom w:val="single" w:sz="8" w:color="0000EE"/>
            </w:tcBorders>
            <w:gridSpan w:val="6"/>
            <w:vMerge w:val="continue"/>
          </w:tcPr>
          <w:p>
            <w:pPr>
              <w:spacing w:after="0"/>
              <w:rPr>
                <w:sz w:val="16"/>
                <w:szCs w:val="16"/>
                <w:color w:val="auto"/>
              </w:rPr>
            </w:pPr>
          </w:p>
        </w:tc>
        <w:tc>
          <w:tcPr>
            <w:tcW w:w="4280" w:type="dxa"/>
            <w:vAlign w:val="bottom"/>
            <w:gridSpan w:val="5"/>
            <w:vMerge w:val="continue"/>
          </w:tcPr>
          <w:p>
            <w:pPr>
              <w:spacing w:after="0"/>
              <w:rPr>
                <w:sz w:val="16"/>
                <w:szCs w:val="16"/>
                <w:color w:val="auto"/>
              </w:rPr>
            </w:pPr>
          </w:p>
        </w:tc>
        <w:tc>
          <w:tcPr>
            <w:tcW w:w="2560" w:type="dxa"/>
            <w:vAlign w:val="bottom"/>
          </w:tcPr>
          <w:p>
            <w:pPr>
              <w:jc w:val="right"/>
              <w:spacing w:after="0" w:line="190"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8420" w:type="dxa"/>
            <w:vAlign w:val="bottom"/>
            <w:gridSpan w:val="11"/>
          </w:tcPr>
          <w:p>
            <w:pPr>
              <w:spacing w:after="0" w:line="196" w:lineRule="exact"/>
              <w:rPr>
                <w:rFonts w:ascii="Arial" w:cs="Arial" w:eastAsia="Arial" w:hAnsi="Arial"/>
                <w:sz w:val="18"/>
                <w:szCs w:val="18"/>
                <w:b w:val="1"/>
                <w:bCs w:val="1"/>
                <w:color w:val="0000EE"/>
              </w:rPr>
            </w:pPr>
            <w:hyperlink w:anchor="page196">
              <w:r>
                <w:rPr>
                  <w:rFonts w:ascii="Arial" w:cs="Arial" w:eastAsia="Arial" w:hAnsi="Arial"/>
                  <w:sz w:val="18"/>
                  <w:szCs w:val="18"/>
                  <w:b w:val="1"/>
                  <w:bCs w:val="1"/>
                  <w:color w:val="0000EE"/>
                </w:rPr>
                <w:t>DESCRIPTION OF OUR DEBT SECURITIES</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tcBorders>
            <w:gridSpan w:val="5"/>
          </w:tcPr>
          <w:p>
            <w:pPr>
              <w:spacing w:after="0" w:line="196" w:lineRule="exact"/>
              <w:rPr>
                <w:rFonts w:ascii="Arial" w:cs="Arial" w:eastAsia="Arial" w:hAnsi="Arial"/>
                <w:sz w:val="18"/>
                <w:szCs w:val="18"/>
                <w:b w:val="1"/>
                <w:bCs w:val="1"/>
                <w:color w:val="0000EE"/>
              </w:rPr>
            </w:pPr>
            <w:hyperlink w:anchor="page209">
              <w:r>
                <w:rPr>
                  <w:rFonts w:ascii="Arial" w:cs="Arial" w:eastAsia="Arial" w:hAnsi="Arial"/>
                  <w:sz w:val="18"/>
                  <w:szCs w:val="18"/>
                  <w:b w:val="1"/>
                  <w:bCs w:val="1"/>
                  <w:color w:val="0000EE"/>
                </w:rPr>
                <w:t>REGULATION</w:t>
              </w:r>
            </w:hyperlink>
          </w:p>
        </w:tc>
        <w:tc>
          <w:tcPr>
            <w:tcW w:w="4760" w:type="dxa"/>
            <w:vAlign w:val="bottom"/>
            <w:gridSpan w:val="6"/>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214">
              <w:r>
                <w:rPr>
                  <w:rFonts w:ascii="Arial" w:cs="Arial" w:eastAsia="Arial" w:hAnsi="Arial"/>
                  <w:sz w:val="18"/>
                  <w:szCs w:val="18"/>
                  <w:b w:val="1"/>
                  <w:bCs w:val="1"/>
                  <w:color w:val="0000EE"/>
                </w:rPr>
                <w:t>BROKERAGE ALLOCATIONS AND OTHER PRACTICES</w:t>
              </w:r>
            </w:hyperlink>
          </w:p>
        </w:tc>
        <w:tc>
          <w:tcPr>
            <w:tcW w:w="3660" w:type="dxa"/>
            <w:vAlign w:val="bottom"/>
            <w:gridSpan w:val="4"/>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96"/>
        </w:trPr>
        <w:tc>
          <w:tcPr>
            <w:tcW w:w="514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215">
              <w:r>
                <w:rPr>
                  <w:rFonts w:ascii="Arial" w:cs="Arial" w:eastAsia="Arial" w:hAnsi="Arial"/>
                  <w:sz w:val="18"/>
                  <w:szCs w:val="18"/>
                  <w:b w:val="1"/>
                  <w:bCs w:val="1"/>
                  <w:color w:val="0000EE"/>
                </w:rPr>
                <w:t>MATERIAL U.S. FEDERAL INCOME TAX CONSIDERATIONS</w:t>
              </w:r>
            </w:hyperlink>
          </w:p>
        </w:tc>
        <w:tc>
          <w:tcPr>
            <w:tcW w:w="3280" w:type="dxa"/>
            <w:vAlign w:val="bottom"/>
            <w:gridSpan w:val="2"/>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96"/>
        </w:trPr>
        <w:tc>
          <w:tcPr>
            <w:tcW w:w="8420" w:type="dxa"/>
            <w:vAlign w:val="bottom"/>
            <w:gridSpan w:val="11"/>
          </w:tcPr>
          <w:p>
            <w:pPr>
              <w:spacing w:after="0" w:line="196" w:lineRule="exact"/>
              <w:rPr>
                <w:rFonts w:ascii="Arial" w:cs="Arial" w:eastAsia="Arial" w:hAnsi="Arial"/>
                <w:sz w:val="18"/>
                <w:szCs w:val="18"/>
                <w:b w:val="1"/>
                <w:bCs w:val="1"/>
                <w:color w:val="0000EE"/>
              </w:rPr>
            </w:pPr>
            <w:hyperlink w:anchor="page222">
              <w:r>
                <w:rPr>
                  <w:rFonts w:ascii="Arial" w:cs="Arial" w:eastAsia="Arial" w:hAnsi="Arial"/>
                  <w:sz w:val="18"/>
                  <w:szCs w:val="18"/>
                  <w:b w:val="1"/>
                  <w:bCs w:val="1"/>
                  <w:color w:val="0000EE"/>
                </w:rPr>
                <w:t>PLAN OF DISTRIBUTION</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9"/>
              </w:rPr>
            </w:pPr>
            <w:hyperlink w:anchor="page224">
              <w:r>
                <w:rPr>
                  <w:rFonts w:ascii="Arial" w:cs="Arial" w:eastAsia="Arial" w:hAnsi="Arial"/>
                  <w:sz w:val="18"/>
                  <w:szCs w:val="18"/>
                  <w:b w:val="1"/>
                  <w:bCs w:val="1"/>
                  <w:color w:val="0000EE"/>
                  <w:w w:val="99"/>
                </w:rPr>
                <w:t>SUB-ADMINISTRATOR, CUSTODIAN, TRANSFER AGENT AND TRUSTEE</w:t>
              </w:r>
            </w:hyperlink>
          </w:p>
        </w:tc>
        <w:tc>
          <w:tcPr>
            <w:tcW w:w="2220" w:type="dxa"/>
            <w:vAlign w:val="bottom"/>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224">
              <w:r>
                <w:rPr>
                  <w:rFonts w:ascii="Arial" w:cs="Arial" w:eastAsia="Arial" w:hAnsi="Arial"/>
                  <w:sz w:val="18"/>
                  <w:szCs w:val="18"/>
                  <w:b w:val="1"/>
                  <w:bCs w:val="1"/>
                  <w:color w:val="0000EE"/>
                </w:rPr>
                <w:t>LEGAL MATTERS</w:t>
              </w:r>
            </w:hyperlink>
          </w:p>
        </w:tc>
        <w:tc>
          <w:tcPr>
            <w:tcW w:w="6860" w:type="dxa"/>
            <w:vAlign w:val="bottom"/>
            <w:gridSpan w:val="9"/>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8420" w:type="dxa"/>
            <w:vAlign w:val="bottom"/>
            <w:gridSpan w:val="11"/>
          </w:tcPr>
          <w:p>
            <w:pPr>
              <w:spacing w:after="0" w:line="196" w:lineRule="exact"/>
              <w:rPr>
                <w:rFonts w:ascii="Arial" w:cs="Arial" w:eastAsia="Arial" w:hAnsi="Arial"/>
                <w:sz w:val="18"/>
                <w:szCs w:val="18"/>
                <w:b w:val="1"/>
                <w:bCs w:val="1"/>
                <w:color w:val="0000EE"/>
              </w:rPr>
            </w:pPr>
            <w:hyperlink w:anchor="page224">
              <w:r>
                <w:rPr>
                  <w:rFonts w:ascii="Arial" w:cs="Arial" w:eastAsia="Arial" w:hAnsi="Arial"/>
                  <w:sz w:val="18"/>
                  <w:szCs w:val="18"/>
                  <w:b w:val="1"/>
                  <w:bCs w:val="1"/>
                  <w:color w:val="0000EE"/>
                </w:rPr>
                <w:t>INDEPENDENT REGISTERED PUBLIC ACCOUNTING FIRM</w:t>
              </w:r>
            </w:hyperlink>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25">
              <w:r>
                <w:rPr>
                  <w:rFonts w:ascii="Arial" w:cs="Arial" w:eastAsia="Arial" w:hAnsi="Arial"/>
                  <w:sz w:val="18"/>
                  <w:szCs w:val="18"/>
                  <w:b w:val="1"/>
                  <w:bCs w:val="1"/>
                  <w:color w:val="0000EE"/>
                </w:rPr>
                <w:t>INDEX TO FINANCIAL STATEMENTS</w:t>
              </w:r>
            </w:hyperlink>
          </w:p>
        </w:tc>
        <w:tc>
          <w:tcPr>
            <w:tcW w:w="1880" w:type="dxa"/>
            <w:vAlign w:val="bottom"/>
            <w:tcBorders>
              <w:top w:val="single" w:sz="8" w:color="0000EE"/>
            </w:tcBorders>
            <w:gridSpan w:val="4"/>
          </w:tcPr>
          <w:p>
            <w:pPr>
              <w:spacing w:after="0"/>
              <w:rPr>
                <w:sz w:val="17"/>
                <w:szCs w:val="17"/>
                <w:color w:val="auto"/>
              </w:rPr>
            </w:pPr>
          </w:p>
        </w:tc>
        <w:tc>
          <w:tcPr>
            <w:tcW w:w="3340" w:type="dxa"/>
            <w:vAlign w:val="bottom"/>
            <w:gridSpan w:val="3"/>
          </w:tcPr>
          <w:p>
            <w:pPr>
              <w:spacing w:after="0"/>
              <w:rPr>
                <w:sz w:val="17"/>
                <w:szCs w:val="17"/>
                <w:color w:val="auto"/>
              </w:rPr>
            </w:pPr>
          </w:p>
        </w:tc>
        <w:tc>
          <w:tcPr>
            <w:tcW w:w="25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9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380" w:firstLine="426"/>
        <w:spacing w:after="0" w:line="267"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supplement and accompanying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80" w:right="16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 regions.</w:t>
      </w:r>
    </w:p>
    <w:p>
      <w:pPr>
        <w:spacing w:after="0" w:line="167" w:lineRule="exact"/>
        <w:rPr>
          <w:sz w:val="20"/>
          <w:szCs w:val="20"/>
          <w:color w:val="auto"/>
        </w:rPr>
      </w:pPr>
    </w:p>
    <w:p>
      <w:pPr>
        <w:ind w:left="380" w:right="100" w:firstLine="426"/>
        <w:spacing w:after="0" w:line="276"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20"/>
          </w:cols>
          <w:pgMar w:left="24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40"/>
        <w:spacing w:after="0" w:line="277" w:lineRule="auto"/>
        <w:rPr>
          <w:sz w:val="20"/>
          <w:szCs w:val="20"/>
          <w:color w:val="auto"/>
        </w:rPr>
      </w:pPr>
      <w:r>
        <w:rPr>
          <w:rFonts w:ascii="Arial" w:cs="Arial" w:eastAsia="Arial" w:hAnsi="Arial"/>
          <w:sz w:val="18"/>
          <w:szCs w:val="18"/>
          <w:color w:val="auto"/>
        </w:rPr>
        <w:t>size between $3 million and $15 million, on average, although we expect that this investment size will vary proportionately with the size of our capital base.</w:t>
      </w:r>
    </w:p>
    <w:p>
      <w:pPr>
        <w:spacing w:after="0" w:line="170" w:lineRule="exact"/>
        <w:rPr>
          <w:sz w:val="20"/>
          <w:szCs w:val="20"/>
          <w:color w:val="auto"/>
        </w:rPr>
      </w:pPr>
    </w:p>
    <w:p>
      <w:pPr>
        <w:ind w:left="380" w:right="8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please see “Management’s Discussion and Analysis of Financial Condition and Results of Operations— 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80" w:right="200" w:firstLine="42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181" w:lineRule="exact"/>
        <w:rPr>
          <w:sz w:val="20"/>
          <w:szCs w:val="20"/>
          <w:color w:val="auto"/>
        </w:rPr>
      </w:pPr>
    </w:p>
    <w:p>
      <w:pPr>
        <w:jc w:val="both"/>
        <w:ind w:left="380" w:right="340" w:firstLine="426"/>
        <w:spacing w:after="0" w:line="264" w:lineRule="auto"/>
        <w:rPr>
          <w:sz w:val="20"/>
          <w:szCs w:val="20"/>
          <w:color w:val="auto"/>
        </w:rPr>
      </w:pPr>
      <w:r>
        <w:rPr>
          <w:rFonts w:ascii="Arial" w:cs="Arial" w:eastAsia="Arial" w:hAnsi="Arial"/>
          <w:sz w:val="18"/>
          <w:szCs w:val="18"/>
          <w:color w:val="auto"/>
        </w:rPr>
        <w:t>In May 2017, we and Trinity Universal Insurance Company, or Trinity, a subsidiary of Kemper Corporation (NYSE: KMPR), or Kemper, formed PSSL, an unconsolidated joint venture. PSSL invests primarily in middle-market and other corporate debt securities consistent with our strategy. PSSL was formed as a Delaware limited liability company.</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$3.0 billion in debt and equity capital and has invested $6.5 billion in more than 440 companies with approximately 180 different financial sponsors through its managed funds.</w:t>
      </w:r>
    </w:p>
    <w:p>
      <w:pPr>
        <w:spacing w:after="0" w:line="178" w:lineRule="exact"/>
        <w:rPr>
          <w:sz w:val="20"/>
          <w:szCs w:val="20"/>
          <w:color w:val="auto"/>
        </w:rPr>
      </w:pPr>
    </w:p>
    <w:p>
      <w:pPr>
        <w:ind w:left="380" w:right="500" w:firstLine="426"/>
        <w:spacing w:after="0" w:line="26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56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97" w:lineRule="auto"/>
        <w:rPr>
          <w:sz w:val="20"/>
          <w:szCs w:val="20"/>
          <w:color w:val="auto"/>
        </w:rPr>
      </w:pPr>
      <w:r>
        <w:rPr>
          <w:rFonts w:ascii="Arial" w:cs="Arial" w:eastAsia="Arial" w:hAnsi="Arial"/>
          <w:sz w:val="16"/>
          <w:szCs w:val="16"/>
          <w:color w:val="auto"/>
        </w:rPr>
        <w:t>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220" w:right="60" w:hanging="307"/>
        <w:spacing w:after="0" w:line="261"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ind w:left="1220" w:right="200" w:hanging="307"/>
        <w:spacing w:after="0" w:line="266"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1220" w:right="180" w:hanging="307"/>
        <w:spacing w:after="0" w:line="289"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220" w:right="100" w:hanging="307"/>
        <w:spacing w:after="0" w:line="258" w:lineRule="auto"/>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8"/>
          <w:szCs w:val="18"/>
          <w:color w:val="auto"/>
        </w:rPr>
        <w:t>We expect that private equity firms will continue to be active investors in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These 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89" w:lineRule="exact"/>
        <w:rPr>
          <w:rFonts w:ascii="Arial" w:cs="Arial" w:eastAsia="Arial" w:hAnsi="Arial"/>
          <w:sz w:val="18"/>
          <w:szCs w:val="18"/>
          <w:color w:val="auto"/>
        </w:rPr>
      </w:pPr>
    </w:p>
    <w:p>
      <w:pPr>
        <w:ind w:left="1220" w:right="20" w:hanging="307"/>
        <w:spacing w:after="0" w:line="274" w:lineRule="auto"/>
        <w:tabs>
          <w:tab w:leader="none" w:pos="12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substantial supply of opportunities resulting from maturing loans that seek refinancing. </w:t>
      </w:r>
      <w:r>
        <w:rPr>
          <w:rFonts w:ascii="Arial" w:cs="Arial" w:eastAsia="Arial" w:hAnsi="Arial"/>
          <w:sz w:val="17"/>
          <w:szCs w:val="17"/>
          <w:color w:val="auto"/>
        </w:rPr>
        <w:t>A high volume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820" w:right="420" w:firstLine="409"/>
        <w:spacing w:after="0" w:line="277" w:lineRule="auto"/>
        <w:rPr>
          <w:sz w:val="20"/>
          <w:szCs w:val="20"/>
          <w:color w:val="auto"/>
        </w:rPr>
      </w:pPr>
      <w:r>
        <w:rPr>
          <w:rFonts w:ascii="Arial" w:cs="Arial" w:eastAsia="Arial" w:hAnsi="Arial"/>
          <w:sz w:val="18"/>
          <w:szCs w:val="18"/>
          <w:color w:val="auto"/>
        </w:rPr>
        <w:t>The senior investment professionals of our Investment Adviser have worked together for many years and average over 25 years of experience in senior lending, mezzanine lending, leveraged finance, distressed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6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4617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200"/>
        <w:spacing w:after="0" w:line="264" w:lineRule="auto"/>
        <w:rPr>
          <w:sz w:val="20"/>
          <w:szCs w:val="20"/>
          <w:color w:val="auto"/>
        </w:rPr>
      </w:pPr>
      <w:r>
        <w:rPr>
          <w:rFonts w:ascii="Arial" w:cs="Arial" w:eastAsia="Arial" w:hAnsi="Arial"/>
          <w:sz w:val="18"/>
          <w:szCs w:val="18"/>
          <w:color w:val="auto"/>
        </w:rPr>
        <w:t>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73" w:lineRule="exact"/>
        <w:rPr>
          <w:sz w:val="20"/>
          <w:szCs w:val="20"/>
          <w:color w:val="auto"/>
        </w:rPr>
      </w:pPr>
    </w:p>
    <w:p>
      <w:pPr>
        <w:ind w:left="820" w:firstLine="409"/>
        <w:spacing w:after="0" w:line="276" w:lineRule="auto"/>
        <w:rPr>
          <w:sz w:val="20"/>
          <w:szCs w:val="20"/>
          <w:color w:val="auto"/>
        </w:rPr>
      </w:pPr>
      <w:r>
        <w:rPr>
          <w:rFonts w:ascii="Arial" w:cs="Arial" w:eastAsia="Arial" w:hAnsi="Arial"/>
          <w:sz w:val="17"/>
          <w:szCs w:val="17"/>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solutions to middle-market companies as a result of specialized due diligence, underwriting capabilities and more extensive ongoing monitoring required as lenders.</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820" w:right="60" w:firstLine="409"/>
        <w:spacing w:after="0" w:line="276" w:lineRule="auto"/>
        <w:rPr>
          <w:sz w:val="20"/>
          <w:szCs w:val="20"/>
          <w:color w:val="auto"/>
        </w:rPr>
      </w:pPr>
      <w:r>
        <w:rPr>
          <w:rFonts w:ascii="Arial" w:cs="Arial" w:eastAsia="Arial" w:hAnsi="Arial"/>
          <w:sz w:val="17"/>
          <w:szCs w:val="17"/>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64" w:lineRule="exact"/>
        <w:rPr>
          <w:sz w:val="20"/>
          <w:szCs w:val="20"/>
          <w:color w:val="auto"/>
        </w:rPr>
      </w:pPr>
    </w:p>
    <w:p>
      <w:pPr>
        <w:ind w:left="820" w:right="100" w:firstLine="409"/>
        <w:spacing w:after="0" w:line="257"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8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 addition to engaging in extensive due diligence, our Investment Adviser seeks to reduce risk by focusing on businesses with:</w:t>
      </w:r>
    </w:p>
    <w:p>
      <w:pPr>
        <w:spacing w:after="0" w:line="142" w:lineRule="exact"/>
        <w:rPr>
          <w:sz w:val="20"/>
          <w:szCs w:val="20"/>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740" w:hanging="408"/>
        <w:spacing w:after="0"/>
        <w:tabs>
          <w:tab w:leader="none" w:pos="17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40" w:lineRule="exact"/>
        <w:rPr>
          <w:sz w:val="20"/>
          <w:szCs w:val="20"/>
          <w:color w:val="auto"/>
        </w:rPr>
      </w:pPr>
    </w:p>
    <w:p>
      <w:pPr>
        <w:ind w:left="820" w:right="60" w:firstLine="409"/>
        <w:spacing w:after="0" w:line="276" w:lineRule="auto"/>
        <w:rPr>
          <w:sz w:val="20"/>
          <w:szCs w:val="20"/>
          <w:color w:val="auto"/>
        </w:rPr>
      </w:pPr>
      <w:r>
        <w:rPr>
          <w:rFonts w:ascii="Arial" w:cs="Arial" w:eastAsia="Arial" w:hAnsi="Arial"/>
          <w:sz w:val="17"/>
          <w:szCs w:val="17"/>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820" w:right="520" w:firstLine="409"/>
        <w:spacing w:after="0" w:line="277"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24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60"/>
        <w:spacing w:after="0" w:line="277" w:lineRule="auto"/>
        <w:rPr>
          <w:sz w:val="20"/>
          <w:szCs w:val="20"/>
          <w:color w:val="auto"/>
        </w:rPr>
      </w:pPr>
      <w:r>
        <w:rPr>
          <w:rFonts w:ascii="Arial" w:cs="Arial" w:eastAsia="Arial" w:hAnsi="Arial"/>
          <w:sz w:val="18"/>
          <w:szCs w:val="18"/>
          <w:color w:val="auto"/>
        </w:rPr>
        <w:t>structure and our Investment Adviser has extensive experience in a wide variety of securities for leveraged companies throughout economic and market cycles.</w:t>
      </w:r>
    </w:p>
    <w:p>
      <w:pPr>
        <w:spacing w:after="0" w:line="62" w:lineRule="exact"/>
        <w:rPr>
          <w:sz w:val="20"/>
          <w:szCs w:val="20"/>
          <w:color w:val="auto"/>
        </w:rPr>
      </w:pPr>
    </w:p>
    <w:p>
      <w:pPr>
        <w:ind w:left="820" w:right="560" w:firstLine="409"/>
        <w:spacing w:after="0" w:line="342" w:lineRule="auto"/>
        <w:rPr>
          <w:sz w:val="20"/>
          <w:szCs w:val="20"/>
          <w:color w:val="auto"/>
        </w:rPr>
      </w:pPr>
      <w:r>
        <w:rPr>
          <w:rFonts w:ascii="Arial" w:cs="Arial" w:eastAsia="Arial" w:hAnsi="Arial"/>
          <w:sz w:val="16"/>
          <w:szCs w:val="16"/>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6" w:lineRule="exact"/>
        <w:rPr>
          <w:sz w:val="20"/>
          <w:szCs w:val="20"/>
          <w:color w:val="auto"/>
        </w:rPr>
      </w:pPr>
    </w:p>
    <w:p>
      <w:pPr>
        <w:ind w:left="820" w:right="220" w:firstLine="409"/>
        <w:spacing w:after="0" w:line="308" w:lineRule="auto"/>
        <w:rPr>
          <w:sz w:val="20"/>
          <w:szCs w:val="20"/>
          <w:color w:val="auto"/>
        </w:rPr>
      </w:pPr>
      <w:r>
        <w:rPr>
          <w:rFonts w:ascii="Arial" w:cs="Arial" w:eastAsia="Arial" w:hAnsi="Arial"/>
          <w:sz w:val="17"/>
          <w:szCs w:val="17"/>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right="140" w:firstLine="426"/>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58" w:lineRule="exact"/>
        <w:rPr>
          <w:sz w:val="20"/>
          <w:szCs w:val="20"/>
          <w:color w:val="auto"/>
        </w:rPr>
      </w:pPr>
    </w:p>
    <w:p>
      <w:pPr>
        <w:ind w:left="380" w:right="140" w:firstLine="426"/>
        <w:spacing w:after="0" w:line="273" w:lineRule="auto"/>
        <w:rPr>
          <w:sz w:val="20"/>
          <w:szCs w:val="20"/>
          <w:color w:val="auto"/>
        </w:rPr>
      </w:pPr>
      <w:r>
        <w:rPr>
          <w:rFonts w:ascii="Arial" w:cs="Arial" w:eastAsia="Arial" w:hAnsi="Arial"/>
          <w:sz w:val="17"/>
          <w:szCs w:val="17"/>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color w:val="auto"/>
        </w:rPr>
        <w:t>As of June 30, 2017 and September 30, 2016, we maintained a $375 million and $350 million Credit Facility, respectively,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$291.2 million and $232.9 million outstanding as of June 30, 2017 and September 30, 2016,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 As of June 30, 2017 and September 30, 2016, we had $83.8 million and $117.1 million of unused borrowing capacity under our Credit Facility, respectively, subject to the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in this prospectus supplement and in the accompanying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01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58013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120" w:firstLine="426"/>
        <w:spacing w:after="0" w:line="276" w:lineRule="auto"/>
        <w:rPr>
          <w:sz w:val="20"/>
          <w:szCs w:val="20"/>
          <w:color w:val="auto"/>
        </w:rPr>
      </w:pPr>
      <w:r>
        <w:rPr>
          <w:rFonts w:ascii="Arial" w:cs="Arial" w:eastAsia="Arial" w:hAnsi="Arial"/>
          <w:sz w:val="17"/>
          <w:szCs w:val="17"/>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73" w:lineRule="exact"/>
        <w:rPr>
          <w:sz w:val="20"/>
          <w:szCs w:val="20"/>
          <w:color w:val="auto"/>
        </w:rPr>
      </w:pPr>
    </w:p>
    <w:p>
      <w:pPr>
        <w:ind w:left="380" w:right="40" w:firstLine="426"/>
        <w:spacing w:after="0" w:line="276" w:lineRule="auto"/>
        <w:rPr>
          <w:sz w:val="20"/>
          <w:szCs w:val="20"/>
          <w:color w:val="auto"/>
        </w:rPr>
      </w:pPr>
      <w:r>
        <w:rPr>
          <w:rFonts w:ascii="Arial" w:cs="Arial" w:eastAsia="Arial" w:hAnsi="Arial"/>
          <w:sz w:val="17"/>
          <w:szCs w:val="17"/>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in the accompanying prospectus for more information.</w:t>
      </w:r>
    </w:p>
    <w:p>
      <w:pPr>
        <w:spacing w:after="0" w:line="173"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to be treated, and intend to qualify annually to maintain our election to be treated, as a RIC under Subchapter M of the Code. See “Material U.S. Federal Income Tax Considerations” in the accompanying prospectus for more information.</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may use the net proceeds from selling securities pursuant to this prospectus supplement to reduce outstanding debt obligations, to invest in new or existing portfolio companies, to capitalize a subsidiary or new joint venture or for other general corporate or strategic purposes. See “Use of Proceeds” in this prospectus supplement for information regarding our outstanding borrowings as of June 30, 2017, the corresponding interest rate charged on such borrowings as of that date and the length of time that it may take us to invest any proceeds in new or existing portfolio companies.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jc w:val="both"/>
        <w:ind w:left="380" w:right="540" w:firstLine="426"/>
        <w:spacing w:after="0" w:line="264" w:lineRule="auto"/>
        <w:rPr>
          <w:sz w:val="20"/>
          <w:szCs w:val="20"/>
          <w:color w:val="auto"/>
        </w:rPr>
      </w:pPr>
      <w:r>
        <w:rPr>
          <w:rFonts w:ascii="Arial" w:cs="Arial" w:eastAsia="Arial" w:hAnsi="Arial"/>
          <w:sz w:val="18"/>
          <w:szCs w:val="18"/>
          <w:color w:val="auto"/>
        </w:rPr>
        <w:t>We intend to continue making monthly distributions to our stockholders. Our monthly distributions, if any, are ratified by the board of directors. See “Distributions” in the accompanying prospectus and “Price Range of Common Stock” in this prospectus supplement for more information.</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220" w:firstLine="426"/>
        <w:spacing w:after="0" w:line="297"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in the accompanying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12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On October 3, 2017, we declared a distribution of $0.095 per share payable on November 1, 2017 to stockholders of record as of October 19,</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2017. Investors in this offering will not be entitled to this distribution.</w:t>
      </w:r>
    </w:p>
    <w:p>
      <w:pPr>
        <w:spacing w:after="0" w:line="211"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Set forth below are certain preliminary estimates of our financial condition for the quarter ended September 30, 2017. These estimates are subject to the completion of our financial closing procedures and are not a comprehensive statement of our financial results for the year ended September 30, 2017. We advise you that our actual results may differ materially from these estimates as a result of the completion of our financial closing procedures, final adjustments and other developments arising between now and the time that our financial results for the year ended September 30, 2017 are finalized.</w:t>
      </w:r>
    </w:p>
    <w:p>
      <w:pPr>
        <w:spacing w:after="0" w:line="18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Net investment income is estimated to have totaled between $0.30 and $0.33 per share for the quarter ended September 30, 2017. This includes amounts received in a litigation settlement related to a former portfolio company of MCG of $0.07 per share net of incentive fee payable on such amounts.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Net asset value as of September 30, 2017 is estimated to be between $14.08 and $14.11 per share.</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of September 30, 2017, we had borrowed $253.8 million under our $375 million Credit Facility.</w:t>
      </w:r>
    </w:p>
    <w:p>
      <w:pPr>
        <w:spacing w:after="0" w:line="225" w:lineRule="exact"/>
        <w:rPr>
          <w:sz w:val="20"/>
          <w:szCs w:val="20"/>
          <w:color w:val="auto"/>
        </w:rPr>
      </w:pPr>
    </w:p>
    <w:p>
      <w:pPr>
        <w:jc w:val="both"/>
        <w:ind w:left="380" w:right="180" w:firstLine="426"/>
        <w:spacing w:after="0" w:line="342" w:lineRule="auto"/>
        <w:rPr>
          <w:sz w:val="20"/>
          <w:szCs w:val="20"/>
          <w:color w:val="auto"/>
        </w:rPr>
      </w:pPr>
      <w:r>
        <w:rPr>
          <w:rFonts w:ascii="Arial" w:cs="Arial" w:eastAsia="Arial" w:hAnsi="Arial"/>
          <w:sz w:val="16"/>
          <w:szCs w:val="16"/>
          <w:color w:val="auto"/>
        </w:rPr>
        <w:t>Our and PSSL’s total investments at fair value are estimated to have increased by approximately $12 million and $29 million, respectively, during the three months ended September 30, 2017, after giving effect to purchases, sales, repayments and net change in unrealized appreciation.</w:t>
      </w:r>
    </w:p>
    <w:p>
      <w:pPr>
        <w:spacing w:after="0" w:line="124" w:lineRule="exact"/>
        <w:rPr>
          <w:sz w:val="20"/>
          <w:szCs w:val="20"/>
          <w:color w:val="auto"/>
        </w:rPr>
      </w:pPr>
    </w:p>
    <w:p>
      <w:pPr>
        <w:ind w:left="380" w:right="120" w:firstLine="426"/>
        <w:spacing w:after="0" w:line="259" w:lineRule="auto"/>
        <w:rPr>
          <w:sz w:val="20"/>
          <w:szCs w:val="20"/>
          <w:color w:val="auto"/>
        </w:rPr>
      </w:pPr>
      <w:r>
        <w:rPr>
          <w:rFonts w:ascii="Arial" w:cs="Arial" w:eastAsia="Arial" w:hAnsi="Arial"/>
          <w:sz w:val="18"/>
          <w:szCs w:val="18"/>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Based on our historic activity levels and current pipeline, we anticipate an active fourth calendar quarter of origination activity.</w:t>
      </w:r>
    </w:p>
    <w:p>
      <w:pPr>
        <w:spacing w:after="0" w:line="225"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In the near term, the Company intends to organize a series of debt investor meetings outside of the United States. A debt transaction may follow, subject to market conditions. We cannot assure you as to when a transaction would occur, if at all.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Information contained on our website is not incorporated by reference into this prospectus supplement or the accompanying 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amounts shown below. Except where the context suggests otherwise, whenever this prospectus supplement and the accompanying prospectus contains a reference to fees or expenses paid by “you” or “us” or that “we” will pay, stockholders will indirectly bear such fees or expenses as investors in us.</w:t>
      </w:r>
    </w:p>
    <w:p>
      <w:pPr>
        <w:spacing w:after="0" w:line="199"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Sales load</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7"/>
              </w:rPr>
              <w:t>0.66%</w:t>
            </w: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0.50%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expenses</w:t>
            </w: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gridSpan w:val="2"/>
            <w:vMerge w:val="continue"/>
          </w:tcPr>
          <w:p>
            <w:pPr>
              <w:spacing w:after="0"/>
              <w:rPr>
                <w:sz w:val="19"/>
                <w:szCs w:val="19"/>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Estimated annual expenses (as a percentage of average net assets attributable to common</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5"/>
                <w:szCs w:val="15"/>
                <w:color w:val="auto"/>
              </w:rPr>
              <w:t>(3)</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Management fees</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7"/>
              </w:rPr>
              <w:t>1.56%</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1.19%</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7"/>
              </w:rPr>
              <w:t>2.00%</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0.95%</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expenses</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7"/>
              </w:rPr>
              <w:t>1.04%</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6.74%</w:t>
            </w:r>
            <w:r>
              <w:rPr>
                <w:rFonts w:ascii="Arial" w:cs="Arial" w:eastAsia="Arial" w:hAnsi="Arial"/>
                <w:sz w:val="15"/>
                <w:szCs w:val="15"/>
                <w:color w:val="auto"/>
                <w:w w:val="97"/>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86"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pay a portion of the underwriting discounts and commissions (sales load), which is a one-time fee, of 0.66% of the offering price. Our Investment Adviser has agreed to pay approximately $2.0 million, or $0.33 per share (or approximately $2.3 million, or $0.33 per share if the option to purchase additional shares is fully exercised), of the underwriting discounts and/or commissions in connection with this offering, which is a one-time fee of 2.34% of the offering price. We are not obligated to repay the sales load paid by our Investment Adviser.</w:t>
      </w:r>
    </w:p>
    <w:p>
      <w:pPr>
        <w:spacing w:after="0" w:line="1" w:lineRule="exact"/>
        <w:rPr>
          <w:rFonts w:ascii="Arial" w:cs="Arial" w:eastAsia="Arial" w:hAnsi="Arial"/>
          <w:sz w:val="16"/>
          <w:szCs w:val="16"/>
          <w:color w:val="auto"/>
        </w:rPr>
      </w:pPr>
    </w:p>
    <w:p>
      <w:pPr>
        <w:ind w:left="640" w:right="2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offering expenses of this offering are estimated to be approximately $425,000 and are based on the offering of 6,000,000 shares at the offering price of $14.15 per share.</w:t>
      </w:r>
    </w:p>
    <w:p>
      <w:pPr>
        <w:ind w:left="640" w:right="58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June 30, 2017, plus net proceeds anticipated from this offering but excluding the underwriters’ option to purchase additional shares.</w:t>
      </w:r>
    </w:p>
    <w:p>
      <w:pPr>
        <w:ind w:left="640" w:right="400" w:hanging="436"/>
        <w:spacing w:after="0" w:line="250"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in the accompanying prospectus for more information.</w:t>
      </w:r>
    </w:p>
    <w:p>
      <w:pPr>
        <w:ind w:left="64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 if any, is based on actual amounts incurred during the three months ended June 30, 2017,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years, if any, may be substantially different than the fee earned during the three months ended June 30, 2017. See “Certain Relationships and Transactions—Investment Management Agreement” in the accompanying prospectus for more information.</w:t>
      </w:r>
    </w:p>
    <w:p>
      <w:pPr>
        <w:spacing w:after="0" w:line="7" w:lineRule="exact"/>
        <w:rPr>
          <w:rFonts w:ascii="Arial" w:cs="Arial" w:eastAsia="Arial" w:hAnsi="Arial"/>
          <w:sz w:val="16"/>
          <w:szCs w:val="16"/>
          <w:color w:val="auto"/>
        </w:rPr>
      </w:pPr>
    </w:p>
    <w:p>
      <w:pPr>
        <w:ind w:left="640" w:right="40" w:hanging="436"/>
        <w:spacing w:after="0" w:line="261"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June 30, 2017, we had $83.8 million unused borrowing capacity, subject to maintenance of the applicable total assets to debt ratio, under the 1940 Act, and $291.2 million in borrowings outstanding under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3" w:lineRule="auto"/>
        <w:rPr>
          <w:sz w:val="20"/>
          <w:szCs w:val="20"/>
          <w:color w:val="auto"/>
        </w:rPr>
      </w:pPr>
      <w:r>
        <w:rPr>
          <w:rFonts w:ascii="Arial" w:cs="Arial" w:eastAsia="Arial" w:hAnsi="Arial"/>
          <w:sz w:val="18"/>
          <w:szCs w:val="18"/>
          <w:color w:val="auto"/>
        </w:rPr>
        <w:t>our $375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in the accompanying prospectus for more information.</w:t>
      </w:r>
    </w:p>
    <w:p>
      <w:pPr>
        <w:spacing w:after="0" w:line="2" w:lineRule="exact"/>
        <w:rPr>
          <w:sz w:val="20"/>
          <w:szCs w:val="20"/>
          <w:color w:val="auto"/>
        </w:rPr>
      </w:pPr>
    </w:p>
    <w:p>
      <w:pPr>
        <w:ind w:left="640" w:right="320" w:hanging="436"/>
        <w:spacing w:after="0" w:line="265"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When applicable, fees and operating expenses estimates are based on historic fees and operating expenses for acquired funds. For PSSL, which has a limited operating history, fees and operating expenses are estimates based on expected fees and operating expenses. Expenses for PSSL may fluctuate over time and may be substantially higher or lower in the future.</w:t>
      </w:r>
    </w:p>
    <w:p>
      <w:pPr>
        <w:spacing w:after="0" w:line="1" w:lineRule="exact"/>
        <w:rPr>
          <w:rFonts w:ascii="Arial" w:cs="Arial" w:eastAsia="Arial" w:hAnsi="Arial"/>
          <w:sz w:val="17"/>
          <w:szCs w:val="17"/>
          <w:color w:val="auto"/>
        </w:rPr>
      </w:pPr>
    </w:p>
    <w:p>
      <w:pPr>
        <w:ind w:left="640" w:right="180" w:hanging="436"/>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the expenses of the Investment Adviser reimbursable under our Investment Management Agreement and of the Administrator reimbursable under our Administration Agreement. Such expenses are based on actual other expenses for the three months ended June 30, 2017 annualized for a full year. See the Consolidated Statement of Operations in our Consolidated Financial Statements in this prospectus supplement and in the accompanying prospectus for more information.</w:t>
      </w:r>
    </w:p>
    <w:p>
      <w:pPr>
        <w:spacing w:after="0" w:line="2" w:lineRule="exact"/>
        <w:rPr>
          <w:rFonts w:ascii="Arial" w:cs="Arial" w:eastAsia="Arial" w:hAnsi="Arial"/>
          <w:sz w:val="18"/>
          <w:szCs w:val="18"/>
          <w:color w:val="auto"/>
        </w:rPr>
      </w:pPr>
    </w:p>
    <w:p>
      <w:pPr>
        <w:ind w:left="640" w:right="20" w:hanging="436"/>
        <w:spacing w:after="0" w:line="295"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will be higher than the total annual expenses percentage for a company that is not leveraged. We may borrow money to leverage our net assets and increase our total assets. The SEC requires that the “total estimated annual expenses” percentage be calculated as a percentage of net assets (defined as total assets less liabilities) rather than total assets, which include assets that have been funded with borrowed money.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The following example illustrates the projected dollar amount of total cumulative expenses that you would pay on a $1,000 hypothetical investment in common shares, assuming (1) a 0.66% sales load (underwriting discounts and commissions) (see note 1 above) and included offering expenses totaling 0.50%, (2) total net estimated annual expenses of 5.55% of average net assets attributable to common shares as set forth in the table above (other than performance-based incentive fees) and (3) a 5% annual return:</w:t>
      </w:r>
    </w:p>
    <w:p>
      <w:pPr>
        <w:spacing w:after="0" w:line="190"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56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68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1 Year</w:t>
            </w:r>
          </w:p>
        </w:tc>
        <w:tc>
          <w:tcPr>
            <w:tcW w:w="880" w:type="dxa"/>
            <w:vAlign w:val="bottom"/>
            <w:gridSpan w:val="3"/>
          </w:tcPr>
          <w:p>
            <w:pPr>
              <w:ind w:left="420"/>
              <w:spacing w:after="0"/>
              <w:rPr>
                <w:sz w:val="20"/>
                <w:szCs w:val="20"/>
                <w:color w:val="auto"/>
              </w:rPr>
            </w:pPr>
            <w:r>
              <w:rPr>
                <w:rFonts w:ascii="Arial" w:cs="Arial" w:eastAsia="Arial" w:hAnsi="Arial"/>
                <w:sz w:val="14"/>
                <w:szCs w:val="14"/>
                <w:b w:val="1"/>
                <w:bCs w:val="1"/>
                <w:color w:val="auto"/>
                <w:w w:val="88"/>
              </w:rPr>
              <w:t>3 Years</w:t>
            </w:r>
          </w:p>
        </w:tc>
        <w:tc>
          <w:tcPr>
            <w:tcW w:w="900" w:type="dxa"/>
            <w:vAlign w:val="bottom"/>
            <w:gridSpan w:val="3"/>
          </w:tcPr>
          <w:p>
            <w:pPr>
              <w:ind w:left="440"/>
              <w:spacing w:after="0"/>
              <w:rPr>
                <w:sz w:val="20"/>
                <w:szCs w:val="20"/>
                <w:color w:val="auto"/>
              </w:rPr>
            </w:pPr>
            <w:r>
              <w:rPr>
                <w:rFonts w:ascii="Arial" w:cs="Arial" w:eastAsia="Arial" w:hAnsi="Arial"/>
                <w:sz w:val="14"/>
                <w:szCs w:val="14"/>
                <w:b w:val="1"/>
                <w:bCs w:val="1"/>
                <w:color w:val="auto"/>
                <w:w w:val="88"/>
              </w:rPr>
              <w:t>5 Years</w:t>
            </w:r>
          </w:p>
        </w:tc>
        <w:tc>
          <w:tcPr>
            <w:tcW w:w="1020" w:type="dxa"/>
            <w:vAlign w:val="bottom"/>
            <w:gridSpan w:val="4"/>
          </w:tcPr>
          <w:p>
            <w:pPr>
              <w:ind w:left="420"/>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20" w:type="dxa"/>
            <w:vAlign w:val="bottom"/>
          </w:tcPr>
          <w:p>
            <w:pPr>
              <w:spacing w:after="0"/>
              <w:rPr>
                <w:sz w:val="15"/>
                <w:szCs w:val="15"/>
                <w:color w:val="auto"/>
              </w:rPr>
            </w:pPr>
          </w:p>
        </w:tc>
        <w:tc>
          <w:tcPr>
            <w:tcW w:w="46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286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rPr>
              <w:t>capital gains or net unrealized</w:t>
            </w: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appreciation)</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282</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540" w:type="dxa"/>
            <w:vAlign w:val="bottom"/>
            <w:gridSpan w:val="2"/>
          </w:tcPr>
          <w:p>
            <w:pPr>
              <w:spacing w:after="0" w:line="201" w:lineRule="exact"/>
              <w:rPr>
                <w:sz w:val="20"/>
                <w:szCs w:val="20"/>
                <w:color w:val="auto"/>
              </w:rPr>
            </w:pPr>
            <w:r>
              <w:rPr>
                <w:rFonts w:ascii="Arial" w:cs="Arial" w:eastAsia="Arial" w:hAnsi="Arial"/>
                <w:sz w:val="18"/>
                <w:szCs w:val="18"/>
                <w:color w:val="auto"/>
                <w:w w:val="92"/>
              </w:rPr>
              <w:t>Assuming a 5% annual return (assumes return from only realized capital gains and thus subject to the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capital gains incentive fee)</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201</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323</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in the accompanying prospectus for more information.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may decline, and you may lose all or part of your investment.</w:t>
      </w:r>
    </w:p>
    <w:p>
      <w:pPr>
        <w:spacing w:after="0" w:line="165"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There are material limitations with making preliminary estimates of our financial results for the period ended September 30, 2017 prior to the completion of our financial procedures for such period.</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preliminary financial estimates contained in “Supplemental Prospectus Summary—Recent Developments” and “Management’s Discussion and Analysis of Financial Condition and Results of Operations—Recent Developments” are not a comprehensive statement of our financial results for the period ended September 30, 2017 and have not been audited by our independent registered public accounting firm. Our consolidated financial statements for the period ended September 30, 2017 will not be available until after this offering is completed and, consequently, will not be available to you prior to investing in this offering. Our actual financial results for the period ended September 30, 2017 may differ materially from the preliminary financial estimates we have provided as a result of the completion of our financial closing procedures, final adjustments and other developments arising between now and the time that our financial results for the period ended September 30, 2017 are finalized. The preliminary financial data included herein have been prepared by, and are the responsibility of management. Our independent registered public accounting firm has not audited, reviewed, compiled or performed any procedures with respect to such preliminary estimates. Accordingly, our independent registered public accounting firm does not express an opinion or any other form of assurance with respect thereto.</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This prospectus supplement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60"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the accompanying prospectus under “Risk Factors” and elsewhere in this prospectus supplement and the accompanying prospectus.</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spacing w:after="0" w:line="312" w:lineRule="auto"/>
        <w:rPr>
          <w:sz w:val="20"/>
          <w:szCs w:val="20"/>
          <w:color w:val="auto"/>
        </w:rPr>
      </w:pPr>
      <w:r>
        <w:rPr>
          <w:rFonts w:ascii="Arial" w:cs="Arial" w:eastAsia="Arial" w:hAnsi="Arial"/>
          <w:sz w:val="16"/>
          <w:szCs w:val="16"/>
          <w:color w:val="auto"/>
        </w:rPr>
        <w:t>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reports on Form 10-K/Q and current reports on Form 8-K.</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estimate that net proceeds we will receive from the sale of 6,000,000 shares of our common stock in this offering will be approximately $83.9 million (or approximately $96.6 million if the underwriters fully exercise their option to purchase additional shares), in each case based on a public offering price of $14.15 per share after deducting the underwriting discounts and commissions of approximately $0.6 million (or approximately $0.6 million if the underwriters fully exercise their option to purchase additional shares) and estimated offering expenses of approximately $425,000 payable by us. The Investment Adviser has agreed to bear $2.0 million of underwriting discounts and/or commissions in connection with this offering (or approximately $2.3 million if the underwriters fully exercise their option to purchase additional shares).</w:t>
      </w:r>
    </w:p>
    <w:p>
      <w:pPr>
        <w:spacing w:after="0" w:line="17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to capitalize a subsidiary or new joint venture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As of June 30, 2017, we had $83.8 million of unused borrowing capacity, subject to maintenance of the applicable total assets to debt ratio, as set forth in the 1940 Act, and $291.2 million in borrowings outstanding under our $375 million Credit Facility. Borrowings under our Credit Facility bear interest at an annual rate equal to LIBOR plus 200 basis points per annum during the revolving period, and the rate resets to LIBOR plus 425 points per annum for the remaining two years. At June 30, 2017, the interest rate on the Credit Facility was 3.00%, excluding the undrawn commitment fee of</w:t>
      </w:r>
    </w:p>
    <w:p>
      <w:pPr>
        <w:spacing w:after="0" w:line="2" w:lineRule="exact"/>
        <w:rPr>
          <w:sz w:val="20"/>
          <w:szCs w:val="20"/>
          <w:color w:val="auto"/>
        </w:rPr>
      </w:pPr>
    </w:p>
    <w:p>
      <w:pPr>
        <w:ind w:left="200" w:right="60"/>
        <w:spacing w:after="0" w:line="277" w:lineRule="auto"/>
        <w:rPr>
          <w:sz w:val="20"/>
          <w:szCs w:val="20"/>
          <w:color w:val="auto"/>
        </w:rPr>
      </w:pPr>
      <w:r>
        <w:rPr>
          <w:rFonts w:ascii="Arial" w:cs="Arial" w:eastAsia="Arial" w:hAnsi="Arial"/>
          <w:sz w:val="17"/>
          <w:szCs w:val="17"/>
          <w:color w:val="auto"/>
        </w:rPr>
        <w:t>0.375%. The Credit Facility is a revolving facility maturing in August 2020 and is secured by all of the assets of Funding I. Amounts repaid under our Credit Facility remain available for future borrowings during the revolving period. See “Management’s Discussion and Analysis of Financial Condition and Results of Operations” in this prospectus supplement and the accompanying prospectus for more information.</w:t>
      </w:r>
    </w:p>
    <w:p>
      <w:pPr>
        <w:spacing w:after="0" w:line="17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in the accompanying prospectus for more information.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following table sets forth our cash and capitalization on June 30, 2017 (1) on an actual basis and (2) on an as-adjusted basis to reflect the effects of the sale of 6,000,000 shares of common stock in this offering at an offering price of $14.15 per share ($14.06 per share net of the sales load payable by us), and estimated offering expenses of $425,000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8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As of 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Actual</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As-adjusted for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 xml:space="preserve">the offering </w:t>
            </w:r>
            <w:r>
              <w:rPr>
                <w:rFonts w:ascii="Arial" w:cs="Arial" w:eastAsia="Arial" w:hAnsi="Arial"/>
                <w:sz w:val="12"/>
                <w:szCs w:val="12"/>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48,951,746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$ 132,866,946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777,253,754</w:t>
            </w: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861,168,954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(cost—$291,209,500)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293,663,760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293,663,760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32,480,074 and 38,480,074 shares, as-adjusted, are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issued and outstanding, respectively. Par value is $0.001 per share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100,000,000 shares are authorized.</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32,480</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451,705,066</w:t>
            </w: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535,614,266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2,009,837</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3,584,392</w:t>
            </w: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3,584,392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1,434,203</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1,434,203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(2,454,260)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(2,454,260)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456,311,718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540,226,918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749,975,478</w:t>
            </w:r>
          </w:p>
        </w:tc>
        <w:tc>
          <w:tcPr>
            <w:tcW w:w="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$ 833,890,678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340" w:hanging="436"/>
        <w:spacing w:after="0" w:line="308"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Does not include the underwriters’ option to purchase additional shares in connection with this offering and any shares issued pursuant to our dividend reinvestment plan. Assumes the net proceeds from this offering are invested in cash and cash equivalents.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60"/>
          </w:cols>
          <w:pgMar w:left="24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Our common stock is traded on the NASDAQ Global Select Market under the symbol “PFLT.” The following table lists the high and low closing sale price for our common stock, the closing sale prices as a premium or (discount) to our NAV per share and distributions per quarter per share since October 1, 2015. On October 24, 2017, the last reported closing sale price of our common stock was $14.59 per share.</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3"/>
            <w:vMerge w:val="restart"/>
          </w:tcPr>
          <w:p>
            <w:pPr>
              <w:jc w:val="right"/>
              <w:ind w:right="108"/>
              <w:spacing w:after="0"/>
              <w:rPr>
                <w:sz w:val="20"/>
                <w:szCs w:val="20"/>
                <w:color w:val="auto"/>
              </w:rPr>
            </w:pPr>
            <w:r>
              <w:rPr>
                <w:rFonts w:ascii="Arial" w:cs="Arial" w:eastAsia="Arial" w:hAnsi="Arial"/>
                <w:sz w:val="14"/>
                <w:szCs w:val="14"/>
                <w:b w:val="1"/>
                <w:bCs w:val="1"/>
                <w:color w:val="auto"/>
              </w:rPr>
              <w:t>Closing Sales Price</w:t>
            </w:r>
          </w:p>
        </w:tc>
        <w:tc>
          <w:tcPr>
            <w:tcW w:w="2260" w:type="dxa"/>
            <w:vAlign w:val="bottom"/>
            <w:gridSpan w:val="3"/>
          </w:tcPr>
          <w:p>
            <w:pPr>
              <w:jc w:val="center"/>
              <w:ind w:left="13"/>
              <w:spacing w:after="0"/>
              <w:rPr>
                <w:sz w:val="20"/>
                <w:szCs w:val="20"/>
                <w:color w:val="auto"/>
              </w:rPr>
            </w:pPr>
            <w:r>
              <w:rPr>
                <w:rFonts w:ascii="Arial" w:cs="Arial" w:eastAsia="Arial" w:hAnsi="Arial"/>
                <w:sz w:val="14"/>
                <w:szCs w:val="14"/>
                <w:b w:val="1"/>
                <w:bCs w:val="1"/>
                <w:color w:val="auto"/>
                <w:w w:val="93"/>
              </w:rPr>
              <w:t>Premium / (Discount)</w:t>
            </w:r>
          </w:p>
        </w:tc>
        <w:tc>
          <w:tcPr>
            <w:tcW w:w="1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Premium / (Discount)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40" w:type="dxa"/>
            <w:vAlign w:val="bottom"/>
            <w:tcBorders>
              <w:bottom w:val="single" w:sz="8" w:color="auto"/>
            </w:tcBorders>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740" w:type="dxa"/>
            <w:vAlign w:val="bottom"/>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240" w:type="dxa"/>
            <w:vAlign w:val="bottom"/>
          </w:tcPr>
          <w:p>
            <w:pPr>
              <w:spacing w:after="0"/>
              <w:rPr>
                <w:sz w:val="6"/>
                <w:szCs w:val="6"/>
                <w:color w:val="auto"/>
              </w:rPr>
            </w:pPr>
          </w:p>
        </w:tc>
        <w:tc>
          <w:tcPr>
            <w:tcW w:w="174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300" w:type="dxa"/>
            <w:vAlign w:val="bottom"/>
            <w:gridSpan w:val="4"/>
            <w:vMerge w:val="restart"/>
          </w:tcPr>
          <w:p>
            <w:pPr>
              <w:ind w:left="24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4"/>
                <w:szCs w:val="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xml:space="preserve">NAV </w:t>
            </w:r>
            <w:r>
              <w:rPr>
                <w:rFonts w:ascii="Arial" w:cs="Arial" w:eastAsia="Arial" w:hAnsi="Arial"/>
                <w:sz w:val="12"/>
                <w:szCs w:val="12"/>
                <w:b w:val="1"/>
                <w:bCs w:val="1"/>
                <w:color w:val="auto"/>
                <w:w w:val="95"/>
              </w:rPr>
              <w:t>(1)</w:t>
            </w:r>
          </w:p>
        </w:tc>
        <w:tc>
          <w:tcPr>
            <w:tcW w:w="500" w:type="dxa"/>
            <w:vAlign w:val="bottom"/>
          </w:tcPr>
          <w:p>
            <w:pPr>
              <w:spacing w:after="0"/>
              <w:rPr>
                <w:sz w:val="4"/>
                <w:szCs w:val="4"/>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4"/>
                <w:szCs w:val="4"/>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7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4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 xml:space="preserve">Price to NAV </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0" w:type="dxa"/>
            <w:vAlign w:val="bottom"/>
            <w:tcBorders>
              <w:top w:val="single" w:sz="8" w:color="auto"/>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74"/>
              </w:rPr>
              <w:t>Fiscal</w:t>
            </w:r>
          </w:p>
        </w:tc>
        <w:tc>
          <w:tcPr>
            <w:tcW w:w="2280" w:type="dxa"/>
            <w:vAlign w:val="bottom"/>
            <w:tcBorders>
              <w:top w:val="single" w:sz="8" w:color="CCEEFF"/>
            </w:tcBorders>
            <w:shd w:val="clear" w:color="auto" w:fill="CCEEFF"/>
          </w:tcPr>
          <w:p>
            <w:pPr>
              <w:ind w:left="80"/>
              <w:spacing w:after="0" w:line="178" w:lineRule="exact"/>
              <w:rPr>
                <w:sz w:val="20"/>
                <w:szCs w:val="20"/>
                <w:color w:val="auto"/>
              </w:rPr>
            </w:pPr>
            <w:r>
              <w:rPr>
                <w:rFonts w:ascii="Arial" w:cs="Arial" w:eastAsia="Arial" w:hAnsi="Arial"/>
                <w:sz w:val="18"/>
                <w:szCs w:val="18"/>
                <w:b w:val="1"/>
                <w:bCs w:val="1"/>
                <w:color w:val="auto"/>
              </w:rPr>
              <w:t>Year Ending</w:t>
            </w:r>
          </w:p>
        </w:tc>
        <w:tc>
          <w:tcPr>
            <w:tcW w:w="2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w w:val="99"/>
              </w:rPr>
              <w:t>First quarter (through October 24,</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gridSpan w:val="3"/>
          </w:tcPr>
          <w:p>
            <w:pPr>
              <w:ind w:left="180"/>
              <w:spacing w:after="0"/>
              <w:rPr>
                <w:sz w:val="20"/>
                <w:szCs w:val="20"/>
                <w:color w:val="auto"/>
              </w:rPr>
            </w:pPr>
            <w:r>
              <w:rPr>
                <w:rFonts w:ascii="Arial" w:cs="Arial" w:eastAsia="Arial" w:hAnsi="Arial"/>
                <w:sz w:val="18"/>
                <w:szCs w:val="18"/>
                <w:color w:val="auto"/>
              </w:rPr>
              <w:t>2017)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$ 14.50</w:t>
            </w:r>
          </w:p>
        </w:tc>
        <w:tc>
          <w:tcPr>
            <w:tcW w:w="520" w:type="dxa"/>
            <w:vAlign w:val="bottom"/>
          </w:tcPr>
          <w:p>
            <w:pPr>
              <w:spacing w:after="0"/>
              <w:rPr>
                <w:sz w:val="20"/>
                <w:szCs w:val="20"/>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0"/>
                <w:szCs w:val="20"/>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0.095</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w:t>
            </w: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13.96</w:t>
            </w:r>
          </w:p>
        </w:tc>
        <w:tc>
          <w:tcPr>
            <w:tcW w:w="520" w:type="dxa"/>
            <w:vAlign w:val="bottom"/>
          </w:tcPr>
          <w:p>
            <w:pPr>
              <w:spacing w:after="0"/>
              <w:rPr>
                <w:sz w:val="18"/>
                <w:szCs w:val="18"/>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17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30, 2016</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(9)</w:t>
            </w: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9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226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98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280"/>
              <w:spacing w:after="0"/>
              <w:rPr>
                <w:sz w:val="20"/>
                <w:szCs w:val="20"/>
                <w:color w:val="auto"/>
              </w:rPr>
            </w:pPr>
            <w:r>
              <w:rPr>
                <w:rFonts w:ascii="Arial" w:cs="Arial" w:eastAsia="Arial" w:hAnsi="Arial"/>
                <w:sz w:val="18"/>
                <w:szCs w:val="18"/>
                <w:color w:val="auto"/>
                <w:w w:val="88"/>
              </w:rPr>
              <w:t>0.285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60" w:hanging="436"/>
        <w:spacing w:after="0" w:line="256"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640" w:right="580" w:hanging="436"/>
        <w:spacing w:after="0" w:line="261"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a distribution of $0.095 per share payable on November 1, 2017 to stockholders of record as of October 19, 2017. Investors in this offering will not be entitled to this distribution.</w:t>
      </w:r>
    </w:p>
    <w:p>
      <w:pPr>
        <w:spacing w:after="0" w:line="184" w:lineRule="exact"/>
        <w:rPr>
          <w:sz w:val="20"/>
          <w:szCs w:val="20"/>
          <w:color w:val="auto"/>
        </w:rPr>
      </w:pPr>
    </w:p>
    <w:p>
      <w:pPr>
        <w:jc w:val="both"/>
        <w:ind w:left="200" w:right="40" w:firstLine="441"/>
        <w:spacing w:after="0" w:line="257" w:lineRule="auto"/>
        <w:rPr>
          <w:sz w:val="20"/>
          <w:szCs w:val="20"/>
          <w:color w:val="auto"/>
        </w:rPr>
      </w:pPr>
      <w:r>
        <w:rPr>
          <w:rFonts w:ascii="Arial" w:cs="Arial" w:eastAsia="Arial" w:hAnsi="Arial"/>
          <w:sz w:val="18"/>
          <w:szCs w:val="18"/>
          <w:color w:val="auto"/>
        </w:rPr>
        <w:t>Shares of BDCs may trade at a market price both above and below the NAV that is attributable to those shares. Our shares have traded above and below our NAV. Our shares closed on the NASDAQ Global Select Market at $14.11 and $13.23 on June 30, 2017 and September 30, 2016, respectively. Our NAV per share was $14.05 and $14.06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and unaudited Consolidated Financial Statements. These selected financial data should be read in conjunction with our Consolidated Financial Statements and related notes thereto and “Management’s Discussion and Analysis of Financial Condition and Results of Operations” in both this prospectus supplement and the accompanying prospectus.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4"/>
              </w:rPr>
              <w:t>(audited)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For the Nine Months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Ended June 30,</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For the Years Ended September 30,</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thousands,</w:t>
            </w: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except per share data)</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Consolidated Statement of Operations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$ 41,043</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$ 30,906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$ 46,301</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$ 30,355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$ 30,357</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$ 18,867</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$ 12,099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18,965</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12,695</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23,036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19,181</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27,336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17,660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16,636</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10,523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6,310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7"/>
              </w:rPr>
              <w:t>Net increase in net assets resulting from</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25,474</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17,602</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33,489</w:t>
            </w:r>
          </w:p>
        </w:tc>
        <w:tc>
          <w:tcPr>
            <w:tcW w:w="2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12,504</w:t>
            </w:r>
          </w:p>
        </w:tc>
        <w:tc>
          <w:tcPr>
            <w:tcW w:w="3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20,514</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11,985</w:t>
            </w: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asset value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14.06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14.40</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5"/>
              </w:rPr>
              <w:t xml:space="preserve">Net realized and unrealized gain (loss) </w:t>
            </w:r>
            <w:r>
              <w:rPr>
                <w:rFonts w:ascii="Arial" w:cs="Arial" w:eastAsia="Arial" w:hAnsi="Arial"/>
                <w:sz w:val="15"/>
                <w:szCs w:val="15"/>
                <w:color w:val="auto"/>
                <w:w w:val="95"/>
              </w:rPr>
              <w:t>(1)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(0.06)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0.23</w:t>
            </w:r>
          </w:p>
        </w:tc>
        <w:tc>
          <w:tcPr>
            <w:tcW w:w="28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(0.31)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Net increase in net assets resulting from</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operations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Distributions declared </w:t>
            </w:r>
            <w:r>
              <w:rPr>
                <w:rFonts w:ascii="Arial" w:cs="Arial" w:eastAsia="Arial" w:hAnsi="Arial"/>
                <w:sz w:val="15"/>
                <w:szCs w:val="15"/>
                <w:color w:val="auto"/>
              </w:rPr>
              <w:t>(1),(2)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2"/>
              </w:rPr>
              <w:t>Consolidated Statements of Assets and</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Liabilities data:</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777,254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572,684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631,420</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416,120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372,874</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328,802</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178,367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698,930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550,999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391,312</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348,428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317,804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171,834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Credit Facility payable </w:t>
            </w:r>
            <w:r>
              <w:rPr>
                <w:rFonts w:ascii="Arial" w:cs="Arial" w:eastAsia="Arial" w:hAnsi="Arial"/>
                <w:sz w:val="15"/>
                <w:szCs w:val="15"/>
                <w:color w:val="auto"/>
              </w:rPr>
              <w:t>(3)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293,664</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190,375</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232,389</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29,600</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146,949</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99,600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456,312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367,639</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375,907</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372,890</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214,528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210,066</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(4)</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13.42%</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11.68%</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21.77%</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(6.01)%</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8.05%</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 xml:space="preserve">Number of portfolio companies </w:t>
            </w:r>
            <w:r>
              <w:rPr>
                <w:rFonts w:ascii="Arial" w:cs="Arial" w:eastAsia="Arial" w:hAnsi="Arial"/>
                <w:sz w:val="15"/>
                <w:szCs w:val="15"/>
                <w:color w:val="auto"/>
              </w:rPr>
              <w:t>(5)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Yield on debt portfolio </w:t>
            </w:r>
            <w:r>
              <w:rPr>
                <w:rFonts w:ascii="Arial" w:cs="Arial" w:eastAsia="Arial" w:hAnsi="Arial"/>
                <w:sz w:val="15"/>
                <w:szCs w:val="15"/>
                <w:color w:val="auto"/>
              </w:rPr>
              <w:t>(5)</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annualized for periods of less than a year. Based on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$15,190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$13,221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12,631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8,185</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8,029</w:t>
            </w:r>
          </w:p>
        </w:tc>
        <w:tc>
          <w:tcPr>
            <w:tcW w:w="2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9,342</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7,283</w:t>
            </w:r>
          </w:p>
        </w:tc>
        <w:tc>
          <w:tcPr>
            <w:tcW w:w="2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8,849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640" w:type="dxa"/>
            <w:vAlign w:val="bottom"/>
            <w:gridSpan w:val="3"/>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26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14.11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40" w:type="dxa"/>
            <w:vAlign w:val="bottom"/>
            <w:shd w:val="clear" w:color="auto" w:fill="CCEEFF"/>
          </w:tcPr>
          <w:p>
            <w:pPr>
              <w:spacing w:after="0"/>
              <w:rPr>
                <w:sz w:val="18"/>
                <w:szCs w:val="18"/>
                <w:color w:val="auto"/>
              </w:rPr>
            </w:pPr>
          </w:p>
        </w:tc>
      </w:tr>
      <w:tr>
        <w:trPr>
          <w:trHeight w:val="39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$10,803</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9"/>
              </w:rPr>
              <w:t>$11,346</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8,756</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8,155</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6,830</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7,265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5,086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6,589</w:t>
            </w:r>
          </w:p>
        </w:tc>
        <w:tc>
          <w:tcPr>
            <w:tcW w:w="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ind w:left="480"/>
              <w:spacing w:after="0"/>
              <w:rPr>
                <w:sz w:val="20"/>
                <w:szCs w:val="20"/>
                <w:color w:val="auto"/>
              </w:rPr>
            </w:pPr>
            <w:r>
              <w:rPr>
                <w:rFonts w:ascii="Arial" w:cs="Arial" w:eastAsia="Arial" w:hAnsi="Arial"/>
                <w:sz w:val="18"/>
                <w:szCs w:val="18"/>
                <w:color w:val="auto"/>
                <w:w w:val="88"/>
              </w:rPr>
              <w:t>$ (4,829)</w:t>
            </w: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2"/>
              </w:rPr>
              <w:t>$(3,339)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15,887</w:t>
            </w:r>
          </w:p>
        </w:tc>
        <w:tc>
          <w:tcPr>
            <w:tcW w:w="26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$13,419</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2,436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14.06</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13.75</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13.54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12.40</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Q3</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7,104</w:t>
            </w: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7,983</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7,477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3,639</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4,097</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(2,424)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w w:val="92"/>
              </w:rPr>
              <w:t>$(5,030)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1,215</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4,727</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6,124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net assets resulting from operations per common 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13.95</w:t>
            </w:r>
          </w:p>
        </w:tc>
        <w:tc>
          <w:tcPr>
            <w:tcW w:w="26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14.33</w:t>
            </w:r>
          </w:p>
        </w:tc>
        <w:tc>
          <w:tcPr>
            <w:tcW w:w="60" w:type="dxa"/>
            <w:vAlign w:val="bottom"/>
          </w:tcPr>
          <w:p>
            <w:pPr>
              <w:spacing w:after="0"/>
              <w:rPr>
                <w:sz w:val="18"/>
                <w:szCs w:val="18"/>
                <w:color w:val="auto"/>
              </w:rPr>
            </w:pPr>
          </w:p>
        </w:tc>
        <w:tc>
          <w:tcPr>
            <w:tcW w:w="6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14.30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13.88</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540" w:right="4900" w:hanging="5336"/>
        <w:spacing w:after="0" w:line="536" w:lineRule="auto"/>
        <w:tabs>
          <w:tab w:leader="none" w:pos="4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weighted average shares outstanding for the respective periods. S-17</w:t>
      </w:r>
    </w:p>
    <w:p>
      <w:pPr>
        <w:sectPr>
          <w:pgSz w:w="11900" w:h="16838" w:orient="portrait"/>
          <w:cols w:equalWidth="0" w:num="1">
            <w:col w:w="10780"/>
          </w:cols>
          <w:pgMar w:left="240" w:top="459" w:right="8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debt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5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and Structure of PennantPark Floating Rate Capital Ltd.</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loan waiver and amendment fees, and are recorded as other investment income when earned.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53" w:lineRule="exact"/>
        <w:rPr>
          <w:rFonts w:ascii="Arial" w:cs="Arial" w:eastAsia="Arial" w:hAnsi="Arial"/>
          <w:sz w:val="16"/>
          <w:szCs w:val="16"/>
          <w:color w:val="auto"/>
        </w:rPr>
      </w:pPr>
    </w:p>
    <w:p>
      <w:pPr>
        <w:ind w:left="1060" w:right="20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80" w:right="320"/>
        <w:spacing w:after="0" w:line="264" w:lineRule="auto"/>
        <w:rPr>
          <w:sz w:val="20"/>
          <w:szCs w:val="20"/>
          <w:color w:val="auto"/>
        </w:rPr>
      </w:pPr>
      <w:r>
        <w:rPr>
          <w:rFonts w:ascii="Arial" w:cs="Arial" w:eastAsia="Arial" w:hAnsi="Arial"/>
          <w:sz w:val="18"/>
          <w:szCs w:val="18"/>
          <w:color w:val="auto"/>
        </w:rPr>
        <w:t>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As of June 30, 2017, our portfolio totaled $698.9 million and consisted of $613.3 million of senior secured debt, $32.4 million of second lien secured debt, $32.5 million of subordinated debt and $20.7 million of preferred and common equity. Our debt portfolio consisted of 99% variable-rate investments (including 9% where LIBOR was below the floor) and 1% fixed-rate investments. As of June 30, 2017, we had one company on non-accrual, representing 0.4% and 0.2% of our overall portfolio on a cost and fair value basis, respectively. Overall, the portfolio had net unrealized appreciation of $1.4 million. Our overall portfolio consisted of 86 companies with an average investment size of $8.1 million, had a weighted average yield on debt investments of 8.2%, and was invested 88% in senior secured debt, 4% in second lien secured debt, 5% in subordinated debt and 3% in preferred and common equity.</w:t>
      </w:r>
    </w:p>
    <w:p>
      <w:pPr>
        <w:spacing w:after="0" w:line="18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where LIBOR was below the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9"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For the three months ended June 30, 2017, we invested $136.7 million in four new and 14 existing portfolio companies with a weighted average yield on debt investments of 8.3%. Sales and repayments of investments for the three months ended June 30, 2017 totaled $172.9 million. For the nine months ended June 30, 2017, we invested $407.8 million in 25 new and 37 existing portfolio companies with a weighted average yield on debt investments of 7.8%. Sales and repayments of investments for the nine months ended June 30, 2017 totaled $314.8 million.</w:t>
      </w:r>
    </w:p>
    <w:p>
      <w:pPr>
        <w:spacing w:after="0" w:line="154" w:lineRule="exact"/>
        <w:rPr>
          <w:sz w:val="20"/>
          <w:szCs w:val="20"/>
          <w:color w:val="auto"/>
        </w:rPr>
      </w:pPr>
    </w:p>
    <w:p>
      <w:pPr>
        <w:ind w:left="200" w:right="280" w:firstLine="441"/>
        <w:spacing w:after="0" w:line="302" w:lineRule="auto"/>
        <w:rPr>
          <w:sz w:val="20"/>
          <w:szCs w:val="20"/>
          <w:color w:val="auto"/>
        </w:rPr>
      </w:pPr>
      <w:r>
        <w:rPr>
          <w:rFonts w:ascii="Arial" w:cs="Arial" w:eastAsia="Arial" w:hAnsi="Arial"/>
          <w:sz w:val="16"/>
          <w:szCs w:val="16"/>
          <w:color w:val="auto"/>
        </w:rPr>
        <w:t>For the three months ended June 30, 2016, we invested $101.2 million in 14 new and six existing portfolio companies with a weighted average yield on debt investments of 7.4%. Sales and repayments of investments for the three months ended June 30, 2016 totaled $40.3 million. For the nine months ended June 30, 2016, we invested $257.7 million in 29 new and 16 existing portfolio companies with a weighted average yield on debt investments of 8.1%. Sales and repayments of investments for the nine months ended June 30, 2016 totaled $97.1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3" w:lineRule="auto"/>
        <w:rPr>
          <w:sz w:val="20"/>
          <w:szCs w:val="20"/>
          <w:color w:val="auto"/>
        </w:rPr>
      </w:pPr>
      <w:r>
        <w:rPr>
          <w:rFonts w:ascii="Arial" w:cs="Arial" w:eastAsia="Arial" w:hAnsi="Arial"/>
          <w:sz w:val="17"/>
          <w:szCs w:val="17"/>
          <w:color w:val="auto"/>
        </w:rPr>
        <w:t>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Valuations</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prospectus supplement.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66"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2060" w:right="900" w:hanging="985"/>
        <w:spacing w:after="0" w:line="277" w:lineRule="auto"/>
        <w:tabs>
          <w:tab w:leader="none" w:pos="2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76" w:lineRule="exact"/>
        <w:rPr>
          <w:sz w:val="20"/>
          <w:szCs w:val="20"/>
          <w:color w:val="auto"/>
        </w:rPr>
      </w:pPr>
    </w:p>
    <w:p>
      <w:pPr>
        <w:ind w:left="2060" w:right="180" w:hanging="985"/>
        <w:spacing w:after="0" w:line="264" w:lineRule="auto"/>
        <w:tabs>
          <w:tab w:leader="none" w:pos="2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7" w:lineRule="exact"/>
        <w:rPr>
          <w:sz w:val="20"/>
          <w:szCs w:val="20"/>
          <w:color w:val="auto"/>
        </w:rPr>
      </w:pPr>
    </w:p>
    <w:p>
      <w:pPr>
        <w:ind w:left="2060" w:right="620" w:hanging="985"/>
        <w:spacing w:after="0" w:line="277" w:lineRule="auto"/>
        <w:tabs>
          <w:tab w:leader="none" w:pos="2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$0.1 million in expenses relating to amendment costs on the Credit Facility during both the three and nine months ended June 30, 2017, respectively.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2017, our Credit Facility had a net change in unrealized appreciation of $1.9 million</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and $3.0 million, respectively. For the three and nine months ended June 30, 2016, our Credit Facility had a net change in unrealized depreciation of $0.3 million and $0.5 million, respectively. As of June 30, 2017 and September 30, 2016, the net unrealized (appreciation) depreciation on our Credit Facility totaled $(2.5)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29" w:lineRule="exact"/>
        <w:rPr>
          <w:sz w:val="20"/>
          <w:szCs w:val="20"/>
          <w:color w:val="auto"/>
        </w:rPr>
      </w:pPr>
    </w:p>
    <w:p>
      <w:pPr>
        <w:ind w:left="1260" w:hanging="17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hanging="17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three and nine months ended June 30, 2017 and 2016.</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Investment income for the three and nine months ended June 30, 2017 was $15.2 million and $41.0 million, respectively, and was attributable to $13.9 million and $37.1 million from senior secured loans and $1.3 million and $3.9 million from second lien secured debt and subordinated debt. This compares to investment income for the three and nine months ended June 30, 2016, which was $10.8 million and $30.9 million, respectively, and was attributable to $9.0 million and $26.0 million from senior secured loans and the remainder from second lien secured debt and subordinated debt. The increase in investment income compared to the same periods in the prior year was primarily due to the growth of our portfolio.</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Expenses for the three and nine months ended June 30, 2017 totaled $7.0 million and $18.0 million, respectively. Base management fee for the same periods totaled $1.8 million and $5.1 million, incentive fee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1" w:lineRule="auto"/>
        <w:rPr>
          <w:sz w:val="20"/>
          <w:szCs w:val="20"/>
          <w:color w:val="auto"/>
        </w:rPr>
      </w:pPr>
      <w:r>
        <w:rPr>
          <w:rFonts w:ascii="Arial" w:cs="Arial" w:eastAsia="Arial" w:hAnsi="Arial"/>
          <w:sz w:val="17"/>
          <w:szCs w:val="17"/>
          <w:color w:val="auto"/>
        </w:rPr>
        <w:t>totaled $1.4 million (including $0.2 million on realized gains and $0.4 million on unrealized gains accrued but not payable) and $3.4 million (including $0.2 million on realized gains and $0.9 million on unrealized gains accrued but not payable), Credit Facility expenses totaled $2.5 million and $6.3 million, general and administrative expenses totaled $1.2 million and $3.0 million and provision for taxes totaled $0.1 million and $0.2 million, respectively. This compares to expenses for the three and nine months ended June 30, 2016, which totaled $4.0 million and $11.7 million, respectively. Base management fee for the same periods totaled $1.3 million and $3.6 million, incentive fee totaled $0.5 million and $1.3 million, Credit Facility expenses totaled $1.3 million and $4.2 million (including $0.9 million of amendment expenses) and general and administrative expenses totaled $0.9 million and $2.6 million, respectively. The increase in expenses compared with the same periods in the prior year was primarily due to increases in base management and incentive fees as a result from the growth of our portfolio.</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Net investment income totaled $8.2 million and $23.0 million, or $0.25 and $0.78 per share, for the three and nine months ended June 30, 2017, respectively. Net investment income totaled $6.8 million and $19.2 million, or $0.26 and $0.72 per share, for the three and nine months ended June 30, 2016, respectively. The increase in net investment income compared to the same period in the prior year was primarily due to the growth of our portfolio.</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Sales and repayments of investments for the three and nine months ended June 30, 2017 totaled $172.9 million and $314.8 million and net realized gains totaled $2.5 million and $5.0 million, respectively. Sales and repayments of investments totaled $40.3 million and $97.1 million and realized gains (losses) totaled $0.2 million and $(2.0) million for the three and nine months ended June 30, 2016, respectively. The change in realized gains/losses was primarily due to changes in the market conditions of our investments and the values at which they were realized.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For the three and nine months ended June 30, 2017, we reported a net change in unrealized appreciation on investments of $0.6 million and $0.4 million, respectively. For the three and nine months ended June 30, 2016, we reported a net change in unrealized appreciation (depreciation) on investments of $6.1 million and $(0.1) million, respectively. As of June 30, 2017 and September 30, 2016, our net unrealized appreciation on investments totaled $1.4 million and $1.0 million, respectively. The net change in unrealized appreciation on our investments was driven primarily by changes in capital market conditions, the financial performance of certain portfolio companies and the reversal of unrealized depreciation (appreciation) on investments that were sold.</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 the three and nine months ended June 30, 2017, our Credit Facility had a net change in unrealized appreciation of $1.9 million and $3.0</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respectively. For the three and nine months ended June 30, 2016, our Credit Facility had a net change in unrealized depreciation of $0.3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$0.5 million, respectively. As of June 30, 2017 and September 30, 2016, net unrealized (appreciation) depreciation on our Credit Facility totaled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 million and $0.5 million, respectively. The change in net unrealized depreciation compared to the same periods in the prior year was primarily due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changes in the capital markets.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Net change in net assets resulting from operations totaled $9.3 million and $25.5 million, or $0.29 and $0.86 per share, respectively, for the three and nine months ended June 30, 2017. This compares to a net change in net assets resulting from operations which totaled $13.4 million and $17.6 million, or $0.50 and $0.66 per share, respectively, for the three and nine months ended June 30, 2016. The decrease/increase in the change in net assets from operations compared to the same periods in the prior year was primarily due to changes in portfolio investment values during the reporting periods.</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Funding I’s multi-currency Credit Facility with the Lenders was $375.0 million as of June 30, 2017, subject to satisfaction of certain conditions and regulatory restrictions that the 1940 Act imposes on us as a BDC, has an interest rate spread above LIBOR of 200 basis points, a maturity date of August 2020 and a revolving period that ends in August 2018. As of June 30, 2017 and September 30, 2016, Funding I had $291.2 million and $232.9 million of outstanding borrowings under the Credit Facility,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 As of June 30, 2017 and September 30, 2016, we had $83.8 million and $117.1 million of unused borrowing capacity under our Credit Facility, respectively, subject to the regulatory restrictions.</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2017,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of indebtedness, investments in portfolio companies, cash distributions to our stockholders or for other general corporate purposes. In February 2017, we completed a follow-on public offering of 5,750,000 shares of common stock, which resulted in proceeds to us of $14.08 per share, including the exercise of the underwriters’ option to purchase additional shares, for gross proceeds of $81.0 million and net proceeds of $80.5 million after offering expenses. Our Investment Adviser paid $5.0 million in connection with this offering, which included the sales load and an additional supplemental payment.</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At June 30, 2017 and September 30, 2016, we had cash equivalents of $49.0 million and $28.9 million, respectively, available for investing and general corporate purposes. We believe our liquidity and capital resources are sufficient to take advantage of market opportunities.</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Our operating activities used cash of $93.9 million for the nine months ended June 30, 2017, and our financing activities provided cash of $113.8 million for the same period. Our operating activities used cash primarily for our investment activities and our financing activities provided cash primarily from our recent equity offering and net borrowings under the Credit Facility.</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operating activities used cash of $143.2 million for the nine months ended June 30, 2016, and our financing activities provided cash of $138.5 million for the same period. Our operating activities used cash primarily for our investment activities and our financing activities provided cash primarily from net borrowings under the Credit Facility.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left="200" w:right="180" w:firstLine="441"/>
        <w:spacing w:after="0" w:line="276" w:lineRule="auto"/>
        <w:rPr>
          <w:sz w:val="20"/>
          <w:szCs w:val="20"/>
          <w:color w:val="auto"/>
        </w:rPr>
      </w:pPr>
      <w:r>
        <w:rPr>
          <w:rFonts w:ascii="Arial" w:cs="Arial" w:eastAsia="Arial" w:hAnsi="Arial"/>
          <w:sz w:val="17"/>
          <w:szCs w:val="17"/>
          <w:color w:val="auto"/>
        </w:rPr>
        <w:t>In May 2017, we and Trinity, a subsidiary of Kemper, formed PSSL, an unconsolidated joint venture. PSSL invests primarily in middle-market and other corporate debt securities consistent with our strategy. PSSL was formed as a Delaware limited liability company. As of June 30, 2017, PSSL had total assets of $77.8 million. PSSL’s portfolio consisted of debt investments in 14 portfolio companies as of June 30, 2017. As of June 30, 2017, at fair value, the largest investment in a single portfolio company in PSSL was $6.1 million and the five largest investments totaled $29.8 million. PSSL invests in portfolio companies in the same industries in which we may directly invest.</w:t>
      </w:r>
    </w:p>
    <w:p>
      <w:pPr>
        <w:spacing w:after="0" w:line="173"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We provide capital to PSSL in the form of subordinated notes and equity interests. The subordinated notes are junior in right of payment to the repayment of temporary contributions made by us to fund investments of PSSL. As of June 30, 2017, we and Kemper owned 87.5% and 12.5%, respectively, of each of the outstanding subordinated notes and equity interests. Our investment in PSSL consisted of equity interests of $10.8 million and subordinated notes of $25.2 million as of June 30, 2017. As of the same date, we had commitments to fund subordinated notes to PSSL of $61.3 million, of which $36.1 million was unfunded. As of June 30, 2017, we had commitments to fund equity interests in PSSL of $26.2 million, of which $15.4 million was unfunded.</w:t>
      </w:r>
    </w:p>
    <w:p>
      <w:pPr>
        <w:spacing w:after="0" w:line="193"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6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Additionally, PSSL has entered into a senior secured revolving credit facility, or the PSSL Credit Facility, with Capital One, N.A. through its wholly-owned subsidiary, PennantPark Senior Secured Loan Facility LLC, or PSSL Subsidiary, which as of June 30, 2017 allowed PSSL Subsidiary to borrow up to $100.0 million at any one time outstanding, subject to leverage and borrowing base restrictions.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summary of PSSL’s portfolio:</w:t>
      </w:r>
    </w:p>
    <w:p>
      <w:pPr>
        <w:spacing w:after="0" w:line="244"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June 30, 2017</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5"/>
                <w:szCs w:val="15"/>
                <w:color w:val="auto"/>
              </w:rPr>
              <w:t>(1)</w:t>
            </w: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70,707,374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 xml:space="preserve">Weighted average cost yield on income producing investments </w:t>
            </w:r>
            <w:r>
              <w:rPr>
                <w:rFonts w:ascii="Arial" w:cs="Arial" w:eastAsia="Arial" w:hAnsi="Arial"/>
                <w:sz w:val="15"/>
                <w:szCs w:val="15"/>
                <w:color w:val="auto"/>
              </w:rPr>
              <w:t>(2)</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15"/>
                <w:szCs w:val="15"/>
                <w:color w:val="auto"/>
              </w:rPr>
              <w:t>(1)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6,055,020</w:t>
            </w:r>
          </w:p>
        </w:tc>
        <w:tc>
          <w:tcPr>
            <w:tcW w:w="20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15"/>
                <w:szCs w:val="15"/>
                <w:color w:val="auto"/>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29,764,646</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23"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cost yield on income producing investments is computed based upon a combination of the cash flows to date and the contractual interest payments, principal amortization and principal due at maturity without giving effect to closing fees received, base management fees, incentive fees or general fund related expenses.</w:t>
      </w:r>
    </w:p>
    <w:p>
      <w:pPr>
        <w:spacing w:after="0" w:line="1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Below is a listing of PSSL’s individual investments as of June 30, 2017:</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Current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Basis Point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860" w:type="dxa"/>
            <w:vAlign w:val="bottom"/>
            <w:gridSpan w:val="3"/>
            <w:vMerge w:val="continue"/>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Spread Above</w:t>
            </w:r>
          </w:p>
        </w:tc>
        <w:tc>
          <w:tcPr>
            <w:tcW w:w="1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Par</w:t>
            </w:r>
          </w:p>
        </w:tc>
        <w:tc>
          <w:tcPr>
            <w:tcW w:w="30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0"/>
              </w:rPr>
              <w:t>Coupon</w:t>
            </w:r>
          </w:p>
        </w:tc>
        <w:tc>
          <w:tcPr>
            <w:tcW w:w="88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 xml:space="preserve">Index </w:t>
            </w:r>
            <w:r>
              <w:rPr>
                <w:rFonts w:ascii="Arial" w:cs="Arial" w:eastAsia="Arial" w:hAnsi="Arial"/>
                <w:sz w:val="12"/>
                <w:szCs w:val="12"/>
                <w:b w:val="1"/>
                <w:bCs w:val="1"/>
                <w:color w:val="auto"/>
              </w:rPr>
              <w:t>(1)</w:t>
            </w: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gridSpan w:val="2"/>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6400" w:type="dxa"/>
            <w:vAlign w:val="bottom"/>
            <w:gridSpan w:val="5"/>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Investments in Non-Controlled, Non-Affiliated Portfolio Companies—571.7%</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Debt—571.7%</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Alvogen Pharma US, Inc. </w:t>
            </w:r>
            <w:r>
              <w:rPr>
                <w:rFonts w:ascii="Arial" w:cs="Arial" w:eastAsia="Arial" w:hAnsi="Arial"/>
                <w:sz w:val="12"/>
                <w:szCs w:val="12"/>
                <w:color w:val="auto"/>
              </w:rPr>
              <w:t>(3)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04/04/2022</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Healthcare and Pharmaceuticals</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3,766,541</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3,725,241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3,700,626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API Technologies Corp.</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04/22/2022</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and Defense</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7.80%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4,987,406</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4,937,654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4,912,595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Professional IT Services,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05/16/2022</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High Tech Industries</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L+725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5,987,234</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5,838,216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5,927,362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Holdings, LLC</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03/31/2023</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6.73%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4,937,500</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4,863,654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4,889,647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IGM RFE1 B.V. </w:t>
            </w:r>
            <w:r>
              <w:rPr>
                <w:rFonts w:ascii="Arial" w:cs="Arial" w:eastAsia="Arial" w:hAnsi="Arial"/>
                <w:sz w:val="12"/>
                <w:szCs w:val="12"/>
                <w:color w:val="auto"/>
              </w:rPr>
              <w:t>(3),(4)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10/12/2021</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Chemicals, Plastics and Rubber</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E+800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€4,968,553</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Impact Sales, LLC</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12/30/2021</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1"/>
              </w:rPr>
              <w:t>Wholesale</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2,977,543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2,992,481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LSF9 Atlantis Holdings,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05/01/2023</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Retail</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6,071,161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Mission Critical Electronics, Inc.</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09/28/2022</w:t>
            </w: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color w:val="auto"/>
                <w:w w:val="94"/>
              </w:rPr>
              <w:t>Capital Equipment</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4,085,733</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4,060,081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4,067,531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Morphe,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02/10/2023</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Consumer Goods: Non-Durable</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4,869,692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One Sixty Over Ninety, LLC</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03/03/2022</w:t>
            </w:r>
          </w:p>
        </w:tc>
        <w:tc>
          <w:tcPr>
            <w:tcW w:w="120" w:type="dxa"/>
            <w:vAlign w:val="bottom"/>
          </w:tcPr>
          <w:p>
            <w:pPr>
              <w:spacing w:after="0"/>
              <w:rPr>
                <w:sz w:val="11"/>
                <w:szCs w:val="11"/>
                <w:color w:val="auto"/>
              </w:rPr>
            </w:pPr>
          </w:p>
        </w:tc>
        <w:tc>
          <w:tcPr>
            <w:tcW w:w="2040" w:type="dxa"/>
            <w:vAlign w:val="bottom"/>
          </w:tcPr>
          <w:p>
            <w:pPr>
              <w:jc w:val="center"/>
              <w:spacing w:after="0" w:line="130" w:lineRule="exact"/>
              <w:rPr>
                <w:sz w:val="20"/>
                <w:szCs w:val="20"/>
                <w:color w:val="auto"/>
              </w:rPr>
            </w:pPr>
            <w:r>
              <w:rPr>
                <w:rFonts w:ascii="Arial" w:cs="Arial" w:eastAsia="Arial" w:hAnsi="Arial"/>
                <w:sz w:val="14"/>
                <w:szCs w:val="14"/>
                <w:color w:val="auto"/>
                <w:w w:val="97"/>
              </w:rPr>
              <w:t>Media: Advertising, Printing and</w:t>
            </w:r>
          </w:p>
        </w:tc>
        <w:tc>
          <w:tcPr>
            <w:tcW w:w="8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10.51%</w:t>
            </w: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L+921</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6,000,000</w:t>
            </w:r>
          </w:p>
        </w:tc>
        <w:tc>
          <w:tcPr>
            <w:tcW w:w="3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5,880,288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5,940,000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2"/>
              </w:rPr>
              <w:t>Publishing</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Snak Club, LLC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07/19/2021</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The Infosoft Group, LLC</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12/02/2021</w:t>
            </w:r>
          </w:p>
        </w:tc>
        <w:tc>
          <w:tcPr>
            <w:tcW w:w="120" w:type="dxa"/>
            <w:vAlign w:val="bottom"/>
          </w:tcPr>
          <w:p>
            <w:pPr>
              <w:spacing w:after="0"/>
              <w:rPr>
                <w:sz w:val="11"/>
                <w:szCs w:val="11"/>
                <w:color w:val="auto"/>
              </w:rPr>
            </w:pPr>
          </w:p>
        </w:tc>
        <w:tc>
          <w:tcPr>
            <w:tcW w:w="2040" w:type="dxa"/>
            <w:vAlign w:val="bottom"/>
          </w:tcPr>
          <w:p>
            <w:pPr>
              <w:jc w:val="center"/>
              <w:spacing w:after="0" w:line="130" w:lineRule="exact"/>
              <w:rPr>
                <w:sz w:val="20"/>
                <w:szCs w:val="20"/>
                <w:color w:val="auto"/>
              </w:rPr>
            </w:pPr>
            <w:r>
              <w:rPr>
                <w:rFonts w:ascii="Arial" w:cs="Arial" w:eastAsia="Arial" w:hAnsi="Arial"/>
                <w:sz w:val="14"/>
                <w:szCs w:val="14"/>
                <w:color w:val="auto"/>
                <w:w w:val="92"/>
              </w:rPr>
              <w:t>Media: Broadcasting and</w:t>
            </w:r>
          </w:p>
        </w:tc>
        <w:tc>
          <w:tcPr>
            <w:tcW w:w="8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6.55%</w:t>
            </w: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L+525</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5,962,264</w:t>
            </w:r>
          </w:p>
        </w:tc>
        <w:tc>
          <w:tcPr>
            <w:tcW w:w="3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5,962,264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5,962,264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93"/>
              </w:rPr>
              <w:t>Subscription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VIP Cinema Holdings, Inc.</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03/01/2023</w:t>
            </w: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Consumer Goods: Durable</w:t>
            </w:r>
          </w:p>
        </w:tc>
        <w:tc>
          <w:tcPr>
            <w:tcW w:w="860" w:type="dxa"/>
            <w:vAlign w:val="bottom"/>
            <w:tcBorders>
              <w:right w:val="single" w:sz="8" w:color="CCEEFF"/>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5,008,226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4,974,531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20" w:type="dxa"/>
            <w:vAlign w:val="bottom"/>
            <w:gridSpan w:val="2"/>
          </w:tcPr>
          <w:p>
            <w:pPr>
              <w:spacing w:after="0" w:line="130" w:lineRule="exact"/>
              <w:rPr>
                <w:sz w:val="20"/>
                <w:szCs w:val="20"/>
                <w:color w:val="auto"/>
              </w:rPr>
            </w:pPr>
            <w:r>
              <w:rPr>
                <w:rFonts w:ascii="Arial" w:cs="Arial" w:eastAsia="Arial" w:hAnsi="Arial"/>
                <w:sz w:val="14"/>
                <w:szCs w:val="14"/>
                <w:color w:val="auto"/>
              </w:rPr>
              <w:t>Worley Claims Services, LLC</w:t>
            </w: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w w:val="96"/>
              </w:rPr>
              <w:t>10/30/2020</w:t>
            </w:r>
          </w:p>
        </w:tc>
        <w:tc>
          <w:tcPr>
            <w:tcW w:w="120" w:type="dxa"/>
            <w:vAlign w:val="bottom"/>
          </w:tcPr>
          <w:p>
            <w:pPr>
              <w:spacing w:after="0"/>
              <w:rPr>
                <w:sz w:val="11"/>
                <w:szCs w:val="11"/>
                <w:color w:val="auto"/>
              </w:rPr>
            </w:pPr>
          </w:p>
        </w:tc>
        <w:tc>
          <w:tcPr>
            <w:tcW w:w="2040" w:type="dxa"/>
            <w:vAlign w:val="bottom"/>
          </w:tcPr>
          <w:p>
            <w:pPr>
              <w:jc w:val="center"/>
              <w:spacing w:after="0" w:line="130" w:lineRule="exact"/>
              <w:rPr>
                <w:sz w:val="20"/>
                <w:szCs w:val="20"/>
                <w:color w:val="auto"/>
              </w:rPr>
            </w:pPr>
            <w:r>
              <w:rPr>
                <w:rFonts w:ascii="Arial" w:cs="Arial" w:eastAsia="Arial" w:hAnsi="Arial"/>
                <w:sz w:val="14"/>
                <w:szCs w:val="14"/>
                <w:color w:val="auto"/>
                <w:w w:val="91"/>
              </w:rPr>
              <w:t>Banking, Finance, Insurance and</w:t>
            </w:r>
          </w:p>
        </w:tc>
        <w:tc>
          <w:tcPr>
            <w:tcW w:w="86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9.21%</w:t>
            </w:r>
          </w:p>
        </w:tc>
        <w:tc>
          <w:tcPr>
            <w:tcW w:w="880" w:type="dxa"/>
            <w:vAlign w:val="bottom"/>
          </w:tcPr>
          <w:p>
            <w:pPr>
              <w:jc w:val="right"/>
              <w:spacing w:after="0" w:line="130" w:lineRule="exact"/>
              <w:rPr>
                <w:sz w:val="20"/>
                <w:szCs w:val="20"/>
                <w:color w:val="auto"/>
              </w:rPr>
            </w:pPr>
            <w:r>
              <w:rPr>
                <w:rFonts w:ascii="Arial" w:cs="Arial" w:eastAsia="Arial" w:hAnsi="Arial"/>
                <w:sz w:val="14"/>
                <w:szCs w:val="14"/>
                <w:color w:val="auto"/>
              </w:rPr>
              <w:t>L+800</w:t>
            </w:r>
          </w:p>
        </w:tc>
        <w:tc>
          <w:tcPr>
            <w:tcW w:w="8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6,000,000</w:t>
            </w:r>
          </w:p>
        </w:tc>
        <w:tc>
          <w:tcPr>
            <w:tcW w:w="3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5,940,231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color w:val="auto"/>
              </w:rPr>
              <w:t>5,880,000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4"/>
                <w:szCs w:val="14"/>
                <w:color w:val="auto"/>
                <w:w w:val="88"/>
              </w:rPr>
              <w:t>Real Estate</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70,676,130</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70,707,374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6"/>
              </w:rPr>
              <w:t>Total Investments in Non-Controlled, Affiliated Portfolio Companies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70,676,130</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70,707,374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Equivalents—48.9%</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BlackRock Federal FD Institutional 30</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Equivalents—620.6%</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76,722,994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76,754,238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Assets—(520.6)%</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Arial" w:cs="Arial" w:eastAsia="Arial" w:hAnsi="Arial"/>
                <w:sz w:val="14"/>
                <w:szCs w:val="14"/>
                <w:color w:val="auto"/>
                <w:w w:val="88"/>
              </w:rPr>
              <w:t>(64,385,753)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Members’ Equity—100.0%</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12,368,485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440" w:hanging="316"/>
        <w:spacing w:after="0" w:line="248" w:lineRule="auto"/>
        <w:tabs>
          <w:tab w:leader="none" w:pos="5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ind w:left="520" w:hanging="316"/>
        <w:spacing w:after="0" w:line="22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Valued based on PSSL’s accounting policy.</w:t>
      </w:r>
    </w:p>
    <w:p>
      <w:pPr>
        <w:ind w:left="520" w:hanging="316"/>
        <w:spacing w:after="0" w:line="221"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520" w:hanging="316"/>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Par amount is denominated in Euros (€) as denoted.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the financial information for PSSL:</w:t>
      </w: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(cost—$70,676,130)</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$ 70,707,374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Cash and cash equivalents (cost—$6,046,864)</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6,046,864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1,047,384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77,801,622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10,541,879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PSSL Credit Facility payable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Subordinated debt payable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28,800,000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65,433,137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12,368,485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members’ equity</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$ 77,801,622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jc w:val="center"/>
              <w:ind w:left="2510"/>
              <w:spacing w:after="0"/>
              <w:rPr>
                <w:sz w:val="20"/>
                <w:szCs w:val="20"/>
                <w:color w:val="auto"/>
              </w:rPr>
            </w:pPr>
            <w:r>
              <w:rPr>
                <w:rFonts w:ascii="Arial" w:cs="Arial" w:eastAsia="Arial" w:hAnsi="Arial"/>
                <w:sz w:val="18"/>
                <w:szCs w:val="18"/>
                <w:b w:val="1"/>
                <w:bCs w:val="1"/>
                <w:color w:val="auto"/>
                <w:w w:val="92"/>
              </w:rPr>
              <w:t>PennantPark Senior Secured Loan Fund I LLC</w:t>
            </w: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Statements of Operations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jc w:val="center"/>
              <w:ind w:left="251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2640" w:type="dxa"/>
            <w:vAlign w:val="bottom"/>
            <w:gridSpan w:val="6"/>
          </w:tcPr>
          <w:p>
            <w:pPr>
              <w:ind w:left="1060"/>
              <w:spacing w:after="0" w:line="149" w:lineRule="exact"/>
              <w:rPr>
                <w:sz w:val="20"/>
                <w:szCs w:val="20"/>
                <w:color w:val="auto"/>
              </w:rPr>
            </w:pPr>
            <w:r>
              <w:rPr>
                <w:rFonts w:ascii="Arial" w:cs="Arial" w:eastAsia="Arial" w:hAnsi="Arial"/>
                <w:sz w:val="14"/>
                <w:szCs w:val="14"/>
                <w:b w:val="1"/>
                <w:bCs w:val="1"/>
                <w:color w:val="auto"/>
              </w:rPr>
              <w:t>May 4, 2017 (inception)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through 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2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10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93,441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Interest and expenses on PSSL Credit Facility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35,680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on subordinated debt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99,058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ind w:left="340"/>
              <w:spacing w:after="0"/>
              <w:rPr>
                <w:sz w:val="20"/>
                <w:szCs w:val="20"/>
                <w:color w:val="auto"/>
              </w:rPr>
            </w:pPr>
            <w:r>
              <w:rPr>
                <w:rFonts w:ascii="Arial" w:cs="Arial" w:eastAsia="Arial" w:hAnsi="Arial"/>
                <w:sz w:val="18"/>
                <w:szCs w:val="18"/>
                <w:b w:val="1"/>
                <w:bCs w:val="1"/>
                <w:color w:val="auto"/>
              </w:rPr>
              <w:t>Net investment loss</w:t>
            </w: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(5,617)</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unrealized gain from investments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10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25,627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jc w:val="center"/>
              <w:ind w:left="2510"/>
              <w:spacing w:after="0"/>
              <w:rPr>
                <w:sz w:val="20"/>
                <w:szCs w:val="20"/>
                <w:color w:val="auto"/>
              </w:rPr>
            </w:pPr>
            <w:r>
              <w:rPr>
                <w:rFonts w:ascii="Arial" w:cs="Arial" w:eastAsia="Arial" w:hAnsi="Arial"/>
                <w:sz w:val="18"/>
                <w:szCs w:val="18"/>
                <w:color w:val="auto"/>
                <w:w w:val="89"/>
              </w:rPr>
              <w:t>S-29</w:t>
            </w: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at cost as of June 30, 2017, including borrowings under our Credit Facility and other contractual obligations, is as follows: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34"/>
              <w:spacing w:after="0"/>
              <w:rPr>
                <w:sz w:val="20"/>
                <w:szCs w:val="20"/>
                <w:color w:val="auto"/>
              </w:rPr>
            </w:pPr>
            <w:r>
              <w:rPr>
                <w:rFonts w:ascii="Arial" w:cs="Arial" w:eastAsia="Arial" w:hAnsi="Arial"/>
                <w:sz w:val="14"/>
                <w:szCs w:val="14"/>
                <w:b w:val="1"/>
                <w:bCs w:val="1"/>
                <w:color w:val="auto"/>
                <w:w w:val="99"/>
              </w:rPr>
              <w:t>Payments due by period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80" w:type="dxa"/>
            <w:vAlign w:val="bottom"/>
            <w:gridSpan w:val="3"/>
          </w:tcPr>
          <w:p>
            <w:pPr>
              <w:ind w:left="480"/>
              <w:spacing w:after="0" w:line="119" w:lineRule="exact"/>
              <w:rPr>
                <w:sz w:val="20"/>
                <w:szCs w:val="20"/>
                <w:color w:val="auto"/>
              </w:rPr>
            </w:pPr>
            <w:r>
              <w:rPr>
                <w:rFonts w:ascii="Arial" w:cs="Arial" w:eastAsia="Arial" w:hAnsi="Arial"/>
                <w:sz w:val="13"/>
                <w:szCs w:val="13"/>
                <w:b w:val="1"/>
                <w:bCs w:val="1"/>
                <w:color w:val="auto"/>
                <w:w w:val="95"/>
              </w:rPr>
              <w:t>Less than</w:t>
            </w:r>
          </w:p>
        </w:tc>
        <w:tc>
          <w:tcPr>
            <w:tcW w:w="8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1020" w:type="dxa"/>
            <w:vAlign w:val="bottom"/>
            <w:gridSpan w:val="2"/>
          </w:tcPr>
          <w:p>
            <w:pPr>
              <w:jc w:val="right"/>
              <w:ind w:right="74"/>
              <w:spacing w:after="0" w:line="119" w:lineRule="exact"/>
              <w:rPr>
                <w:sz w:val="20"/>
                <w:szCs w:val="20"/>
                <w:color w:val="auto"/>
              </w:rPr>
            </w:pPr>
            <w:r>
              <w:rPr>
                <w:rFonts w:ascii="Arial" w:cs="Arial" w:eastAsia="Arial" w:hAnsi="Arial"/>
                <w:sz w:val="13"/>
                <w:szCs w:val="13"/>
                <w:b w:val="1"/>
                <w:bCs w:val="1"/>
                <w:color w:val="auto"/>
              </w:rPr>
              <w:t>3-5</w:t>
            </w:r>
          </w:p>
        </w:tc>
        <w:tc>
          <w:tcPr>
            <w:tcW w:w="11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52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$291.2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5"/>
              </w:rPr>
              <w:t>$—</w:t>
            </w: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$291.2</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Commitment to PSSL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Unfunded investments </w:t>
            </w:r>
            <w:r>
              <w:rPr>
                <w:rFonts w:ascii="Arial" w:cs="Arial" w:eastAsia="Arial" w:hAnsi="Arial"/>
                <w:sz w:val="15"/>
                <w:szCs w:val="15"/>
                <w:color w:val="auto"/>
              </w:rPr>
              <w:t>(1)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gridSpan w:val="3"/>
          </w:tcPr>
          <w:p>
            <w:pPr>
              <w:ind w:left="420"/>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385.2</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$ 0.7</w:t>
            </w: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317.7</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Unfunded investments are disclosed in the Consolidated Schedule of Investments and Note 11 of our Consolidated Financial Statements.</w:t>
      </w:r>
    </w:p>
    <w:p>
      <w:pPr>
        <w:spacing w:after="0" w:line="23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2017,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2017,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October 3, 2017, we declared a distribution of $0.095 per share payable on November 1, 2017 to stockholders of record as of October 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Investors in this offering will not be entitled to this distribution.</w:t>
      </w:r>
    </w:p>
    <w:p>
      <w:pPr>
        <w:spacing w:after="0" w:line="21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Set forth below are certain preliminary estimates of our financial condition for the quarter ended September 30, 2017. These estimates are subject to the completion of our financial closing procedures and are not a comprehensive statement of our financial results for the year ended September 30, 2017. We advise you that our actual results may differ materially from these estimates as a result of the completion of our financial closing procedures, final adjustments and other developments arising between now and the time that our financial results for the year ended September 30, 2017 are finalized.</w:t>
      </w:r>
    </w:p>
    <w:p>
      <w:pPr>
        <w:spacing w:after="0" w:line="18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Net investment income is estimated to have totaled between $0.30 and $0.33 per share for the quarter ended September 30, 2017. This includes amounts received in a litigation settlement related to a former portfolio company of MCG of $0.07 per share net of the incentive fee payable on such amounts.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asset value as of September 30, 2017 is estimated to be between $14.08 and $14.11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2017, we had borrowed $253.8 million under our $375 million Credit Facility.</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Our and PSSL’s total investments at fair value are estimated to have increased by approximately $12 million and $29 million, respectively, during the three months ended September 30, 2017, after giving effect to purchases, sales, repayments and net change in unrealized appreciation.</w:t>
      </w:r>
    </w:p>
    <w:p>
      <w:pPr>
        <w:spacing w:after="0" w:line="124"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Based on our historic activity levels and current pipeline, we anticipate an active fourth calendar quarter of origination activity.</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the near term, the Company intends to organize a series of debt investor meetings outside of the United States. A debt transaction may follow, subject to market conditions. We cannot assure you as to when a transaction will occur, if at all.</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8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During the three and nine months ended June 30, 2017, we declared distributions of $0.285 and $0.855 per share, respectively, for total distributions of $9.3 million and $25.6 million, respectively. For the same periods in the prior year, we declared distributions of $0.285 and $0.855 per share, respectively, for total distributions of $7.6 million and $22.9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the board of directors quarterly.</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5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are subject to financial market risks, including changes in interest rates. As of June 30, 2017, our debt portfolio consisted of 99% variable-rate investments (including 9% where LIBOR was below the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65"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500" w:type="dxa"/>
            <w:vAlign w:val="bottom"/>
            <w:gridSpan w:val="3"/>
          </w:tcPr>
          <w:p>
            <w:pPr>
              <w:jc w:val="center"/>
              <w:ind w:left="814"/>
              <w:spacing w:after="0"/>
              <w:rPr>
                <w:sz w:val="20"/>
                <w:szCs w:val="20"/>
                <w:color w:val="auto"/>
              </w:rPr>
            </w:pPr>
            <w:r>
              <w:rPr>
                <w:rFonts w:ascii="Arial" w:cs="Arial" w:eastAsia="Arial" w:hAnsi="Arial"/>
                <w:sz w:val="14"/>
                <w:szCs w:val="14"/>
                <w:color w:val="auto"/>
                <w:w w:val="92"/>
              </w:rPr>
              <w:t>Change In Interest Income,</w:t>
            </w:r>
          </w:p>
        </w:tc>
        <w:tc>
          <w:tcPr>
            <w:tcW w:w="2920" w:type="dxa"/>
            <w:vAlign w:val="bottom"/>
            <w:gridSpan w:val="4"/>
          </w:tcPr>
          <w:p>
            <w:pPr>
              <w:ind w:left="1300"/>
              <w:spacing w:after="0"/>
              <w:rPr>
                <w:sz w:val="20"/>
                <w:szCs w:val="20"/>
                <w:color w:val="auto"/>
              </w:rPr>
            </w:pPr>
            <w:r>
              <w:rPr>
                <w:rFonts w:ascii="Arial" w:cs="Arial" w:eastAsia="Arial" w:hAnsi="Arial"/>
                <w:sz w:val="14"/>
                <w:szCs w:val="14"/>
                <w:color w:val="auto"/>
                <w:w w:val="94"/>
              </w:rPr>
              <w:t>Change In Interest Income,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360" w:type="dxa"/>
            <w:vAlign w:val="bottom"/>
            <w:gridSpan w:val="2"/>
            <w:vMerge w:val="restart"/>
          </w:tcPr>
          <w:p>
            <w:pPr>
              <w:jc w:val="center"/>
              <w:ind w:right="940"/>
              <w:spacing w:after="0"/>
              <w:rPr>
                <w:sz w:val="20"/>
                <w:szCs w:val="20"/>
                <w:color w:val="auto"/>
              </w:rPr>
            </w:pPr>
            <w:r>
              <w:rPr>
                <w:rFonts w:ascii="Arial" w:cs="Arial" w:eastAsia="Arial" w:hAnsi="Arial"/>
                <w:sz w:val="14"/>
                <w:szCs w:val="14"/>
                <w:color w:val="auto"/>
                <w:w w:val="91"/>
              </w:rPr>
              <w:t>Change In Interest Rates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center"/>
              <w:ind w:right="16"/>
              <w:spacing w:after="0" w:line="149" w:lineRule="exact"/>
              <w:rPr>
                <w:sz w:val="20"/>
                <w:szCs w:val="20"/>
                <w:color w:val="auto"/>
              </w:rPr>
            </w:pPr>
            <w:r>
              <w:rPr>
                <w:rFonts w:ascii="Arial" w:cs="Arial" w:eastAsia="Arial" w:hAnsi="Arial"/>
                <w:sz w:val="14"/>
                <w:szCs w:val="14"/>
                <w:color w:val="auto"/>
                <w:w w:val="92"/>
              </w:rPr>
              <w:t>Net Of Interest Expense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Net Of Interest Expense</w:t>
            </w: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center"/>
              <w:ind w:right="16"/>
              <w:spacing w:after="0"/>
              <w:rPr>
                <w:sz w:val="20"/>
                <w:szCs w:val="20"/>
                <w:color w:val="auto"/>
              </w:rPr>
            </w:pPr>
            <w:r>
              <w:rPr>
                <w:rFonts w:ascii="Arial" w:cs="Arial" w:eastAsia="Arial" w:hAnsi="Arial"/>
                <w:sz w:val="14"/>
                <w:szCs w:val="14"/>
                <w:color w:val="auto"/>
                <w:w w:val="91"/>
              </w:rPr>
              <w:t>(In Thousands)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Per Share</w:t>
            </w:r>
          </w:p>
        </w:tc>
        <w:tc>
          <w:tcPr>
            <w:tcW w:w="0" w:type="dxa"/>
            <w:vAlign w:val="bottom"/>
          </w:tcPr>
          <w:p>
            <w:pPr>
              <w:spacing w:after="0"/>
              <w:rPr>
                <w:sz w:val="1"/>
                <w:szCs w:val="1"/>
                <w:color w:val="auto"/>
              </w:rPr>
            </w:pPr>
          </w:p>
        </w:tc>
      </w:tr>
      <w:tr>
        <w:trPr>
          <w:trHeight w:val="210"/>
        </w:trPr>
        <w:tc>
          <w:tcPr>
            <w:tcW w:w="5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Up 1%</w:t>
            </w:r>
          </w:p>
        </w:tc>
        <w:tc>
          <w:tcPr>
            <w:tcW w:w="9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1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6"/>
              </w:rPr>
              <w:t>Up 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7,312</w:t>
            </w:r>
          </w:p>
        </w:tc>
        <w:tc>
          <w:tcPr>
            <w:tcW w:w="1380" w:type="dxa"/>
            <w:vAlign w:val="bottom"/>
            <w:gridSpan w:val="2"/>
          </w:tcPr>
          <w:p>
            <w:pPr>
              <w:ind w:left="1300"/>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6"/>
              </w:rPr>
              <w:t>Up 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380" w:type="dxa"/>
            <w:vAlign w:val="bottom"/>
            <w:gridSpan w:val="2"/>
            <w:shd w:val="clear" w:color="auto" w:fill="CCEEFF"/>
          </w:tcPr>
          <w:p>
            <w:pPr>
              <w:ind w:left="130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360" w:type="dxa"/>
            <w:vAlign w:val="bottom"/>
            <w:gridSpan w:val="2"/>
          </w:tcPr>
          <w:p>
            <w:pPr>
              <w:jc w:val="center"/>
              <w:ind w:right="920"/>
              <w:spacing w:after="0"/>
              <w:rPr>
                <w:sz w:val="20"/>
                <w:szCs w:val="20"/>
                <w:color w:val="auto"/>
              </w:rPr>
            </w:pPr>
            <w:r>
              <w:rPr>
                <w:rFonts w:ascii="Arial" w:cs="Arial" w:eastAsia="Arial" w:hAnsi="Arial"/>
                <w:sz w:val="18"/>
                <w:szCs w:val="18"/>
                <w:color w:val="auto"/>
                <w:w w:val="96"/>
              </w:rPr>
              <w:t>Up 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15,059</w:t>
            </w:r>
          </w:p>
        </w:tc>
        <w:tc>
          <w:tcPr>
            <w:tcW w:w="1380" w:type="dxa"/>
            <w:vAlign w:val="bottom"/>
            <w:gridSpan w:val="2"/>
          </w:tcPr>
          <w:p>
            <w:pPr>
              <w:ind w:left="1300"/>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66" w:lineRule="exact"/>
        <w:rPr>
          <w:sz w:val="20"/>
          <w:szCs w:val="20"/>
          <w:color w:val="auto"/>
        </w:rPr>
      </w:pPr>
    </w:p>
    <w:p>
      <w:pPr>
        <w:jc w:val="both"/>
        <w:ind w:left="200" w:right="120" w:firstLine="441"/>
        <w:spacing w:after="0" w:line="257" w:lineRule="auto"/>
        <w:rPr>
          <w:sz w:val="20"/>
          <w:szCs w:val="20"/>
          <w:color w:val="auto"/>
        </w:rPr>
      </w:pPr>
      <w:r>
        <w:rPr>
          <w:rFonts w:ascii="Arial" w:cs="Arial" w:eastAsia="Arial" w:hAnsi="Arial"/>
          <w:sz w:val="18"/>
          <w:szCs w:val="18"/>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prospectus supplement, we did not engage in interest rate hedging activities.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Goldman Sachs &amp; Co. LLC, J.P. Morgan Securities LLC, Keefe, Bruyette &amp; Woods, Inc., RBC Capital Markets,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 Names</w:t>
            </w: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6500" w:type="dxa"/>
            <w:vAlign w:val="bottom"/>
            <w:gridSpan w:val="2"/>
            <w:vMerge w:val="continue"/>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Morgan Stanley</w:t>
            </w: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&amp; Co. LLC</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920" w:type="dxa"/>
            <w:vAlign w:val="bottom"/>
          </w:tcPr>
          <w:p>
            <w:pPr>
              <w:jc w:val="right"/>
              <w:spacing w:after="0"/>
              <w:rPr>
                <w:sz w:val="20"/>
                <w:szCs w:val="20"/>
                <w:color w:val="auto"/>
              </w:rPr>
            </w:pPr>
            <w:r>
              <w:rPr>
                <w:rFonts w:ascii="Arial" w:cs="Arial" w:eastAsia="Arial" w:hAnsi="Arial"/>
                <w:sz w:val="18"/>
                <w:szCs w:val="18"/>
                <w:color w:val="auto"/>
              </w:rPr>
              <w:t>705,000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920" w:type="dxa"/>
            <w:vAlign w:val="bottom"/>
          </w:tcPr>
          <w:p>
            <w:pPr>
              <w:jc w:val="right"/>
              <w:spacing w:after="0"/>
              <w:rPr>
                <w:sz w:val="20"/>
                <w:szCs w:val="20"/>
                <w:color w:val="auto"/>
              </w:rPr>
            </w:pPr>
            <w:r>
              <w:rPr>
                <w:rFonts w:ascii="Arial" w:cs="Arial" w:eastAsia="Arial" w:hAnsi="Arial"/>
                <w:sz w:val="18"/>
                <w:szCs w:val="18"/>
                <w:color w:val="auto"/>
              </w:rPr>
              <w:t>705,000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920" w:type="dxa"/>
            <w:vAlign w:val="bottom"/>
          </w:tcPr>
          <w:p>
            <w:pPr>
              <w:jc w:val="right"/>
              <w:spacing w:after="0"/>
              <w:rPr>
                <w:sz w:val="20"/>
                <w:szCs w:val="20"/>
                <w:color w:val="auto"/>
              </w:rPr>
            </w:pPr>
            <w:r>
              <w:rPr>
                <w:rFonts w:ascii="Arial" w:cs="Arial" w:eastAsia="Arial" w:hAnsi="Arial"/>
                <w:sz w:val="18"/>
                <w:szCs w:val="18"/>
                <w:color w:val="auto"/>
              </w:rPr>
              <w:t>660,000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920" w:type="dxa"/>
            <w:vAlign w:val="bottom"/>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920" w:type="dxa"/>
            <w:vAlign w:val="bottom"/>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73"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The underwriters have advised us that they propose initially to offer the shares to the public at the public offering price on the cover page of this prospectus supplement and to certain other Financial Industry Regulatory Authority (FINRA) members at that price less a concession not in excess of $0.25 per share. After the public offering, the public offering price, concession and discount may be changed. No such change shall change the amount of proceeds to be received by us as set forth on the cover page of this prospectus supplement.</w:t>
      </w:r>
    </w:p>
    <w:p>
      <w:pPr>
        <w:spacing w:after="0" w:line="17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900,000 shares.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Without Option</w:t>
            </w:r>
          </w:p>
        </w:tc>
        <w:tc>
          <w:tcPr>
            <w:tcW w:w="560" w:type="dxa"/>
            <w:vAlign w:val="bottom"/>
          </w:tcPr>
          <w:p>
            <w:pPr>
              <w:spacing w:after="0"/>
              <w:rPr>
                <w:sz w:val="14"/>
                <w:szCs w:val="1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14.1500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84,900,000</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97,635,000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(sales load) </w:t>
            </w:r>
            <w:r>
              <w:rPr>
                <w:rFonts w:ascii="Arial" w:cs="Arial" w:eastAsia="Arial" w:hAnsi="Arial"/>
                <w:sz w:val="15"/>
                <w:szCs w:val="15"/>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0.0933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559,800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643,770</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Proceeds to PennantPark Floating Rate Capital Ltd. (before offering expenses of</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$425,000)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14.0567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84,340,200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96,991,230</w:t>
            </w:r>
          </w:p>
        </w:tc>
        <w:tc>
          <w:tcPr>
            <w:tcW w:w="6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6080" w:type="dxa"/>
            <w:vAlign w:val="bottom"/>
          </w:tcPr>
          <w:p>
            <w:pPr>
              <w:ind w:left="4880"/>
              <w:spacing w:after="0"/>
              <w:rPr>
                <w:sz w:val="20"/>
                <w:szCs w:val="20"/>
                <w:color w:val="auto"/>
              </w:rPr>
            </w:pPr>
            <w:r>
              <w:rPr>
                <w:rFonts w:ascii="Arial" w:cs="Arial" w:eastAsia="Arial" w:hAnsi="Arial"/>
                <w:sz w:val="18"/>
                <w:szCs w:val="18"/>
                <w:color w:val="auto"/>
              </w:rPr>
              <w:t>S-33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40" w:hanging="436"/>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PennantPark Investment Advisers has agreed to pay approximately $2.0 million, or $0.33 per share (or approximately $2.3 million, or $0.33 per share if the option to purchase additional shares is fully exercised), of the underwriting discounts and/or commissions in connection with this offering, which amount is not reflected in the above table. All other expenses of the offering, including the sales load not paid by our Investment Adviser, will be borne by us.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granted an option to the underwriters to purchase up to 900,000 additional shares at the public offering price less the underwriting discount. The underwriters may exercise this option for 30 days from the date of this prospectus supplement. If the underwriters exercise this option, each will be obligated, subject to conditions contained in the underwriting agreement, to purchase the additional shares approximately proportionate to that underwriter’s initial purchase commitment.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agreed, with exceptions, not to sell or transfer any shares for 90 days after the date of this prospectus supplement without first obtaining the written consent of Morgan Stanley &amp; Co. LLC.</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Our executive officers and directors, PennantPark Investment Advisers, and Pennant Park Investment Administration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71"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130" w:lineRule="exact"/>
        <w:rPr>
          <w:rFonts w:ascii="Arial" w:cs="Arial" w:eastAsia="Arial" w:hAnsi="Arial"/>
          <w:sz w:val="18"/>
          <w:szCs w:val="18"/>
          <w:color w:val="auto"/>
        </w:rPr>
      </w:pPr>
    </w:p>
    <w:p>
      <w:pPr>
        <w:ind w:left="1060" w:right="200" w:hanging="424"/>
        <w:spacing w:after="0" w:line="342"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common stock or other securities, in cash or otherwise.</w:t>
      </w:r>
    </w:p>
    <w:p>
      <w:pPr>
        <w:spacing w:after="0" w:line="124"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080"/>
          </w:cols>
          <w:pgMar w:left="240" w:top="459" w:right="5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as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6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magnitude of any effect that the transactions described above may have on the price of the common stock. In addition, neither we nor any of the underwriters make any representation that the underwriters will engage in these transactions or that these transactions, once commenced, will not be discontinued without notice.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will be entitled to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8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us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Any such information is obtained by the underwriters and their affiliates in the ordinary course of its business and not in connection with the offering of the common stock. In addition, after the offering period for the sale of our shares,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principal business addresses of the underwriters are: Morgan Stanley &amp; Co. LLC, 180 Varick Street, 2</w:t>
      </w:r>
      <w:r>
        <w:rPr>
          <w:rFonts w:ascii="Arial" w:cs="Arial" w:eastAsia="Arial" w:hAnsi="Arial"/>
          <w:sz w:val="15"/>
          <w:szCs w:val="15"/>
          <w:color w:val="auto"/>
        </w:rPr>
        <w:t>nd</w:t>
      </w:r>
      <w:r>
        <w:rPr>
          <w:rFonts w:ascii="Arial" w:cs="Arial" w:eastAsia="Arial" w:hAnsi="Arial"/>
          <w:sz w:val="18"/>
          <w:szCs w:val="18"/>
          <w:color w:val="auto"/>
        </w:rPr>
        <w:t xml:space="preserve"> Floor, New York, NY 10014; Goldman Sachs &amp; Co. LLC, 200 West Street, New York, NY 10282; J.P. Morgan Securities LLC, 383 Madison Avenue, New York, NY 10179; Keefe, Bruyette &amp; Woods, Inc., 787 Seventh Avenue, New York, NY 10019; RBC Capital Markets, LLC, 200 Vesey Street, New York, NY 10281; and SunTrust Robinson Humphrey, Inc., 3333 Peachtree Road, NE, Atlanta, GA 30326.</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060" w:right="220" w:hanging="424"/>
        <w:spacing w:after="0" w:line="308"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60" w:right="44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7" w:lineRule="exact"/>
        <w:rPr>
          <w:sz w:val="20"/>
          <w:szCs w:val="20"/>
          <w:color w:val="auto"/>
        </w:rPr>
      </w:pPr>
    </w:p>
    <w:p>
      <w:pPr>
        <w:ind w:left="1060" w:right="140" w:hanging="424"/>
        <w:spacing w:after="0" w:line="277"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540" w:hanging="4904"/>
        <w:spacing w:after="0" w:line="449" w:lineRule="auto"/>
        <w:tabs>
          <w:tab w:leader="none" w:pos="10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Freshfields Bruckhaus Deringer US LLP.</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0980"/>
          </w:cols>
          <w:pgMar w:left="240" w:top="459" w:right="6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962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7160" w:type="dxa"/>
            <w:vAlign w:val="bottom"/>
            <w:gridSpan w:val="8"/>
          </w:tcPr>
          <w:p>
            <w:pPr>
              <w:jc w:val="center"/>
              <w:ind w:right="640"/>
              <w:spacing w:after="0"/>
              <w:rPr>
                <w:sz w:val="20"/>
                <w:szCs w:val="20"/>
                <w:color w:val="auto"/>
              </w:rPr>
            </w:pPr>
            <w:r>
              <w:rPr>
                <w:rFonts w:ascii="Arial" w:cs="Arial" w:eastAsia="Arial" w:hAnsi="Arial"/>
                <w:sz w:val="18"/>
                <w:szCs w:val="18"/>
                <w:b w:val="1"/>
                <w:bCs w:val="1"/>
                <w:color w:val="auto"/>
              </w:rPr>
              <w:t>INDEX TO FINANCIAL STATEMENTS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0" w:type="dxa"/>
            <w:vAlign w:val="bottom"/>
          </w:tcPr>
          <w:p>
            <w:pPr>
              <w:spacing w:after="0"/>
              <w:rPr>
                <w:sz w:val="24"/>
                <w:szCs w:val="24"/>
                <w:color w:val="auto"/>
              </w:rPr>
            </w:pP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Interim Financial Statements</w:t>
            </w:r>
          </w:p>
        </w:tc>
        <w:tc>
          <w:tcPr>
            <w:tcW w:w="7160" w:type="dxa"/>
            <w:vAlign w:val="bottom"/>
            <w:gridSpan w:val="8"/>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0" w:type="dxa"/>
            <w:vAlign w:val="bottom"/>
          </w:tcPr>
          <w:p>
            <w:pPr>
              <w:spacing w:after="0"/>
              <w:rPr>
                <w:sz w:val="24"/>
                <w:szCs w:val="24"/>
                <w:color w:val="auto"/>
              </w:rPr>
            </w:pPr>
          </w:p>
        </w:tc>
        <w:tc>
          <w:tcPr>
            <w:tcW w:w="9420" w:type="dxa"/>
            <w:vAlign w:val="bottom"/>
            <w:gridSpan w:val="1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1560" w:type="dxa"/>
            <w:vAlign w:val="bottom"/>
          </w:tcPr>
          <w:p>
            <w:pPr>
              <w:ind w:left="1220"/>
              <w:spacing w:after="0"/>
              <w:rPr>
                <w:sz w:val="20"/>
                <w:szCs w:val="20"/>
                <w:color w:val="auto"/>
              </w:rPr>
            </w:pPr>
            <w:r>
              <w:rPr>
                <w:rFonts w:ascii="Arial" w:cs="Arial" w:eastAsia="Arial" w:hAnsi="Arial"/>
                <w:sz w:val="18"/>
                <w:szCs w:val="18"/>
                <w:b w:val="1"/>
                <w:bCs w:val="1"/>
                <w:color w:val="auto"/>
                <w:w w:val="84"/>
              </w:rPr>
              <w:t>S-40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vMerge w:val="restart"/>
          </w:tcPr>
          <w:p>
            <w:pPr>
              <w:ind w:left="1220"/>
              <w:spacing w:after="0"/>
              <w:rPr>
                <w:sz w:val="20"/>
                <w:szCs w:val="20"/>
                <w:color w:val="auto"/>
              </w:rPr>
            </w:pPr>
            <w:r>
              <w:rPr>
                <w:rFonts w:ascii="Arial" w:cs="Arial" w:eastAsia="Arial" w:hAnsi="Arial"/>
                <w:sz w:val="18"/>
                <w:szCs w:val="18"/>
                <w:b w:val="1"/>
                <w:bCs w:val="1"/>
                <w:color w:val="auto"/>
                <w:w w:val="84"/>
              </w:rPr>
              <w:t>S-41</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7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Consolidated Statements of Assets and Liabilities as of June 30, 2017 (unaudited) and September 30, 2016</w:t>
              </w:r>
            </w:hyperlink>
          </w:p>
        </w:tc>
        <w:tc>
          <w:tcPr>
            <w:tcW w:w="1680" w:type="dxa"/>
            <w:vAlign w:val="bottom"/>
            <w:gridSpan w:val="3"/>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420" w:type="dxa"/>
            <w:vAlign w:val="bottom"/>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Consolidated Statements of Operations for the three and nine months ended June 30, 2017 and 2016 (unaudited)</w:t>
              </w:r>
            </w:hyperlink>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vMerge w:val="restart"/>
          </w:tcPr>
          <w:p>
            <w:pPr>
              <w:ind w:left="1220"/>
              <w:spacing w:after="0"/>
              <w:rPr>
                <w:sz w:val="20"/>
                <w:szCs w:val="20"/>
                <w:color w:val="auto"/>
              </w:rPr>
            </w:pPr>
            <w:r>
              <w:rPr>
                <w:rFonts w:ascii="Arial" w:cs="Arial" w:eastAsia="Arial" w:hAnsi="Arial"/>
                <w:sz w:val="18"/>
                <w:szCs w:val="18"/>
                <w:b w:val="1"/>
                <w:bCs w:val="1"/>
                <w:color w:val="auto"/>
                <w:w w:val="84"/>
              </w:rPr>
              <w:t>S-43</w:t>
            </w:r>
          </w:p>
        </w:tc>
        <w:tc>
          <w:tcPr>
            <w:tcW w:w="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2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Changes in Net Assets for the nine months ended June 30, 2017 and 2016 (unaudited)</w:t>
              </w:r>
            </w:hyperlink>
          </w:p>
        </w:tc>
        <w:tc>
          <w:tcPr>
            <w:tcW w:w="12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4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 for the nine months ended June 30, 2017 and 2016 (unaudited)</w:t>
              </w:r>
            </w:hyperlink>
          </w:p>
        </w:tc>
        <w:tc>
          <w:tcPr>
            <w:tcW w:w="1940" w:type="dxa"/>
            <w:vAlign w:val="bottom"/>
            <w:gridSpan w:val="4"/>
          </w:tcPr>
          <w:p>
            <w:pPr>
              <w:spacing w:after="0"/>
              <w:rPr>
                <w:sz w:val="17"/>
                <w:szCs w:val="17"/>
                <w:color w:val="auto"/>
              </w:rPr>
            </w:pPr>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S-44</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70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Schedules of Investments as of June 30, 2017 (unaudited) and September 30, 2016</w:t>
              </w:r>
            </w:hyperlink>
          </w:p>
        </w:tc>
        <w:tc>
          <w:tcPr>
            <w:tcW w:w="2420" w:type="dxa"/>
            <w:vAlign w:val="bottom"/>
            <w:gridSpan w:val="5"/>
          </w:tcPr>
          <w:p>
            <w:pPr>
              <w:spacing w:after="0"/>
              <w:rPr>
                <w:sz w:val="17"/>
                <w:szCs w:val="17"/>
                <w:color w:val="auto"/>
              </w:rPr>
            </w:pPr>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S-45</w:t>
            </w: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9420" w:type="dxa"/>
            <w:vAlign w:val="bottom"/>
            <w:gridSpan w:val="1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Notes to the Consolidated Financial Statements (unaudited)</w:t>
              </w:r>
            </w:hyperlink>
          </w:p>
        </w:tc>
        <w:tc>
          <w:tcPr>
            <w:tcW w:w="1560" w:type="dxa"/>
            <w:vAlign w:val="bottom"/>
          </w:tcPr>
          <w:p>
            <w:pPr>
              <w:ind w:left="1220"/>
              <w:spacing w:after="0" w:line="196" w:lineRule="exact"/>
              <w:rPr>
                <w:sz w:val="20"/>
                <w:szCs w:val="20"/>
                <w:color w:val="auto"/>
              </w:rPr>
            </w:pPr>
            <w:r>
              <w:rPr>
                <w:rFonts w:ascii="Arial" w:cs="Arial" w:eastAsia="Arial" w:hAnsi="Arial"/>
                <w:sz w:val="18"/>
                <w:szCs w:val="18"/>
                <w:b w:val="1"/>
                <w:bCs w:val="1"/>
                <w:color w:val="auto"/>
                <w:w w:val="84"/>
              </w:rPr>
              <w:t>S-53</w:t>
            </w:r>
          </w:p>
        </w:tc>
        <w:tc>
          <w:tcPr>
            <w:tcW w:w="0" w:type="dxa"/>
            <w:vAlign w:val="bottom"/>
          </w:tcPr>
          <w:p>
            <w:pPr>
              <w:spacing w:after="0"/>
              <w:rPr>
                <w:sz w:val="1"/>
                <w:szCs w:val="1"/>
                <w:color w:val="auto"/>
              </w:rPr>
            </w:pPr>
          </w:p>
        </w:tc>
      </w:tr>
      <w:tr>
        <w:trPr>
          <w:trHeight w:val="385"/>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120" w:type="dxa"/>
            <w:vAlign w:val="bottom"/>
            <w:gridSpan w:val="6"/>
          </w:tcPr>
          <w:p>
            <w:pPr>
              <w:jc w:val="center"/>
              <w:ind w:right="2700"/>
              <w:spacing w:after="0"/>
              <w:rPr>
                <w:sz w:val="20"/>
                <w:szCs w:val="20"/>
                <w:color w:val="auto"/>
              </w:rPr>
            </w:pPr>
            <w:r>
              <w:rPr>
                <w:rFonts w:ascii="Arial" w:cs="Arial" w:eastAsia="Arial" w:hAnsi="Arial"/>
                <w:sz w:val="18"/>
                <w:szCs w:val="18"/>
                <w:color w:val="auto"/>
                <w:w w:val="89"/>
              </w:rPr>
              <w:t>S-39</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Floating Rate Capital Ltd. and its Subsidiaries (collectively referred to as the “Company”), including the consolidated schedule of investments as of June 30, 2017, the related consolidated statements of operations for the three and nine months ended June 30, 2017 and 2016, and the related consolidated statements of changes in net assets and cash flows for the nine month periods ended June 30, 2017 and 2016. These consolidated financial statements are the responsibility of the Company’s management.</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170"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22, 2016, we expressed an unqualified opinion on those consolidated financial statements. In our opinion, the information set forth in the accompanying consolidated statements of assets and liabilities as of September 30, 2016, is fairly stated, in all material respects, in relation to the consolidated statement of assets and liabilities from which it has been derived.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8, 2017</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June 30, 2017</w:t>
            </w:r>
          </w:p>
        </w:tc>
        <w:tc>
          <w:tcPr>
            <w:tcW w:w="260" w:type="dxa"/>
            <w:vAlign w:val="bottom"/>
          </w:tcPr>
          <w:p>
            <w:pPr>
              <w:spacing w:after="0"/>
              <w:rPr>
                <w:sz w:val="14"/>
                <w:szCs w:val="14"/>
                <w:color w:val="auto"/>
              </w:rPr>
            </w:pPr>
          </w:p>
        </w:tc>
        <w:tc>
          <w:tcPr>
            <w:tcW w:w="13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(unaudited)</w:t>
            </w:r>
          </w:p>
        </w:tc>
        <w:tc>
          <w:tcPr>
            <w:tcW w:w="2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(cost—$661,580,331 and $597,910,267, respectively)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662,907,256</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598,887,525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Controlled, affiliated investments (cost—$36,000,000 and $0, respectively)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36,022,425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of investments (cost—$697,580,331 and $597,910,267, respectively)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698,929,681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598,887,525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(cost—$48,866,893 and $28,903,359, respectively)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48,951,746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28,910,973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24,940,277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1,262,233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1,141,191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777,253,754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631,420,095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Distributions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3,085,607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2,539,357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18,421,879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14,935,970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Credit Facility payable (cost—$291,209,500 and $232,907,500, respectively) (See Notes 5 and 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293,663,760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232,389,498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Base management fee payable (See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1,790,695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1,458,625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3,454,914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other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91,202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320,942,036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255,513,267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Commitments and contingencies (See Note 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5"/>
              </w:rPr>
              <w:t>Common stock, 32,480,074 and 26,730,074 shares issued and outstanding, respectively Par value $0.001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per share and 100,000,000 shares authorized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451,705,066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371,194,366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2,009,837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4,559,646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gain (loss) on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3,584,392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1,434,203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984,872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(2,454,260)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456,311,718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375,906,828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777,253,754</w:t>
            </w: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631,420,095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OPERATIONS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51"/>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14,695,276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10,555,165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39,564,205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28,794,610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451,597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226,431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1,434,834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2,005,698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21,429</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15,190,835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10,803,025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41,043,001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30,905,810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5,117,839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3,556,451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1,444,896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497,716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3,367,931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1,336,660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the Credit Facility (See Note 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6,197,592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561,250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1,683,750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701,555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1,322,499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1,985,568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6,802,860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3,973,154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17,689,611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10,817,542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Credit Facility amendment costs (See Notes 5 and 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7,005,596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3,973,154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18,007,347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11,725,264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8,185,239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6,829,871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23,035,654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19,180,546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2,451,169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189,623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4,961,180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(1,974,097)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625,872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6,082,410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426,906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Credit Facility (appreciation) depreciation (See Note 5 and 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(1,942,856)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317,438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(2,972,262)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532,521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3"/>
              </w:rPr>
              <w:t>Net change in unrealized (depreciation) appreciation on investments and</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(1,294,559)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6,399,848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(2,522,931)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395,948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w w:val="96"/>
              </w:rPr>
              <w:t>Net realized and unrealized gain (loss) from investments and Credit Facility</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1,156,610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6,589,471</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2,438,249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(1,578,149)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9,341,849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13,419,342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25,473,903</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17,602,397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w w:val="91"/>
              </w:rPr>
              <w:t>Net increase in net assets resulting from operations per common share (See Note 6)</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CHANGES IN NET ASSETS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23,035,654</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19,180,546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(loss) on investments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449,331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(2,972,262)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25,473,903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17,602,397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(25,585,463)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(22,854,213)</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 (See Note 1)</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80,986,450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(470,000)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80,516,450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net assets</w:t>
            </w: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80,404,890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(5,251,816)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Beginning of period</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375,906,828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372,890,449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456,311,718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367,638,633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end of period</w:t>
            </w: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3,317,806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Shares issued from public offering</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5,750,000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STATEMENTS OF CASH FLOWS (Unaudited)</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25,473,903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17,602,397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used in operating</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(449,331)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2,972,262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Net realized (gain) loss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(4,961,180)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1,974,097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(1,375,901)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(407,800,909)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(257,653,704)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314,807,488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97,092,286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(689,411)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(1,242,098)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Increase in receivable for investments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(24,940,277)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(121,042)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Increase in payable for investments purchased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3,485,909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interest payable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Increase in base management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332,070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performance-based incentive fee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(417,973)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Decrease in accrued 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(111,775)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(485,995)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(93,865,937)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(143,210,805)</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Public offering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80,986,450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Offering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(470,000)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(25,039,213)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(22,854,213)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Borrowings under Credit Facility (See Notes 5 and 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259,802,000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196,807,500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under Credit Facility (See Notes 5 and 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(201,500,000)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(35,500,000)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113,779,237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138,453,287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19,913,300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(4,757,518)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119,406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28,910,973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21,428,514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 w:type="dxa"/>
            <w:vAlign w:val="bottom"/>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48,951,746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16,790,402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Interest paid</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5,990,302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3,114,597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256,575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340"/>
              <w:spacing w:after="0"/>
              <w:rPr>
                <w:sz w:val="20"/>
                <w:szCs w:val="20"/>
                <w:color w:val="auto"/>
              </w:rPr>
            </w:pPr>
            <w:r>
              <w:rPr>
                <w:rFonts w:ascii="Arial" w:cs="Arial" w:eastAsia="Arial" w:hAnsi="Arial"/>
                <w:sz w:val="18"/>
                <w:szCs w:val="18"/>
                <w:color w:val="auto"/>
              </w:rPr>
              <w:t>Non-cash exchanges and conversions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35,659,395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4,547,934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97"/>
              </w:rPr>
              <w:t>Current</w:t>
            </w:r>
          </w:p>
        </w:tc>
        <w:tc>
          <w:tcPr>
            <w:tcW w:w="8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140" w:type="dxa"/>
            <w:vAlign w:val="bottom"/>
          </w:tcPr>
          <w:p>
            <w:pPr>
              <w:spacing w:after="0"/>
              <w:rPr>
                <w:sz w:val="11"/>
                <w:szCs w:val="11"/>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80" w:type="dxa"/>
            <w:vAlign w:val="bottom"/>
            <w:gridSpan w:val="2"/>
            <w:vMerge w:val="continue"/>
          </w:tcPr>
          <w:p>
            <w:pPr>
              <w:spacing w:after="0"/>
              <w:rPr>
                <w:sz w:val="13"/>
                <w:szCs w:val="13"/>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rPr>
              <w:t>Maturity</w:t>
            </w:r>
          </w:p>
        </w:tc>
        <w:tc>
          <w:tcPr>
            <w:tcW w:w="2240" w:type="dxa"/>
            <w:vAlign w:val="bottom"/>
            <w:gridSpan w:val="2"/>
          </w:tcPr>
          <w:p>
            <w:pPr>
              <w:ind w:left="780"/>
              <w:spacing w:after="0"/>
              <w:rPr>
                <w:sz w:val="20"/>
                <w:szCs w:val="20"/>
                <w:color w:val="auto"/>
              </w:rPr>
            </w:pPr>
            <w:r>
              <w:rPr>
                <w:rFonts w:ascii="Arial" w:cs="Arial" w:eastAsia="Arial" w:hAnsi="Arial"/>
                <w:sz w:val="13"/>
                <w:szCs w:val="13"/>
                <w:b w:val="1"/>
                <w:bCs w:val="1"/>
                <w:color w:val="auto"/>
              </w:rPr>
              <w:t>Industry</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3"/>
              </w:rPr>
              <w:t>Coupon</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4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900" w:type="dxa"/>
            <w:vAlign w:val="bottom"/>
            <w:gridSpan w:val="3"/>
          </w:tcPr>
          <w:p>
            <w:pPr>
              <w:ind w:left="12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4"/>
              </w:rPr>
              <w:t xml:space="preserve">Investments in Non-Controlled, Non-Affiliated Portfolio Companies—145.3% </w:t>
            </w:r>
            <w:r>
              <w:rPr>
                <w:rFonts w:ascii="Arial" w:cs="Arial" w:eastAsia="Arial" w:hAnsi="Arial"/>
                <w:sz w:val="10"/>
                <w:szCs w:val="10"/>
                <w:b w:val="1"/>
                <w:bCs w:val="1"/>
                <w:color w:val="auto"/>
                <w:w w:val="94"/>
              </w:rPr>
              <w:t>(3), (4)</w:t>
            </w:r>
          </w:p>
        </w:tc>
        <w:tc>
          <w:tcPr>
            <w:tcW w:w="20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Debt—134.4%</w:t>
            </w: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L+575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14,406,250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$14,197,102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14,406,250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(8), (9)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08/09/2021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Alera Group Holdings, Inc.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12/30/2022</w:t>
            </w:r>
          </w:p>
        </w:tc>
        <w:tc>
          <w:tcPr>
            <w:tcW w:w="22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6.56%</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L+550</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9,024,755</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8,943,194</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9,024,755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(8)</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12/30/2021</w:t>
            </w:r>
          </w:p>
        </w:tc>
        <w:tc>
          <w:tcPr>
            <w:tcW w:w="22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6.58%</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L+550</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287,190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287,190</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287,190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Alera Group Holdings, Inc. (Revolver)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12/30/2021</w:t>
            </w:r>
          </w:p>
        </w:tc>
        <w:tc>
          <w:tcPr>
            <w:tcW w:w="224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1,484,772</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ind w:left="52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 xml:space="preserve">Alera Group Holdings, Inc. </w:t>
            </w:r>
            <w:r>
              <w:rPr>
                <w:rFonts w:ascii="Arial" w:cs="Arial" w:eastAsia="Arial" w:hAnsi="Arial"/>
                <w:sz w:val="10"/>
                <w:szCs w:val="10"/>
                <w:color w:val="auto"/>
              </w:rPr>
              <w:t>(8), (9)</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12/30/2022</w:t>
            </w:r>
          </w:p>
        </w:tc>
        <w:tc>
          <w:tcPr>
            <w:tcW w:w="22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760" w:type="dxa"/>
            <w:vAlign w:val="bottom"/>
            <w:gridSpan w:val="2"/>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3,159,000</w:t>
            </w:r>
          </w:p>
        </w:tc>
        <w:tc>
          <w:tcPr>
            <w:tcW w:w="14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60" w:type="dxa"/>
            <w:vAlign w:val="bottom"/>
            <w:gridSpan w:val="2"/>
          </w:tcPr>
          <w:p>
            <w:pPr>
              <w:ind w:left="52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3"/>
                <w:szCs w:val="13"/>
                <w:color w:val="auto"/>
                <w:w w:val="81"/>
              </w:rPr>
              <w:t>Estate</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Auto Auction Group,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11/30/2021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Transportation: Consumer</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6.31%</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10,972,500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10,825,676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10,807,912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(8)</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12/31/2021</w:t>
            </w:r>
          </w:p>
        </w:tc>
        <w:tc>
          <w:tcPr>
            <w:tcW w:w="224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Metals and Mining</w:t>
            </w:r>
          </w:p>
        </w:tc>
        <w:tc>
          <w:tcPr>
            <w:tcW w:w="7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15.00%</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131,472</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127,767</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138,046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(PIK 5.00%)</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Scaffold</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03/31/2022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7.80%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4,812,500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4,750,646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4,764,375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American Teleconferencing Services, Ltd.</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12/08/2021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7.72%</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L+650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6,727,462</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6,538,725</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6,689,654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09/19/2023</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8.25%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P+400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14,887,500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14,752,431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14,906,109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Anesthesia Consulting &amp; Management, LP</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3,980,000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3,943,523</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3,940,200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Anesthesia Consulting &amp; Management, LP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10/31/2022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API Technologies Corp.</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04/22/2022</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7.80%</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L+650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4,912,594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4,830,790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4,838,906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BEI Precision Systems &amp; Space Company,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04/28/2023</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8.75%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P+450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11,880,199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11,880,000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2,254,494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2,220,630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2,260,130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06/03/2021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13.55%</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L+1,225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2,336,329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2,299,729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2,342,170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By Light Professional IT Services,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05/16/2022</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8.43%</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L+725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15,697,300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15,312,666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15,540,326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By Light Professional IT Services, LLC (Revolver)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05/16/2022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2,311,784</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06/30/2021</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Transportation: Cargo</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L+475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2,432,577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2,352,000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Canyon Valor Companies, Inc.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06/16/2023</w:t>
            </w:r>
          </w:p>
        </w:tc>
        <w:tc>
          <w:tcPr>
            <w:tcW w:w="22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7"/>
              </w:rPr>
              <w:t>Media: Broadcasting and</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7.23%</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L+600</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7,425,005</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7,163,802</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7,459,828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Subscription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Cardenas Markets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11/29/2023</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5"/>
              </w:rPr>
              <w:t>Beverage, Food and Tobacco</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11,442,500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11,381,737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11,399,591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07/21/2023</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7.30%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12,406,250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12,116,179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12,406,250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12/24/2019</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9.29%</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3,948,750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3,919,170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3,356,438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01/08/2019</w:t>
            </w:r>
          </w:p>
        </w:tc>
        <w:tc>
          <w:tcPr>
            <w:tcW w:w="22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7.50%</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L+625</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4,614,286</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4,595,942</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4,498,929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Clarus Glassboards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03/16/2023</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6.48%</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L+525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5,735,000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5,679,513</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5,706,325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Industries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10.80%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L+975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6,024,894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5,936,004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5,949,583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 (9)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11/25/2020</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518,033</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Country Fresh Holdings,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03/31/2023</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5"/>
              </w:rPr>
              <w:t>Beverage, Food and Tobacco</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6.73%</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15,128,500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14,922,941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14,981,879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08/02/2021</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6.48%</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L+525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9,925,050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9,837,782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9,925,050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DCS Business Services, Inc.</w:t>
            </w:r>
          </w:p>
        </w:tc>
        <w:tc>
          <w:tcPr>
            <w:tcW w:w="80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06/19/2018</w:t>
            </w:r>
          </w:p>
        </w:tc>
        <w:tc>
          <w:tcPr>
            <w:tcW w:w="2240" w:type="dxa"/>
            <w:vAlign w:val="bottom"/>
            <w:gridSpan w:val="2"/>
            <w:shd w:val="clear" w:color="auto" w:fill="CCEEFF"/>
          </w:tcPr>
          <w:p>
            <w:pPr>
              <w:jc w:val="center"/>
              <w:ind w:right="140"/>
              <w:spacing w:after="0" w:line="121"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11.75%</w:t>
            </w:r>
          </w:p>
        </w:tc>
        <w:tc>
          <w:tcPr>
            <w:tcW w:w="6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L+1,025</w:t>
            </w:r>
          </w:p>
        </w:tc>
        <w:tc>
          <w:tcPr>
            <w:tcW w:w="7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1,666,810</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1,659,754</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1,550,133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4"/>
              </w:rPr>
              <w:t>(PIK 3.00%)</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60" w:type="dxa"/>
            <w:vAlign w:val="bottom"/>
          </w:tcPr>
          <w:p>
            <w:pPr>
              <w:spacing w:after="0" w:line="121" w:lineRule="exact"/>
              <w:rPr>
                <w:sz w:val="20"/>
                <w:szCs w:val="20"/>
                <w:color w:val="auto"/>
              </w:rPr>
            </w:pPr>
            <w:r>
              <w:rPr>
                <w:rFonts w:ascii="Arial" w:cs="Arial" w:eastAsia="Arial" w:hAnsi="Arial"/>
                <w:sz w:val="13"/>
                <w:szCs w:val="13"/>
                <w:color w:val="auto"/>
              </w:rPr>
              <w:t>Digital Room LLC</w:t>
            </w:r>
          </w:p>
        </w:tc>
        <w:tc>
          <w:tcPr>
            <w:tcW w:w="80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11/21/2022</w:t>
            </w:r>
          </w:p>
        </w:tc>
        <w:tc>
          <w:tcPr>
            <w:tcW w:w="2240" w:type="dxa"/>
            <w:vAlign w:val="bottom"/>
            <w:gridSpan w:val="2"/>
          </w:tcPr>
          <w:p>
            <w:pPr>
              <w:jc w:val="center"/>
              <w:ind w:right="140"/>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7.23%</w:t>
            </w:r>
          </w:p>
        </w:tc>
        <w:tc>
          <w:tcPr>
            <w:tcW w:w="6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L+600</w:t>
            </w:r>
          </w:p>
        </w:tc>
        <w:tc>
          <w:tcPr>
            <w:tcW w:w="7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6,825,000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6,699,323</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6,756,750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40" w:type="dxa"/>
            <w:vAlign w:val="bottom"/>
            <w:gridSpan w:val="2"/>
          </w:tcPr>
          <w:p>
            <w:pPr>
              <w:jc w:val="center"/>
              <w:ind w:right="14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12/09/2020</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5.40%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L+450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4,744,586</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4,715,661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4,720,863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06/30/2020</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L+475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4,373,643</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4,352,789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4,373,643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5.88%</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L+475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7,849,271</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7,821,185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7,849,271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(9)</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09/10/2020</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East Valley Tourist Development Authority</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03/07/2022</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9"/>
              </w:rPr>
              <w:t>Hotel, Gaming and Leisure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9.30%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16,957,500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16,728,634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16,787,925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8.30%</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L+700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7,657,615</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7,625,631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7,619,327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(8), (9)</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05/06/2021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1,304,348</w:t>
            </w: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Efficient Collaborative Retail Marketing Company, LLC</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06/15/2022</w:t>
            </w:r>
          </w:p>
        </w:tc>
        <w:tc>
          <w:tcPr>
            <w:tcW w:w="22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Media: Diversified and Production</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8.05%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L+675</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10,548,335</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10,457,509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10,548,335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06/09/2023</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L+800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12,251,111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08/05/2019</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Aerospace and Defense</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7.16%</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5,862,500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5,841,452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5,386,172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(10)</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11/04/2020</w:t>
            </w:r>
          </w:p>
        </w:tc>
        <w:tc>
          <w:tcPr>
            <w:tcW w:w="22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7.42%</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L+625</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5,936,032</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5,863,862</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5,757,950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(10)</w:t>
            </w:r>
          </w:p>
        </w:tc>
        <w:tc>
          <w:tcPr>
            <w:tcW w:w="8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05/01/2019</w:t>
            </w:r>
          </w:p>
        </w:tc>
        <w:tc>
          <w:tcPr>
            <w:tcW w:w="224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7.25%</w:t>
            </w:r>
          </w:p>
        </w:tc>
        <w:tc>
          <w:tcPr>
            <w:tcW w:w="6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L+600</w:t>
            </w: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7,387,547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7,345,801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7,313,672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IGM RFE1 B.V. </w:t>
            </w:r>
            <w:r>
              <w:rPr>
                <w:rFonts w:ascii="Arial" w:cs="Arial" w:eastAsia="Arial" w:hAnsi="Arial"/>
                <w:sz w:val="10"/>
                <w:szCs w:val="10"/>
                <w:color w:val="auto"/>
              </w:rPr>
              <w:t>(6), (10), (11)</w:t>
            </w:r>
          </w:p>
        </w:tc>
        <w:tc>
          <w:tcPr>
            <w:tcW w:w="80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10/12/2021</w:t>
            </w:r>
          </w:p>
        </w:tc>
        <w:tc>
          <w:tcPr>
            <w:tcW w:w="22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8.00%</w:t>
            </w: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E+800</w:t>
            </w: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€12,204,689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12,685,554</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13,920,058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right"/>
              <w:ind w:right="242"/>
              <w:spacing w:after="0" w:line="135" w:lineRule="exact"/>
              <w:rPr>
                <w:sz w:val="20"/>
                <w:szCs w:val="20"/>
                <w:color w:val="auto"/>
              </w:rPr>
            </w:pPr>
            <w:r>
              <w:rPr>
                <w:rFonts w:ascii="Arial" w:cs="Arial" w:eastAsia="Arial" w:hAnsi="Arial"/>
                <w:sz w:val="13"/>
                <w:szCs w:val="13"/>
                <w:b w:val="1"/>
                <w:bCs w:val="1"/>
                <w:color w:val="auto"/>
              </w:rPr>
              <w:t>Current</w:t>
            </w:r>
          </w:p>
        </w:tc>
        <w:tc>
          <w:tcPr>
            <w:tcW w:w="86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Par /</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Industry</w:t>
            </w:r>
          </w:p>
        </w:tc>
        <w:tc>
          <w:tcPr>
            <w:tcW w:w="800" w:type="dxa"/>
            <w:vAlign w:val="bottom"/>
            <w:gridSpan w:val="2"/>
          </w:tcPr>
          <w:p>
            <w:pPr>
              <w:jc w:val="right"/>
              <w:ind w:right="262"/>
              <w:spacing w:after="0"/>
              <w:rPr>
                <w:sz w:val="20"/>
                <w:szCs w:val="20"/>
                <w:color w:val="auto"/>
              </w:rPr>
            </w:pPr>
            <w:r>
              <w:rPr>
                <w:rFonts w:ascii="Arial" w:cs="Arial" w:eastAsia="Arial" w:hAnsi="Arial"/>
                <w:sz w:val="13"/>
                <w:szCs w:val="13"/>
                <w:b w:val="1"/>
                <w:bCs w:val="1"/>
                <w:color w:val="auto"/>
                <w:w w:val="93"/>
              </w:rPr>
              <w:t>Coupon</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0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10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Impact Sales, LLC</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6"/>
              </w:rPr>
              <w:t>12/30/2021</w:t>
            </w:r>
          </w:p>
        </w:tc>
        <w:tc>
          <w:tcPr>
            <w:tcW w:w="18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Wholesale</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8.30</w:t>
            </w:r>
          </w:p>
        </w:tc>
        <w:tc>
          <w:tcPr>
            <w:tcW w:w="260" w:type="dxa"/>
            <w:vAlign w:val="bottom"/>
            <w:tcBorders>
              <w:top w:val="single" w:sz="8" w:color="CCEEFF"/>
            </w:tcBorders>
            <w:shd w:val="clear" w:color="auto" w:fill="CCEEFF"/>
          </w:tcPr>
          <w:p>
            <w:pPr>
              <w:jc w:val="right"/>
              <w:ind w:right="102"/>
              <w:spacing w:after="0" w:line="129"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L+700</w:t>
            </w:r>
          </w:p>
        </w:tc>
        <w:tc>
          <w:tcPr>
            <w:tcW w:w="2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8,715,605</w:t>
            </w: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$ 8,715,605</w:t>
            </w:r>
          </w:p>
        </w:tc>
        <w:tc>
          <w:tcPr>
            <w:tcW w:w="2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8,715,605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Impact Sales, LLC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12/30/2021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3,234,375</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Innova Medical Ophthalmics Inc. </w:t>
            </w:r>
            <w:r>
              <w:rPr>
                <w:rFonts w:ascii="Arial" w:cs="Arial" w:eastAsia="Arial" w:hAnsi="Arial"/>
                <w:sz w:val="10"/>
                <w:szCs w:val="10"/>
                <w:color w:val="auto"/>
              </w:rPr>
              <w:t>(6), (10)</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3,382,120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3,334,543</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3,399,031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Innova Medical Ophthalmics Inc. (Revolver) </w:t>
            </w:r>
            <w:r>
              <w:rPr>
                <w:rFonts w:ascii="Arial" w:cs="Arial" w:eastAsia="Arial" w:hAnsi="Arial"/>
                <w:sz w:val="10"/>
                <w:szCs w:val="10"/>
                <w:color w:val="auto"/>
              </w:rPr>
              <w:t>(6), (8), (9), (10)</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530,973</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A</w:t>
            </w:r>
          </w:p>
        </w:tc>
        <w:tc>
          <w:tcPr>
            <w:tcW w:w="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6"/>
              </w:rPr>
              <w:t>03/28/2019</w:t>
            </w: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Media: Advertising, Printing and</w:t>
            </w:r>
          </w:p>
        </w:tc>
        <w:tc>
          <w:tcPr>
            <w:tcW w:w="800" w:type="dxa"/>
            <w:vAlign w:val="bottom"/>
            <w:gridSpan w:val="2"/>
            <w:shd w:val="clear" w:color="auto" w:fill="CCEEFF"/>
          </w:tcPr>
          <w:p>
            <w:pPr>
              <w:jc w:val="right"/>
              <w:ind w:right="102"/>
              <w:spacing w:after="0" w:line="121" w:lineRule="exact"/>
              <w:rPr>
                <w:sz w:val="20"/>
                <w:szCs w:val="20"/>
                <w:color w:val="auto"/>
              </w:rPr>
            </w:pPr>
            <w:r>
              <w:rPr>
                <w:rFonts w:ascii="Arial" w:cs="Arial" w:eastAsia="Arial" w:hAnsi="Arial"/>
                <w:sz w:val="13"/>
                <w:szCs w:val="13"/>
                <w:color w:val="auto"/>
              </w:rPr>
              <w:t>5.80%</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L+450</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7,600,388</w:t>
            </w:r>
          </w:p>
        </w:tc>
        <w:tc>
          <w:tcPr>
            <w:tcW w:w="8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7,444,676</w:t>
            </w:r>
          </w:p>
        </w:tc>
        <w:tc>
          <w:tcPr>
            <w:tcW w:w="9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7,600,388</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line="121" w:lineRule="exact"/>
              <w:rPr>
                <w:sz w:val="20"/>
                <w:szCs w:val="20"/>
                <w:color w:val="auto"/>
              </w:rPr>
            </w:pPr>
            <w:r>
              <w:rPr>
                <w:rFonts w:ascii="Arial" w:cs="Arial" w:eastAsia="Arial" w:hAnsi="Arial"/>
                <w:sz w:val="13"/>
                <w:szCs w:val="13"/>
                <w:color w:val="auto"/>
              </w:rPr>
              <w:t>Instant Web, LLC, Term Loan B</w:t>
            </w:r>
          </w:p>
        </w:tc>
        <w:tc>
          <w:tcPr>
            <w:tcW w:w="74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6"/>
              </w:rPr>
              <w:t>03/28/2019</w:t>
            </w:r>
          </w:p>
        </w:tc>
        <w:tc>
          <w:tcPr>
            <w:tcW w:w="180" w:type="dxa"/>
            <w:vAlign w:val="bottom"/>
          </w:tcPr>
          <w:p>
            <w:pPr>
              <w:spacing w:after="0"/>
              <w:rPr>
                <w:sz w:val="10"/>
                <w:szCs w:val="10"/>
                <w:color w:val="auto"/>
              </w:rPr>
            </w:pPr>
          </w:p>
        </w:tc>
        <w:tc>
          <w:tcPr>
            <w:tcW w:w="19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1"/>
              </w:rPr>
              <w:t>Media: Advertising, Printing and</w:t>
            </w:r>
          </w:p>
        </w:tc>
        <w:tc>
          <w:tcPr>
            <w:tcW w:w="800" w:type="dxa"/>
            <w:vAlign w:val="bottom"/>
            <w:gridSpan w:val="2"/>
          </w:tcPr>
          <w:p>
            <w:pPr>
              <w:jc w:val="right"/>
              <w:ind w:right="102"/>
              <w:spacing w:after="0" w:line="121" w:lineRule="exact"/>
              <w:rPr>
                <w:sz w:val="20"/>
                <w:szCs w:val="20"/>
                <w:color w:val="auto"/>
              </w:rPr>
            </w:pPr>
            <w:r>
              <w:rPr>
                <w:rFonts w:ascii="Arial" w:cs="Arial" w:eastAsia="Arial" w:hAnsi="Arial"/>
                <w:sz w:val="13"/>
                <w:szCs w:val="13"/>
                <w:color w:val="auto"/>
              </w:rPr>
              <w:t>12.30%</w:t>
            </w: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L+1,100</w:t>
            </w:r>
          </w:p>
        </w:tc>
        <w:tc>
          <w:tcPr>
            <w:tcW w:w="9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4,500,000</w:t>
            </w:r>
          </w:p>
        </w:tc>
        <w:tc>
          <w:tcPr>
            <w:tcW w:w="8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4,471,686</w:t>
            </w:r>
          </w:p>
        </w:tc>
        <w:tc>
          <w:tcPr>
            <w:tcW w:w="9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4,500,000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06/30/2020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9.06%</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L+800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6,559,758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6,516,680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6,559,758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Inventus Power,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04/30/2020</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7.73%</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L+650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4,726,503</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4,699,752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4,679,238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07/30/2020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Consumer Services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8.17%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L+700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4,800,000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4,736,178</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4,560,000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02/19/2021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10.23%</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L+900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4,002,471</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3,934,642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3,957,552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10/31/2022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12,148,038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11,976,629</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12,148,038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10/30/2020</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1,209,677</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03/07/2022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10.80%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L+950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10,200,000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10,029,464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10,187,250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11/30/2018</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6.55%</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4,954,937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4,931,269</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3,947,449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Lombart Brothers, Inc.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8.05%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6,260,513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6,182,470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6,291,817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04/13/2022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1,238,938</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Long’s Drugs Incorporated</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08/19/2021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6.37%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L+525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4,238,073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4,203,102</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4,195,692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05/01/2023</w:t>
            </w:r>
          </w:p>
        </w:tc>
        <w:tc>
          <w:tcPr>
            <w:tcW w:w="180" w:type="dxa"/>
            <w:vAlign w:val="bottom"/>
          </w:tcPr>
          <w:p>
            <w:pPr>
              <w:spacing w:after="0"/>
              <w:rPr>
                <w:sz w:val="11"/>
                <w:szCs w:val="11"/>
                <w:color w:val="auto"/>
              </w:rPr>
            </w:pPr>
          </w:p>
        </w:tc>
        <w:tc>
          <w:tcPr>
            <w:tcW w:w="19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Retail</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7.06%</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14,000,000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13,861,925</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14,128,380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Marketplace Events LLC</w:t>
            </w:r>
          </w:p>
        </w:tc>
        <w:tc>
          <w:tcPr>
            <w:tcW w:w="282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L+525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3,385,888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3,341,710</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3,385,888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(11)</w:t>
            </w:r>
          </w:p>
        </w:tc>
        <w:tc>
          <w:tcPr>
            <w:tcW w:w="2820" w:type="dxa"/>
            <w:vAlign w:val="bottom"/>
            <w:gridSpan w:val="5"/>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6.25%</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P+275</w:t>
            </w:r>
          </w:p>
        </w:tc>
        <w:tc>
          <w:tcPr>
            <w:tcW w:w="92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85"/>
              </w:rPr>
              <w:t>C$17,114,109</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12,001,661</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13,177,881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2820" w:type="dxa"/>
            <w:vAlign w:val="bottom"/>
            <w:gridSpan w:val="5"/>
            <w:shd w:val="clear" w:color="auto" w:fill="CCEEFF"/>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P+275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1,481,752</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1,481,752</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1,481,752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(9)</w:t>
            </w:r>
          </w:p>
        </w:tc>
        <w:tc>
          <w:tcPr>
            <w:tcW w:w="2820" w:type="dxa"/>
            <w:vAlign w:val="bottom"/>
            <w:gridSpan w:val="5"/>
          </w:tcPr>
          <w:p>
            <w:pPr>
              <w:ind w:left="160"/>
              <w:spacing w:after="0" w:line="135" w:lineRule="exact"/>
              <w:rPr>
                <w:sz w:val="20"/>
                <w:szCs w:val="20"/>
                <w:color w:val="auto"/>
              </w:rPr>
            </w:pPr>
            <w:r>
              <w:rPr>
                <w:rFonts w:ascii="Arial" w:cs="Arial" w:eastAsia="Arial" w:hAnsi="Arial"/>
                <w:sz w:val="13"/>
                <w:szCs w:val="13"/>
                <w:color w:val="auto"/>
                <w:w w:val="97"/>
              </w:rPr>
              <w:t>01/27/2021   Media: Diversified and Production</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221,411</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(9)</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09/28/2021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883,392</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(3,936)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Montreign Operating Company,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01/24/2023</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Hotel, Gaming and Leisure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9.48%</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L+825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26,294,872</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26,749,402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26,524,952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Morphe,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02/10/2023</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7.30%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14,812,500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14,409,755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14,590,313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07/31/2019</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7.05%</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8,742,647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8,708,704</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7,186,456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One Sixty Over Ninety, LLC</w:t>
            </w:r>
          </w:p>
        </w:tc>
        <w:tc>
          <w:tcPr>
            <w:tcW w:w="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6"/>
              </w:rPr>
              <w:t>03/03/2022</w:t>
            </w: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1"/>
              </w:rPr>
              <w:t>Media: Advertising, Printing and</w:t>
            </w:r>
          </w:p>
        </w:tc>
        <w:tc>
          <w:tcPr>
            <w:tcW w:w="800" w:type="dxa"/>
            <w:vAlign w:val="bottom"/>
            <w:gridSpan w:val="2"/>
            <w:shd w:val="clear" w:color="auto" w:fill="CCEEFF"/>
          </w:tcPr>
          <w:p>
            <w:pPr>
              <w:jc w:val="right"/>
              <w:ind w:right="102"/>
              <w:spacing w:after="0" w:line="121" w:lineRule="exact"/>
              <w:rPr>
                <w:sz w:val="20"/>
                <w:szCs w:val="20"/>
                <w:color w:val="auto"/>
              </w:rPr>
            </w:pPr>
            <w:r>
              <w:rPr>
                <w:rFonts w:ascii="Arial" w:cs="Arial" w:eastAsia="Arial" w:hAnsi="Arial"/>
                <w:sz w:val="13"/>
                <w:szCs w:val="13"/>
                <w:color w:val="auto"/>
              </w:rPr>
              <w:t>10.51%</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L+921</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2,750,000</w:t>
            </w:r>
          </w:p>
        </w:tc>
        <w:tc>
          <w:tcPr>
            <w:tcW w:w="8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2,697,575</w:t>
            </w:r>
          </w:p>
        </w:tc>
        <w:tc>
          <w:tcPr>
            <w:tcW w:w="9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2,722,500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Publishing</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08/19/2022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6.23%</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9,950,148</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9,894,285</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9,950,148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(9)</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08/19/2022</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01/31/2023</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6.30%</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10,201,600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10,109,359</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10,201,600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w:t>
            </w:r>
            <w:r>
              <w:rPr>
                <w:rFonts w:ascii="Arial" w:cs="Arial" w:eastAsia="Arial" w:hAnsi="Arial"/>
                <w:sz w:val="10"/>
                <w:szCs w:val="10"/>
                <w:color w:val="auto"/>
              </w:rPr>
              <w:t>(8), (9)</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01/31/2019</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573,770</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01/31/2022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9"/>
              </w:rPr>
              <w:t>Environmental Industries</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2,459,016</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PT Network,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11/30/2021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L+650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8,469,900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8,399,989</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8,469,900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PT Network, LLC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11/30/2021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2,291,100</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08/23/2021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Beverage, Food and Tobacco</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9,625,000</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9,502,761</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9,625,000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06/18/2019</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8.50%</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L+700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4,168,389</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4,154,540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4,164,366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08/07/2020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Business Services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6.98%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3,727,698</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3,689,176</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3,697,429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Salient CRGT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02/28/2022</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High Tech Industries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6.98%</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L+575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19,875,000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19,496,722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19,725,938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Beverage, Food and Tobacco</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416,667</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416,667</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(8), (9)</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07/19/2021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Beverage, Food and Tobacco</w:t>
            </w:r>
          </w:p>
        </w:tc>
        <w:tc>
          <w:tcPr>
            <w:tcW w:w="800" w:type="dxa"/>
            <w:vAlign w:val="bottom"/>
            <w:gridSpan w:val="2"/>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83,333</w:t>
            </w:r>
          </w:p>
        </w:tc>
        <w:tc>
          <w:tcPr>
            <w:tcW w:w="20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Softvision,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05/21/2021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High Tech Industries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6.73%</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8,997,271</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8,922,904</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8,997,271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Sundial Group Holdings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10/19/2021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7.49%</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L+625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7,031,250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6,936,112</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7,101,563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12/16/2020</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Business Services</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5,394,946</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5,369,066</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5,381,459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TeleGuam Holdings, LLC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07/25/2023</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Telecommunications</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8,000,000</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7,880,000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7,940,000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07/09/2021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L+475</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4,631,234</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4,601,977</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4,312,837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tcPr>
          <w:p>
            <w:pPr>
              <w:spacing w:after="0" w:line="121" w:lineRule="exact"/>
              <w:rPr>
                <w:sz w:val="20"/>
                <w:szCs w:val="20"/>
                <w:color w:val="auto"/>
              </w:rPr>
            </w:pPr>
            <w:r>
              <w:rPr>
                <w:rFonts w:ascii="Arial" w:cs="Arial" w:eastAsia="Arial" w:hAnsi="Arial"/>
                <w:sz w:val="13"/>
                <w:szCs w:val="13"/>
                <w:color w:val="auto"/>
              </w:rPr>
              <w:t>The Infosoft Group, LLC</w:t>
            </w:r>
          </w:p>
        </w:tc>
        <w:tc>
          <w:tcPr>
            <w:tcW w:w="740" w:type="dxa"/>
            <w:vAlign w:val="bottom"/>
            <w:gridSpan w:val="2"/>
          </w:tcPr>
          <w:p>
            <w:pPr>
              <w:ind w:left="160"/>
              <w:spacing w:after="0" w:line="121" w:lineRule="exact"/>
              <w:rPr>
                <w:sz w:val="20"/>
                <w:szCs w:val="20"/>
                <w:color w:val="auto"/>
              </w:rPr>
            </w:pPr>
            <w:r>
              <w:rPr>
                <w:rFonts w:ascii="Arial" w:cs="Arial" w:eastAsia="Arial" w:hAnsi="Arial"/>
                <w:sz w:val="13"/>
                <w:szCs w:val="13"/>
                <w:color w:val="auto"/>
                <w:w w:val="86"/>
              </w:rPr>
              <w:t>12/02/2021</w:t>
            </w:r>
          </w:p>
        </w:tc>
        <w:tc>
          <w:tcPr>
            <w:tcW w:w="180" w:type="dxa"/>
            <w:vAlign w:val="bottom"/>
          </w:tcPr>
          <w:p>
            <w:pPr>
              <w:spacing w:after="0"/>
              <w:rPr>
                <w:sz w:val="10"/>
                <w:szCs w:val="10"/>
                <w:color w:val="auto"/>
              </w:rPr>
            </w:pPr>
          </w:p>
        </w:tc>
        <w:tc>
          <w:tcPr>
            <w:tcW w:w="19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Media: Broadcasting and</w:t>
            </w:r>
          </w:p>
        </w:tc>
        <w:tc>
          <w:tcPr>
            <w:tcW w:w="800" w:type="dxa"/>
            <w:vAlign w:val="bottom"/>
            <w:gridSpan w:val="2"/>
          </w:tcPr>
          <w:p>
            <w:pPr>
              <w:jc w:val="right"/>
              <w:ind w:right="102"/>
              <w:spacing w:after="0" w:line="121" w:lineRule="exact"/>
              <w:rPr>
                <w:sz w:val="20"/>
                <w:szCs w:val="20"/>
                <w:color w:val="auto"/>
              </w:rPr>
            </w:pPr>
            <w:r>
              <w:rPr>
                <w:rFonts w:ascii="Arial" w:cs="Arial" w:eastAsia="Arial" w:hAnsi="Arial"/>
                <w:sz w:val="13"/>
                <w:szCs w:val="13"/>
                <w:color w:val="auto"/>
              </w:rPr>
              <w:t>6.55%</w:t>
            </w:r>
          </w:p>
        </w:tc>
        <w:tc>
          <w:tcPr>
            <w:tcW w:w="100" w:type="dxa"/>
            <w:vAlign w:val="bottom"/>
          </w:tcPr>
          <w:p>
            <w:pPr>
              <w:spacing w:after="0"/>
              <w:rPr>
                <w:sz w:val="10"/>
                <w:szCs w:val="10"/>
                <w:color w:val="auto"/>
              </w:rPr>
            </w:pPr>
          </w:p>
        </w:tc>
        <w:tc>
          <w:tcPr>
            <w:tcW w:w="760" w:type="dxa"/>
            <w:vAlign w:val="bottom"/>
          </w:tcPr>
          <w:p>
            <w:pPr>
              <w:jc w:val="right"/>
              <w:spacing w:after="0" w:line="121" w:lineRule="exact"/>
              <w:rPr>
                <w:sz w:val="20"/>
                <w:szCs w:val="20"/>
                <w:color w:val="auto"/>
              </w:rPr>
            </w:pPr>
            <w:r>
              <w:rPr>
                <w:rFonts w:ascii="Arial" w:cs="Arial" w:eastAsia="Arial" w:hAnsi="Arial"/>
                <w:sz w:val="13"/>
                <w:szCs w:val="13"/>
                <w:color w:val="auto"/>
              </w:rPr>
              <w:t>L+525</w:t>
            </w:r>
          </w:p>
        </w:tc>
        <w:tc>
          <w:tcPr>
            <w:tcW w:w="9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8,850,236</w:t>
            </w:r>
          </w:p>
        </w:tc>
        <w:tc>
          <w:tcPr>
            <w:tcW w:w="84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8,770,433</w:t>
            </w:r>
          </w:p>
        </w:tc>
        <w:tc>
          <w:tcPr>
            <w:tcW w:w="9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8,850,236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Subscription</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(10)</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shd w:val="clear" w:color="auto" w:fill="CCEEFF"/>
          </w:tcPr>
          <w:p>
            <w:pPr>
              <w:jc w:val="right"/>
              <w:ind w:right="102"/>
              <w:spacing w:after="0" w:line="135" w:lineRule="exact"/>
              <w:rPr>
                <w:sz w:val="20"/>
                <w:szCs w:val="20"/>
                <w:color w:val="auto"/>
              </w:rPr>
            </w:pPr>
            <w:r>
              <w:rPr>
                <w:rFonts w:ascii="Arial" w:cs="Arial" w:eastAsia="Arial" w:hAnsi="Arial"/>
                <w:sz w:val="13"/>
                <w:szCs w:val="13"/>
                <w:color w:val="auto"/>
              </w:rPr>
              <w:t>6.67%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L+550</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3,069,103</w:t>
            </w:r>
          </w:p>
        </w:tc>
        <w:tc>
          <w:tcPr>
            <w:tcW w:w="8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3,043,425</w:t>
            </w:r>
          </w:p>
        </w:tc>
        <w:tc>
          <w:tcPr>
            <w:tcW w:w="9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3,069,103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(10)</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6.17%</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L+500</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5,941,107</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5,891,550</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5,941,107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(9), (10)</w:t>
            </w:r>
          </w:p>
        </w:tc>
        <w:tc>
          <w:tcPr>
            <w:tcW w:w="74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w w:val="86"/>
              </w:rPr>
              <w:t>07/20/2021</w:t>
            </w:r>
          </w:p>
        </w:tc>
        <w:tc>
          <w:tcPr>
            <w:tcW w:w="18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800" w:type="dxa"/>
            <w:vAlign w:val="bottom"/>
            <w:gridSpan w:val="2"/>
            <w:shd w:val="clear" w:color="auto" w:fill="CCEEFF"/>
          </w:tcPr>
          <w:p>
            <w:pPr>
              <w:jc w:val="right"/>
              <w:ind w:right="26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1,418,484</w:t>
            </w: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auto"/>
                <w:w w:val="86"/>
              </w:rPr>
              <w:t>12/28/2020</w:t>
            </w:r>
          </w:p>
        </w:tc>
        <w:tc>
          <w:tcPr>
            <w:tcW w:w="180" w:type="dxa"/>
            <w:vAlign w:val="bottom"/>
          </w:tcPr>
          <w:p>
            <w:pPr>
              <w:spacing w:after="0"/>
              <w:rPr>
                <w:sz w:val="11"/>
                <w:szCs w:val="11"/>
                <w:color w:val="auto"/>
              </w:rPr>
            </w:pPr>
          </w:p>
        </w:tc>
        <w:tc>
          <w:tcPr>
            <w:tcW w:w="19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800" w:type="dxa"/>
            <w:vAlign w:val="bottom"/>
            <w:gridSpan w:val="2"/>
          </w:tcPr>
          <w:p>
            <w:pPr>
              <w:jc w:val="right"/>
              <w:ind w:right="102"/>
              <w:spacing w:after="0" w:line="135" w:lineRule="exact"/>
              <w:rPr>
                <w:sz w:val="20"/>
                <w:szCs w:val="20"/>
                <w:color w:val="auto"/>
              </w:rPr>
            </w:pPr>
            <w:r>
              <w:rPr>
                <w:rFonts w:ascii="Arial" w:cs="Arial" w:eastAsia="Arial" w:hAnsi="Arial"/>
                <w:sz w:val="13"/>
                <w:szCs w:val="13"/>
                <w:color w:val="auto"/>
              </w:rPr>
              <w:t>12.48%</w:t>
            </w:r>
          </w:p>
        </w:tc>
        <w:tc>
          <w:tcPr>
            <w:tcW w:w="1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L+1,125</w:t>
            </w:r>
          </w:p>
        </w:tc>
        <w:tc>
          <w:tcPr>
            <w:tcW w:w="9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9,049,123</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8,912,584</w:t>
            </w: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9,049,123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7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74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w w:val="86"/>
              </w:rPr>
              <w:t>01/14/2019</w:t>
            </w:r>
          </w:p>
        </w:tc>
        <w:tc>
          <w:tcPr>
            <w:tcW w:w="180" w:type="dxa"/>
            <w:vAlign w:val="bottom"/>
            <w:shd w:val="clear" w:color="auto" w:fill="CCEEFF"/>
          </w:tcPr>
          <w:p>
            <w:pPr>
              <w:spacing w:after="0"/>
              <w:rPr>
                <w:sz w:val="10"/>
                <w:szCs w:val="10"/>
                <w:color w:val="auto"/>
              </w:rPr>
            </w:pPr>
          </w:p>
        </w:tc>
        <w:tc>
          <w:tcPr>
            <w:tcW w:w="19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7"/>
              </w:rPr>
              <w:t>Telecommunications</w:t>
            </w:r>
          </w:p>
        </w:tc>
        <w:tc>
          <w:tcPr>
            <w:tcW w:w="800" w:type="dxa"/>
            <w:vAlign w:val="bottom"/>
            <w:gridSpan w:val="2"/>
            <w:shd w:val="clear" w:color="auto" w:fill="CCEEFF"/>
          </w:tcPr>
          <w:p>
            <w:pPr>
              <w:jc w:val="right"/>
              <w:ind w:right="102"/>
              <w:spacing w:after="0" w:line="121" w:lineRule="exact"/>
              <w:rPr>
                <w:sz w:val="20"/>
                <w:szCs w:val="20"/>
                <w:color w:val="auto"/>
              </w:rPr>
            </w:pPr>
            <w:r>
              <w:rPr>
                <w:rFonts w:ascii="Arial" w:cs="Arial" w:eastAsia="Arial" w:hAnsi="Arial"/>
                <w:sz w:val="13"/>
                <w:szCs w:val="13"/>
                <w:color w:val="auto"/>
              </w:rPr>
              <w:t>9.80%</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L+850</w:t>
            </w:r>
          </w:p>
        </w:tc>
        <w:tc>
          <w:tcPr>
            <w:tcW w:w="9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42,602</w:t>
            </w:r>
          </w:p>
        </w:tc>
        <w:tc>
          <w:tcPr>
            <w:tcW w:w="84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42,602</w:t>
            </w:r>
          </w:p>
        </w:tc>
        <w:tc>
          <w:tcPr>
            <w:tcW w:w="9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42,602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2"/>
              <w:spacing w:after="0"/>
              <w:rPr>
                <w:sz w:val="20"/>
                <w:szCs w:val="20"/>
                <w:color w:val="auto"/>
              </w:rPr>
            </w:pPr>
            <w:r>
              <w:rPr>
                <w:rFonts w:ascii="Arial" w:cs="Arial" w:eastAsia="Arial" w:hAnsi="Arial"/>
                <w:sz w:val="13"/>
                <w:szCs w:val="13"/>
                <w:color w:val="auto"/>
                <w:w w:val="94"/>
              </w:rPr>
              <w:t>(PIK 1.00%)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jc w:val="right"/>
              <w:ind w:right="282"/>
              <w:spacing w:after="0" w:line="135"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Maturity</w:t>
            </w:r>
          </w:p>
        </w:tc>
        <w:tc>
          <w:tcPr>
            <w:tcW w:w="2200" w:type="dxa"/>
            <w:vAlign w:val="bottom"/>
            <w:gridSpan w:val="2"/>
          </w:tcPr>
          <w:p>
            <w:pPr>
              <w:ind w:left="760"/>
              <w:spacing w:after="0"/>
              <w:rPr>
                <w:sz w:val="20"/>
                <w:szCs w:val="20"/>
                <w:color w:val="auto"/>
              </w:rPr>
            </w:pPr>
            <w:r>
              <w:rPr>
                <w:rFonts w:ascii="Arial" w:cs="Arial" w:eastAsia="Arial" w:hAnsi="Arial"/>
                <w:sz w:val="13"/>
                <w:szCs w:val="13"/>
                <w:b w:val="1"/>
                <w:bCs w:val="1"/>
                <w:color w:val="auto"/>
              </w:rPr>
              <w:t>Industry</w:t>
            </w:r>
          </w:p>
        </w:tc>
        <w:tc>
          <w:tcPr>
            <w:tcW w:w="860" w:type="dxa"/>
            <w:vAlign w:val="bottom"/>
            <w:gridSpan w:val="2"/>
          </w:tcPr>
          <w:p>
            <w:pPr>
              <w:jc w:val="right"/>
              <w:ind w:right="282"/>
              <w:spacing w:after="0"/>
              <w:rPr>
                <w:sz w:val="20"/>
                <w:szCs w:val="20"/>
                <w:color w:val="auto"/>
              </w:rPr>
            </w:pPr>
            <w:r>
              <w:rPr>
                <w:rFonts w:ascii="Arial" w:cs="Arial" w:eastAsia="Arial" w:hAnsi="Arial"/>
                <w:sz w:val="13"/>
                <w:szCs w:val="13"/>
                <w:b w:val="1"/>
                <w:bCs w:val="1"/>
                <w:color w:val="auto"/>
              </w:rPr>
              <w:t>Coupon</w:t>
            </w: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4"/>
          </w:tcPr>
          <w:p>
            <w:pPr>
              <w:ind w:left="200"/>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01/14/2019</w:t>
            </w:r>
          </w:p>
        </w:tc>
        <w:tc>
          <w:tcPr>
            <w:tcW w:w="200" w:type="dxa"/>
            <w:vAlign w:val="bottom"/>
            <w:tcBorders>
              <w:top w:val="single" w:sz="8" w:color="CCEEFF"/>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Telecommunications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w:t>
            </w:r>
          </w:p>
        </w:tc>
        <w:tc>
          <w:tcPr>
            <w:tcW w:w="240" w:type="dxa"/>
            <w:vAlign w:val="bottom"/>
            <w:tcBorders>
              <w:top w:val="single" w:sz="8" w:color="CCEEFF"/>
            </w:tcBorders>
            <w:shd w:val="clear" w:color="auto" w:fill="CCEEFF"/>
          </w:tcPr>
          <w:p>
            <w:pPr>
              <w:jc w:val="right"/>
              <w:ind w:right="82"/>
              <w:spacing w:after="0" w:line="129" w:lineRule="exact"/>
              <w:rPr>
                <w:sz w:val="20"/>
                <w:szCs w:val="20"/>
                <w:color w:val="auto"/>
              </w:rPr>
            </w:pPr>
            <w:r>
              <w:rPr>
                <w:rFonts w:ascii="Arial" w:cs="Arial" w:eastAsia="Arial" w:hAnsi="Arial"/>
                <w:sz w:val="12"/>
                <w:szCs w:val="12"/>
                <w:color w:val="auto"/>
                <w:w w:val="74"/>
              </w:rPr>
              <w:t>%</w:t>
            </w: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L+850</w:t>
            </w:r>
          </w:p>
        </w:tc>
        <w:tc>
          <w:tcPr>
            <w:tcW w:w="2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599,702</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573,809</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611,696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(9)</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01/14/2019</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151,090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08/13/2021</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10.30%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3,066,406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3,066,406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3,005,078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Veterinary Specialists of North America, LLC</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07/15/2021</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6.42%</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L+525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11,403,377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11,301,289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11,403,377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Veterinary Specialists of North America, LLC </w:t>
            </w:r>
            <w:r>
              <w:rPr>
                <w:rFonts w:ascii="Arial" w:cs="Arial" w:eastAsia="Arial" w:hAnsi="Arial"/>
                <w:sz w:val="10"/>
                <w:szCs w:val="10"/>
                <w:color w:val="auto"/>
              </w:rPr>
              <w:t>(8), (9)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07/15/2021</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Veterinary Specialists of North America, LLC</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07/15/2021</w:t>
            </w:r>
          </w:p>
        </w:tc>
        <w:tc>
          <w:tcPr>
            <w:tcW w:w="200" w:type="dxa"/>
            <w:vAlign w:val="bottom"/>
          </w:tcPr>
          <w:p>
            <w:pPr>
              <w:spacing w:after="0"/>
              <w:rPr>
                <w:sz w:val="10"/>
                <w:szCs w:val="10"/>
                <w:color w:val="auto"/>
              </w:rPr>
            </w:pP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880,000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4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 xml:space="preserve">(Revolver) </w:t>
            </w:r>
            <w:r>
              <w:rPr>
                <w:rFonts w:ascii="Arial" w:cs="Arial" w:eastAsia="Arial" w:hAnsi="Arial"/>
                <w:sz w:val="10"/>
                <w:szCs w:val="10"/>
                <w:color w:val="auto"/>
              </w:rPr>
              <w:t>(8), (9)</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3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VIP Cinema Holdings, Inc.</w:t>
            </w:r>
          </w:p>
        </w:tc>
        <w:tc>
          <w:tcPr>
            <w:tcW w:w="7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03/01/2023</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8"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jc w:val="right"/>
              <w:ind w:right="82"/>
              <w:spacing w:after="0" w:line="138" w:lineRule="exact"/>
              <w:rPr>
                <w:sz w:val="20"/>
                <w:szCs w:val="20"/>
                <w:color w:val="auto"/>
              </w:rPr>
            </w:pPr>
            <w:r>
              <w:rPr>
                <w:rFonts w:ascii="Arial" w:cs="Arial" w:eastAsia="Arial" w:hAnsi="Arial"/>
                <w:sz w:val="13"/>
                <w:szCs w:val="13"/>
                <w:color w:val="auto"/>
              </w:rPr>
              <w:t>7.30%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7,406,250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7,370,068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7,461,797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Vistage Worldwide, Inc.</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08/19/2021</w:t>
            </w:r>
          </w:p>
        </w:tc>
        <w:tc>
          <w:tcPr>
            <w:tcW w:w="200" w:type="dxa"/>
            <w:vAlign w:val="bottom"/>
          </w:tcPr>
          <w:p>
            <w:pPr>
              <w:spacing w:after="0"/>
              <w:rPr>
                <w:sz w:val="10"/>
                <w:szCs w:val="10"/>
                <w:color w:val="auto"/>
              </w:rPr>
            </w:pP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gridSpan w:val="2"/>
          </w:tcPr>
          <w:p>
            <w:pPr>
              <w:jc w:val="right"/>
              <w:ind w:right="82"/>
              <w:spacing w:after="0" w:line="121" w:lineRule="exact"/>
              <w:rPr>
                <w:sz w:val="20"/>
                <w:szCs w:val="20"/>
                <w:color w:val="auto"/>
              </w:rPr>
            </w:pPr>
            <w:r>
              <w:rPr>
                <w:rFonts w:ascii="Arial" w:cs="Arial" w:eastAsia="Arial" w:hAnsi="Arial"/>
                <w:sz w:val="13"/>
                <w:szCs w:val="13"/>
                <w:color w:val="auto"/>
              </w:rPr>
              <w:t>6.73%</w:t>
            </w:r>
          </w:p>
        </w:tc>
        <w:tc>
          <w:tcPr>
            <w:tcW w:w="120" w:type="dxa"/>
            <w:vAlign w:val="bottom"/>
          </w:tcPr>
          <w:p>
            <w:pPr>
              <w:spacing w:after="0"/>
              <w:rPr>
                <w:sz w:val="10"/>
                <w:szCs w:val="10"/>
                <w:color w:val="auto"/>
              </w:rPr>
            </w:pPr>
          </w:p>
        </w:tc>
        <w:tc>
          <w:tcPr>
            <w:tcW w:w="9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L+550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5,083,203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5,045,420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5,095,911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3"/>
                <w:szCs w:val="13"/>
                <w:color w:val="auto"/>
                <w:w w:val="89"/>
              </w:rPr>
              <w:t>Subscription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06/30/2022</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7.80%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L+650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7,715,141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7,653,253</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7,753,717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(8), (9)</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06/30/2022</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708,333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3,542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10/30/2020</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9.21%</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2,408,884</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2,388,846</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2,360,706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1"/>
              </w:rPr>
              <w:t>Estate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610,806,604</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613,273,017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Debt—7.1%</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12/31/2020</w:t>
            </w:r>
          </w:p>
        </w:tc>
        <w:tc>
          <w:tcPr>
            <w:tcW w:w="200" w:type="dxa"/>
            <w:vAlign w:val="bottom"/>
          </w:tcPr>
          <w:p>
            <w:pPr>
              <w:spacing w:after="0"/>
              <w:rPr>
                <w:sz w:val="11"/>
                <w:szCs w:val="11"/>
                <w:color w:val="auto"/>
              </w:rPr>
            </w:pP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11.80%</w:t>
            </w:r>
          </w:p>
        </w:tc>
        <w:tc>
          <w:tcPr>
            <w:tcW w:w="120" w:type="dxa"/>
            <w:vAlign w:val="bottom"/>
          </w:tcPr>
          <w:p>
            <w:pPr>
              <w:spacing w:after="0"/>
              <w:rPr>
                <w:sz w:val="11"/>
                <w:szCs w:val="11"/>
                <w:color w:val="auto"/>
              </w:rPr>
            </w:pPr>
          </w:p>
        </w:tc>
        <w:tc>
          <w:tcPr>
            <w:tcW w:w="9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1,975,346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2,020,000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Howard Berger Co. LLC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09/30/2020</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Wholesale</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11.30%</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L+1,000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89"/>
              </w:rPr>
              <w:t>11,300,000</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5"/>
              </w:rPr>
              <w:t>10,887,629</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5"/>
              </w:rPr>
              <w:t>10,735,000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(PIK 5.25%)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MailSouth, Inc.</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10/22/2021</w:t>
            </w:r>
          </w:p>
        </w:tc>
        <w:tc>
          <w:tcPr>
            <w:tcW w:w="200" w:type="dxa"/>
            <w:vAlign w:val="bottom"/>
          </w:tcPr>
          <w:p>
            <w:pPr>
              <w:spacing w:after="0"/>
              <w:rPr>
                <w:sz w:val="10"/>
                <w:szCs w:val="10"/>
                <w:color w:val="auto"/>
              </w:rPr>
            </w:pP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gridSpan w:val="2"/>
          </w:tcPr>
          <w:p>
            <w:pPr>
              <w:jc w:val="right"/>
              <w:ind w:right="82"/>
              <w:spacing w:after="0" w:line="121" w:lineRule="exact"/>
              <w:rPr>
                <w:sz w:val="20"/>
                <w:szCs w:val="20"/>
                <w:color w:val="auto"/>
              </w:rPr>
            </w:pPr>
            <w:r>
              <w:rPr>
                <w:rFonts w:ascii="Arial" w:cs="Arial" w:eastAsia="Arial" w:hAnsi="Arial"/>
                <w:sz w:val="13"/>
                <w:szCs w:val="13"/>
                <w:color w:val="auto"/>
              </w:rPr>
              <w:t>11.65%</w:t>
            </w:r>
          </w:p>
        </w:tc>
        <w:tc>
          <w:tcPr>
            <w:tcW w:w="120" w:type="dxa"/>
            <w:vAlign w:val="bottom"/>
          </w:tcPr>
          <w:p>
            <w:pPr>
              <w:spacing w:after="0"/>
              <w:rPr>
                <w:sz w:val="10"/>
                <w:szCs w:val="10"/>
                <w:color w:val="auto"/>
              </w:rPr>
            </w:pPr>
          </w:p>
        </w:tc>
        <w:tc>
          <w:tcPr>
            <w:tcW w:w="98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3,775,000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3,712,030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3,812,750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07/07/2021</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12.32%</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L+1,100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11,900,000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11,776,681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11,662,000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08/01/2017</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Energy: Oil and Gas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2,812,500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2,790,249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1,518,750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Veritext Corp.</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01/30/2023</w:t>
            </w:r>
          </w:p>
        </w:tc>
        <w:tc>
          <w:tcPr>
            <w:tcW w:w="200" w:type="dxa"/>
            <w:vAlign w:val="bottom"/>
            <w:shd w:val="clear" w:color="auto" w:fill="CCEEFF"/>
          </w:tcPr>
          <w:p>
            <w:pPr>
              <w:spacing w:after="0"/>
              <w:rPr>
                <w:sz w:val="11"/>
                <w:szCs w:val="11"/>
                <w:color w:val="auto"/>
              </w:rPr>
            </w:pP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10.30%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2,690,625</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2,621,313</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2,636,813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Second Lien Secured Debt</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33,763,248</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32,385,313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Subordinated Debt/Corporate Notes—1.6% </w:t>
            </w:r>
            <w:r>
              <w:rPr>
                <w:rFonts w:ascii="Arial" w:cs="Arial" w:eastAsia="Arial" w:hAnsi="Arial"/>
                <w:sz w:val="10"/>
                <w:szCs w:val="10"/>
                <w:b w:val="1"/>
                <w:bCs w:val="1"/>
                <w:color w:val="auto"/>
              </w:rPr>
              <w:t>(8)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12/31/2021</w:t>
            </w:r>
          </w:p>
        </w:tc>
        <w:tc>
          <w:tcPr>
            <w:tcW w:w="200" w:type="dxa"/>
            <w:vAlign w:val="bottom"/>
          </w:tcPr>
          <w:p>
            <w:pPr>
              <w:spacing w:after="0"/>
              <w:rPr>
                <w:sz w:val="10"/>
                <w:szCs w:val="10"/>
                <w:color w:val="auto"/>
              </w:rPr>
            </w:pPr>
          </w:p>
        </w:tc>
        <w:tc>
          <w:tcPr>
            <w:tcW w:w="220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jc w:val="right"/>
              <w:ind w:right="82"/>
              <w:spacing w:after="0" w:line="121" w:lineRule="exact"/>
              <w:rPr>
                <w:sz w:val="20"/>
                <w:szCs w:val="20"/>
                <w:color w:val="auto"/>
              </w:rPr>
            </w:pPr>
            <w:r>
              <w:rPr>
                <w:rFonts w:ascii="Arial" w:cs="Arial" w:eastAsia="Arial" w:hAnsi="Arial"/>
                <w:sz w:val="13"/>
                <w:szCs w:val="13"/>
                <w:color w:val="auto"/>
              </w:rPr>
              <w:t>17.00%</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370,370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370,370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379,630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42"/>
              <w:spacing w:after="0"/>
              <w:rPr>
                <w:sz w:val="20"/>
                <w:szCs w:val="20"/>
                <w:color w:val="auto"/>
              </w:rPr>
            </w:pPr>
            <w:r>
              <w:rPr>
                <w:rFonts w:ascii="Arial" w:cs="Arial" w:eastAsia="Arial" w:hAnsi="Arial"/>
                <w:sz w:val="13"/>
                <w:szCs w:val="13"/>
                <w:color w:val="auto"/>
                <w:w w:val="95"/>
              </w:rPr>
              <w:t>(PIK 17.00%)</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10/26/2020</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13.00%</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2,087,079</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2,047,329</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2,070,964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rPr>
              <w:t>(PIK 0.75%)</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Sonny’s Enterprises, LLC</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06/01/2023</w:t>
            </w:r>
          </w:p>
        </w:tc>
        <w:tc>
          <w:tcPr>
            <w:tcW w:w="200" w:type="dxa"/>
            <w:vAlign w:val="bottom"/>
          </w:tcPr>
          <w:p>
            <w:pPr>
              <w:spacing w:after="0"/>
              <w:rPr>
                <w:sz w:val="11"/>
                <w:szCs w:val="11"/>
                <w:color w:val="auto"/>
              </w:rPr>
            </w:pP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Capital Equipment</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11.00%</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4,750,000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4,658,907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4,750,000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UniTek Global Services, Inc.</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07/15/2019</w:t>
            </w:r>
          </w:p>
        </w:tc>
        <w:tc>
          <w:tcPr>
            <w:tcW w:w="200" w:type="dxa"/>
            <w:vAlign w:val="bottom"/>
            <w:shd w:val="clear" w:color="auto" w:fill="CCEEFF"/>
          </w:tcPr>
          <w:p>
            <w:pPr>
              <w:spacing w:after="0"/>
              <w:rPr>
                <w:sz w:val="10"/>
                <w:szCs w:val="10"/>
                <w:color w:val="auto"/>
              </w:rPr>
            </w:pPr>
          </w:p>
        </w:tc>
        <w:tc>
          <w:tcPr>
            <w:tcW w:w="220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82"/>
              <w:spacing w:after="0" w:line="121" w:lineRule="exact"/>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164,293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164,293</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167,579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
              <w:spacing w:after="0"/>
              <w:rPr>
                <w:sz w:val="20"/>
                <w:szCs w:val="20"/>
                <w:color w:val="auto"/>
              </w:rPr>
            </w:pPr>
            <w:r>
              <w:rPr>
                <w:rFonts w:ascii="Arial" w:cs="Arial" w:eastAsia="Arial" w:hAnsi="Arial"/>
                <w:sz w:val="13"/>
                <w:szCs w:val="13"/>
                <w:color w:val="auto"/>
                <w:w w:val="95"/>
              </w:rPr>
              <w:t>(PIK 15.00%)</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7,240,899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7,368,173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UniTek Global Services, Inc.—Senior Preferred Equity</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jc w:val="right"/>
              <w:ind w:right="82"/>
              <w:spacing w:after="0" w:line="135" w:lineRule="exact"/>
              <w:rPr>
                <w:sz w:val="20"/>
                <w:szCs w:val="20"/>
                <w:color w:val="auto"/>
              </w:rPr>
            </w:pPr>
            <w:r>
              <w:rPr>
                <w:rFonts w:ascii="Arial" w:cs="Arial" w:eastAsia="Arial" w:hAnsi="Arial"/>
                <w:sz w:val="13"/>
                <w:szCs w:val="13"/>
                <w:color w:val="auto"/>
              </w:rPr>
              <w:t>18.00%</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448,851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448,851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450,939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shd w:val="clear" w:color="auto" w:fill="CCEEFF"/>
          </w:tcPr>
          <w:p>
            <w:pPr>
              <w:jc w:val="right"/>
              <w:ind w:right="82"/>
              <w:spacing w:after="0" w:line="135" w:lineRule="exact"/>
              <w:rPr>
                <w:sz w:val="20"/>
                <w:szCs w:val="20"/>
                <w:color w:val="auto"/>
              </w:rPr>
            </w:pPr>
            <w:r>
              <w:rPr>
                <w:rFonts w:ascii="Arial" w:cs="Arial" w:eastAsia="Arial" w:hAnsi="Arial"/>
                <w:sz w:val="13"/>
                <w:szCs w:val="13"/>
                <w:color w:val="auto"/>
              </w:rPr>
              <w:t>13.50%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1,047,317</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670,283</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1,459,060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Preferred Equity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1,119,134</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1,909,999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Equity/Warrants—1.8% </w:t>
            </w:r>
            <w:r>
              <w:rPr>
                <w:rFonts w:ascii="Arial" w:cs="Arial" w:eastAsia="Arial" w:hAnsi="Arial"/>
                <w:sz w:val="10"/>
                <w:szCs w:val="10"/>
                <w:b w:val="1"/>
                <w:bCs w:val="1"/>
                <w:color w:val="auto"/>
              </w:rPr>
              <w:t>(7), (8)</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99,029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3,514,572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2,341,398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Consumer Goods: Durable</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1,186,649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8,203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American Gilsonite Company</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Metals and Mining</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215,182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317,062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By Light Investco LP</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21,908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2,190,771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2,190,771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By Light Investco LP </w:t>
            </w:r>
            <w:r>
              <w:rPr>
                <w:rFonts w:ascii="Arial" w:cs="Arial" w:eastAsia="Arial" w:hAnsi="Arial"/>
                <w:sz w:val="10"/>
                <w:szCs w:val="10"/>
                <w:color w:val="auto"/>
              </w:rPr>
              <w:t>(9)</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5,592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318,665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(9)</w:t>
            </w:r>
          </w:p>
        </w:tc>
        <w:tc>
          <w:tcPr>
            <w:tcW w:w="16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4"/>
              </w:rPr>
              <w:t>Aerospace and Defense</w:t>
            </w:r>
          </w:p>
        </w:tc>
        <w:tc>
          <w:tcPr>
            <w:tcW w:w="86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4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center"/>
              <w:ind w:right="220"/>
              <w:spacing w:after="0" w:line="135"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58,044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191,667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Gauge InfosoftCoInvest, LLC</w:t>
            </w:r>
          </w:p>
        </w:tc>
        <w:tc>
          <w:tcPr>
            <w:tcW w:w="160" w:type="dxa"/>
            <w:vAlign w:val="bottom"/>
          </w:tcPr>
          <w:p>
            <w:pPr>
              <w:spacing w:after="0"/>
              <w:rPr>
                <w:sz w:val="10"/>
                <w:szCs w:val="10"/>
                <w:color w:val="auto"/>
              </w:rPr>
            </w:pPr>
          </w:p>
        </w:tc>
        <w:tc>
          <w:tcPr>
            <w:tcW w:w="82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Media: Broadcasting and Subscription</w:t>
            </w:r>
          </w:p>
        </w:tc>
        <w:tc>
          <w:tcPr>
            <w:tcW w:w="86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500,000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613,596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(The Infosoft Group, LLC)</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8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Patriot National, Inc.</w:t>
            </w:r>
          </w:p>
        </w:tc>
        <w:tc>
          <w:tcPr>
            <w:tcW w:w="1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center"/>
              <w:ind w:right="220"/>
              <w:spacing w:after="0" w:line="124" w:lineRule="exact"/>
              <w:rPr>
                <w:sz w:val="20"/>
                <w:szCs w:val="20"/>
                <w:color w:val="auto"/>
              </w:rPr>
            </w:pPr>
            <w:r>
              <w:rPr>
                <w:rFonts w:ascii="Arial" w:cs="Arial" w:eastAsia="Arial" w:hAnsi="Arial"/>
                <w:sz w:val="13"/>
                <w:szCs w:val="13"/>
                <w:color w:val="auto"/>
                <w:w w:val="91"/>
              </w:rPr>
              <w:t>—</w:t>
            </w:r>
          </w:p>
        </w:tc>
        <w:tc>
          <w:tcPr>
            <w:tcW w:w="2200" w:type="dxa"/>
            <w:vAlign w:val="bottom"/>
            <w:gridSpan w:val="2"/>
            <w:shd w:val="clear" w:color="auto" w:fill="CCEEFF"/>
          </w:tcPr>
          <w:p>
            <w:pPr>
              <w:jc w:val="center"/>
              <w:ind w:right="160"/>
              <w:spacing w:after="0" w:line="124" w:lineRule="exact"/>
              <w:rPr>
                <w:sz w:val="20"/>
                <w:szCs w:val="20"/>
                <w:color w:val="auto"/>
              </w:rPr>
            </w:pPr>
            <w:r>
              <w:rPr>
                <w:rFonts w:ascii="Arial" w:cs="Arial" w:eastAsia="Arial" w:hAnsi="Arial"/>
                <w:sz w:val="13"/>
                <w:szCs w:val="13"/>
                <w:color w:val="auto"/>
                <w:w w:val="87"/>
              </w:rPr>
              <w:t>Banking, Finance, Insurance and Real</w:t>
            </w:r>
          </w:p>
        </w:tc>
        <w:tc>
          <w:tcPr>
            <w:tcW w:w="860" w:type="dxa"/>
            <w:vAlign w:val="bottom"/>
            <w:gridSpan w:val="2"/>
            <w:shd w:val="clear" w:color="auto" w:fill="CCEEFF"/>
          </w:tcPr>
          <w:p>
            <w:pPr>
              <w:ind w:left="420"/>
              <w:spacing w:after="0" w:line="124"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ind w:left="560"/>
              <w:spacing w:after="0" w:line="12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11,867</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27,995</w:t>
            </w: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3"/>
                <w:szCs w:val="13"/>
                <w:color w:val="auto"/>
              </w:rPr>
              <w:t>25,158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1"/>
              </w:rPr>
              <w:t>Estate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38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160" w:type="dxa"/>
            <w:vAlign w:val="bottom"/>
          </w:tcPr>
          <w:p>
            <w:pPr>
              <w:spacing w:after="0"/>
              <w:rPr>
                <w:sz w:val="10"/>
                <w:szCs w:val="10"/>
                <w:color w:val="auto"/>
              </w:rPr>
            </w:pPr>
          </w:p>
        </w:tc>
        <w:tc>
          <w:tcPr>
            <w:tcW w:w="820" w:type="dxa"/>
            <w:vAlign w:val="bottom"/>
            <w:gridSpan w:val="2"/>
          </w:tcPr>
          <w:p>
            <w:pPr>
              <w:jc w:val="center"/>
              <w:ind w:right="220"/>
              <w:spacing w:after="0" w:line="121" w:lineRule="exact"/>
              <w:rPr>
                <w:sz w:val="20"/>
                <w:szCs w:val="20"/>
                <w:color w:val="auto"/>
              </w:rPr>
            </w:pPr>
            <w:r>
              <w:rPr>
                <w:rFonts w:ascii="Arial" w:cs="Arial" w:eastAsia="Arial" w:hAnsi="Arial"/>
                <w:sz w:val="13"/>
                <w:szCs w:val="13"/>
                <w:color w:val="auto"/>
                <w:w w:val="91"/>
              </w:rPr>
              <w:t>—</w:t>
            </w:r>
          </w:p>
        </w:tc>
        <w:tc>
          <w:tcPr>
            <w:tcW w:w="220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Telecommunications</w:t>
            </w:r>
          </w:p>
        </w:tc>
        <w:tc>
          <w:tcPr>
            <w:tcW w:w="86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gridSpan w:val="2"/>
          </w:tcPr>
          <w:p>
            <w:pPr>
              <w:ind w:left="56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657,233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657,233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Arial" w:cs="Arial" w:eastAsia="Arial" w:hAnsi="Arial"/>
                <w:sz w:val="13"/>
                <w:szCs w:val="13"/>
                <w:color w:val="auto"/>
              </w:rPr>
              <w:t>657,233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80" w:type="dxa"/>
            <w:vAlign w:val="bottom"/>
          </w:tcPr>
          <w:p>
            <w:pPr>
              <w:ind w:left="10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(12)</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gridSpan w:val="3"/>
          </w:tcPr>
          <w:p>
            <w:pPr>
              <w:jc w:val="right"/>
              <w:ind w:right="220"/>
              <w:spacing w:after="0" w:line="135" w:lineRule="exact"/>
              <w:rPr>
                <w:sz w:val="20"/>
                <w:szCs w:val="20"/>
                <w:color w:val="auto"/>
              </w:rPr>
            </w:pPr>
            <w:r>
              <w:rPr>
                <w:rFonts w:ascii="Arial" w:cs="Arial" w:eastAsia="Arial" w:hAnsi="Arial"/>
                <w:sz w:val="13"/>
                <w:szCs w:val="13"/>
                <w:b w:val="1"/>
                <w:bCs w:val="1"/>
                <w:color w:val="auto"/>
              </w:rPr>
              <w:t>Current</w:t>
            </w:r>
          </w:p>
        </w:tc>
        <w:tc>
          <w:tcPr>
            <w:tcW w:w="11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3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4"/>
              </w:rPr>
              <w:t>Maturity</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20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1"/>
              </w:rPr>
              <w:t>Coupon</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36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TPC Broadband Investors, LP</w:t>
            </w: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180"/>
              <w:spacing w:after="0" w:line="114"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87"/>
              </w:rPr>
              <w:t>Telecommunications</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ind w:left="240"/>
              <w:spacing w:after="0" w:line="114"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ind w:left="560"/>
              <w:spacing w:after="0" w:line="114"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342,767</w:t>
            </w:r>
          </w:p>
        </w:tc>
        <w:tc>
          <w:tcPr>
            <w:tcW w:w="2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(9), (12)</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2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center"/>
              <w:ind w:left="117"/>
              <w:spacing w:after="0" w:line="135" w:lineRule="exact"/>
              <w:rPr>
                <w:sz w:val="20"/>
                <w:szCs w:val="20"/>
                <w:color w:val="auto"/>
              </w:rPr>
            </w:pPr>
            <w:r>
              <w:rPr>
                <w:rFonts w:ascii="Arial" w:cs="Arial" w:eastAsia="Arial" w:hAnsi="Arial"/>
                <w:sz w:val="13"/>
                <w:szCs w:val="13"/>
                <w:color w:val="auto"/>
                <w:w w:val="87"/>
              </w:rPr>
              <w:t>Telecommunications</w:t>
            </w:r>
          </w:p>
        </w:tc>
        <w:tc>
          <w:tcPr>
            <w:tcW w:w="200" w:type="dxa"/>
            <w:vAlign w:val="bottom"/>
          </w:tcPr>
          <w:p>
            <w:pPr>
              <w:spacing w:after="0"/>
              <w:rPr>
                <w:sz w:val="11"/>
                <w:szCs w:val="11"/>
                <w:color w:val="auto"/>
              </w:rPr>
            </w:pPr>
          </w:p>
        </w:tc>
        <w:tc>
          <w:tcPr>
            <w:tcW w:w="6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213,739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1,307,001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 (Warrants)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center"/>
              <w:ind w:left="117"/>
              <w:spacing w:after="0" w:line="135" w:lineRule="exact"/>
              <w:rPr>
                <w:sz w:val="20"/>
                <w:szCs w:val="20"/>
                <w:color w:val="auto"/>
              </w:rPr>
            </w:pPr>
            <w:r>
              <w:rPr>
                <w:rFonts w:ascii="Arial" w:cs="Arial" w:eastAsia="Arial" w:hAnsi="Arial"/>
                <w:sz w:val="13"/>
                <w:szCs w:val="13"/>
                <w:color w:val="auto"/>
                <w:w w:val="87"/>
              </w:rPr>
              <w:t>Telecommunications</w:t>
            </w: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23,889</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Common Equity/Warrants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8,650,446</w:t>
            </w:r>
          </w:p>
        </w:tc>
        <w:tc>
          <w:tcPr>
            <w:tcW w:w="2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7,970,754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7"/>
              </w:rPr>
              <w:t>Total Investments in Non-Controlled, Non-Affiliated Portfolio Companies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661,580,331</w:t>
            </w: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662,907,256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7"/>
              </w:rPr>
              <w:t xml:space="preserve">Investments in Controlled, Affiliated Portfolio Companies—7.9% </w:t>
            </w:r>
            <w:r>
              <w:rPr>
                <w:rFonts w:ascii="Arial" w:cs="Arial" w:eastAsia="Arial" w:hAnsi="Arial"/>
                <w:sz w:val="10"/>
                <w:szCs w:val="10"/>
                <w:b w:val="1"/>
                <w:bCs w:val="1"/>
                <w:color w:val="auto"/>
                <w:w w:val="97"/>
              </w:rPr>
              <w:t>(1), (2), (3)</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Notes—5.5%</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 xml:space="preserve">PennantPark Senior Secured Loan Fund I LLC </w:t>
            </w:r>
            <w:r>
              <w:rPr>
                <w:rFonts w:ascii="Arial" w:cs="Arial" w:eastAsia="Arial" w:hAnsi="Arial"/>
                <w:sz w:val="10"/>
                <w:szCs w:val="10"/>
                <w:color w:val="auto"/>
              </w:rPr>
              <w:t>(8), (10)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05/06/2024</w:t>
            </w:r>
          </w:p>
        </w:tc>
        <w:tc>
          <w:tcPr>
            <w:tcW w:w="200" w:type="dxa"/>
            <w:vAlign w:val="bottom"/>
          </w:tcPr>
          <w:p>
            <w:pPr>
              <w:spacing w:after="0"/>
              <w:rPr>
                <w:sz w:val="12"/>
                <w:szCs w:val="12"/>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6.28%</w:t>
            </w:r>
          </w:p>
        </w:tc>
        <w:tc>
          <w:tcPr>
            <w:tcW w:w="140" w:type="dxa"/>
            <w:vAlign w:val="bottom"/>
          </w:tcPr>
          <w:p>
            <w:pPr>
              <w:spacing w:after="0"/>
              <w:rPr>
                <w:sz w:val="12"/>
                <w:szCs w:val="12"/>
                <w:color w:val="auto"/>
              </w:rPr>
            </w:pPr>
          </w:p>
        </w:tc>
        <w:tc>
          <w:tcPr>
            <w:tcW w:w="100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L+500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25,200,000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25,200,000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25,200,000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Equity Interests—2.4% </w:t>
            </w:r>
            <w:r>
              <w:rPr>
                <w:rFonts w:ascii="Arial" w:cs="Arial" w:eastAsia="Arial" w:hAnsi="Arial"/>
                <w:sz w:val="10"/>
                <w:szCs w:val="10"/>
                <w:b w:val="1"/>
                <w:bCs w:val="1"/>
                <w:color w:val="auto"/>
              </w:rPr>
              <w:t>(7), (8)</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 xml:space="preserve">PennantPark Senior Secured Loan Fund I LLC </w:t>
            </w:r>
            <w:r>
              <w:rPr>
                <w:rFonts w:ascii="Arial" w:cs="Arial" w:eastAsia="Arial" w:hAnsi="Arial"/>
                <w:sz w:val="10"/>
                <w:szCs w:val="10"/>
                <w:color w:val="auto"/>
              </w:rPr>
              <w:t>(10)</w:t>
            </w:r>
          </w:p>
        </w:tc>
        <w:tc>
          <w:tcPr>
            <w:tcW w:w="200" w:type="dxa"/>
            <w:vAlign w:val="bottom"/>
          </w:tcPr>
          <w:p>
            <w:pPr>
              <w:spacing w:after="0"/>
              <w:rPr>
                <w:sz w:val="12"/>
                <w:szCs w:val="12"/>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200" w:type="dxa"/>
            <w:vAlign w:val="bottom"/>
          </w:tcPr>
          <w:p>
            <w:pPr>
              <w:spacing w:after="0"/>
              <w:rPr>
                <w:sz w:val="12"/>
                <w:szCs w:val="12"/>
                <w:color w:val="auto"/>
              </w:rPr>
            </w:pPr>
          </w:p>
        </w:tc>
        <w:tc>
          <w:tcPr>
            <w:tcW w:w="66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10,800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10,800,000</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10,822,425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36,000,000</w:t>
            </w: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36,022,425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Investments—153.2%</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697,580,331</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1"/>
              </w:rPr>
              <w:t>698,929,681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Equivalents—10.7%</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tcPr>
          <w:p>
            <w:pPr>
              <w:spacing w:after="0" w:line="135" w:lineRule="exact"/>
              <w:rPr>
                <w:sz w:val="20"/>
                <w:szCs w:val="20"/>
                <w:color w:val="auto"/>
              </w:rPr>
            </w:pPr>
            <w:r>
              <w:rPr>
                <w:rFonts w:ascii="Arial" w:cs="Arial" w:eastAsia="Arial" w:hAnsi="Arial"/>
                <w:sz w:val="13"/>
                <w:szCs w:val="13"/>
                <w:color w:val="auto"/>
              </w:rPr>
              <w:t>BlackRock Federal FD Institutional 30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46,554,984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46,554,984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2,311,909</w:t>
            </w: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2,396,762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5"/>
              </w:rPr>
              <w:t>48,866,893</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48,951,746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Equivalents—163.9%</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746,447,224</w:t>
            </w: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747,881,427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Assets—(63.9)%</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(291,569,709)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24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456,311,718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60" w:hanging="436"/>
        <w:spacing w:after="0" w:line="222"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the Euro Interbank Offered Rate, or EURIBOR or “E,” or Prime rate, or “P.” All securities are subject to a LIBOR or Prime rate floor where a spread is provided, unless noted. The spread provided includes payment-in-kind, or PIK, interest and other fee rates, if any.</w:t>
      </w: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640" w:right="500" w:hanging="436"/>
        <w:spacing w:after="0" w:line="256" w:lineRule="auto"/>
        <w:tabs>
          <w:tab w:leader="none" w:pos="6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200" w:hanging="436"/>
        <w:spacing w:after="0" w:line="234"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640" w:right="52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3"/>
          <w:szCs w:val="13"/>
          <w:color w:val="auto"/>
        </w:rPr>
      </w:pP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640" w:hanging="436"/>
        <w:spacing w:after="0" w:line="234"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640" w:right="26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rFonts w:ascii="Arial" w:cs="Arial" w:eastAsia="Arial" w:hAnsi="Arial"/>
          <w:sz w:val="13"/>
          <w:szCs w:val="13"/>
          <w:color w:val="auto"/>
        </w:rPr>
      </w:pPr>
    </w:p>
    <w:p>
      <w:pPr>
        <w:ind w:left="640" w:right="120" w:hanging="436"/>
        <w:spacing w:after="0" w:line="234"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2017, qualifying assets represent 90% of our total assets and non-qualifying assets represent 10% of our total assets.</w:t>
      </w:r>
    </w:p>
    <w:p>
      <w:pPr>
        <w:spacing w:after="0" w:line="1" w:lineRule="exact"/>
        <w:rPr>
          <w:rFonts w:ascii="Arial" w:cs="Arial" w:eastAsia="Arial" w:hAnsi="Arial"/>
          <w:sz w:val="12"/>
          <w:szCs w:val="12"/>
          <w:color w:val="auto"/>
        </w:rPr>
      </w:pPr>
    </w:p>
    <w:p>
      <w:pPr>
        <w:ind w:left="640" w:hanging="436"/>
        <w:spacing w:after="0" w:line="216" w:lineRule="auto"/>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Par amount is denominated in Canadian Dollars (C$) or in Euros (€) as denoted.</w:t>
      </w:r>
    </w:p>
    <w:p>
      <w:pPr>
        <w:ind w:left="640" w:hanging="436"/>
        <w:spacing w:after="0"/>
        <w:tabs>
          <w:tab w:leader="none" w:pos="6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Investment is held through our Taxable Subsidiary (See Note 1).</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rPr>
              <w:t>Current</w:t>
            </w:r>
          </w:p>
        </w:tc>
        <w:tc>
          <w:tcPr>
            <w:tcW w:w="98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20" w:type="dxa"/>
            <w:vAlign w:val="bottom"/>
            <w:gridSpan w:val="2"/>
            <w:vMerge w:val="continue"/>
          </w:tcPr>
          <w:p>
            <w:pPr>
              <w:spacing w:after="0"/>
              <w:rPr>
                <w:sz w:val="13"/>
                <w:szCs w:val="13"/>
                <w:color w:val="auto"/>
              </w:rPr>
            </w:pPr>
          </w:p>
        </w:tc>
        <w:tc>
          <w:tcPr>
            <w:tcW w:w="720" w:type="dxa"/>
            <w:vAlign w:val="bottom"/>
          </w:tcPr>
          <w:p>
            <w:pPr>
              <w:ind w:left="140"/>
              <w:spacing w:after="0"/>
              <w:rPr>
                <w:sz w:val="20"/>
                <w:szCs w:val="20"/>
                <w:color w:val="auto"/>
              </w:rPr>
            </w:pPr>
            <w:r>
              <w:rPr>
                <w:rFonts w:ascii="Arial" w:cs="Arial" w:eastAsia="Arial" w:hAnsi="Arial"/>
                <w:sz w:val="13"/>
                <w:szCs w:val="13"/>
                <w:b w:val="1"/>
                <w:bCs w:val="1"/>
                <w:color w:val="auto"/>
              </w:rPr>
              <w:t>Maturity</w:t>
            </w: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1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1"/>
              </w:rPr>
              <w:t>Coupon</w:t>
            </w:r>
          </w:p>
        </w:tc>
        <w:tc>
          <w:tcPr>
            <w:tcW w:w="8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1"/>
              </w:rPr>
              <w:t xml:space="preserve">Investments in Non-Controlled, Non-Affiliated Portfolio Companies—159.3% </w:t>
            </w:r>
            <w:r>
              <w:rPr>
                <w:rFonts w:ascii="Arial" w:cs="Arial" w:eastAsia="Arial" w:hAnsi="Arial"/>
                <w:sz w:val="10"/>
                <w:szCs w:val="10"/>
                <w:b w:val="1"/>
                <w:bCs w:val="1"/>
                <w:color w:val="auto"/>
                <w:w w:val="91"/>
              </w:rPr>
              <w:t>(3), (4)</w:t>
            </w:r>
          </w:p>
        </w:tc>
        <w:tc>
          <w:tcPr>
            <w:tcW w:w="720" w:type="dxa"/>
            <w:vAlign w:val="bottom"/>
            <w:tcBorders>
              <w:top w:val="single" w:sz="8" w:color="auto"/>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Debt—145.9%</w:t>
            </w:r>
          </w:p>
        </w:tc>
        <w:tc>
          <w:tcPr>
            <w:tcW w:w="7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Advanced Cable Communications,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08/09/2021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$12,255,990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  12,250,000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08/09/2021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0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4,000,000</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02/28/2019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12,064,454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12,037,105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12,064,454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04/04/2022</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3,943,925</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3,925,777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3,946,410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American Bath Group,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10/02/2023</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2,970,000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2,992,500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American Scaffold</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03/31/2022</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4,937,500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4,866,801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4,888,125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AMF Bowling Centers,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09/19/2023</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15,000,000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14,850,608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14,931,300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12/21/2020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L+825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6,534,878</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6,462,308</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6,220,419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API Technologies Corp.</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04/22/2022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9,975,000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9,787,810</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9,825,375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11/15/2018</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5,125,684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5,042,414</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4,228,689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06/29/2020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3,498,670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3,462,806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3,498,670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06/03/2021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2,440,000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2,397,229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2,422,820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06/03/2021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L+1,225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2,415,653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2,442,679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06/30/2021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2,468,750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2,448,157</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2,370,000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07/08/2021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4,950,000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4,847,215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4,863,375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07/02/2020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L+700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4,962,500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4,930,912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4,850,844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CD&amp;R TZ Purchaser,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07/21/2023</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12,500,000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12,179,928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12,343,750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12/24/2019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9.00%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L+800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4,098,750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4,061,551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3,750,357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01/08/2019</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L+625</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4,828,571</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4,801,254</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4,732,000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and Publishing</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11/25/2020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10.75%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L+975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6,272,600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6,163,749</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6,272,600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11/25/2020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518,033</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12/21/2020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10,531,671</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10,451,145</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10,505,342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02/07/2022</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1,953,997</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1,970,000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DBI Holding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08/02/2021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89"/>
              </w:rPr>
              <w:t>10,000,000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9,900,163</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03/19/2018</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L+725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2,237,139</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2,225,615</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2,237,139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12/09/2020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5.50%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L+450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4,925,000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4,889,096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4,875,750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4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8"/>
              </w:rPr>
              <w:t>06/30/2020  Chemicals, Plastics and Rubber</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4,687,500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4,659,016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4,687,500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09/10/2020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8,550,000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8,513,835</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8,507,250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(10)</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09/10/2020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Education Networks of America,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05/06/2021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8.00%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L+700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8,641,304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8,599,431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8,598,098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Education Networks of America, Inc. (Revolver)</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05/06/2021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L+700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434,783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434,783</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434,783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Education Networks of America, Inc. (Revolver) </w:t>
            </w:r>
            <w:r>
              <w:rPr>
                <w:rFonts w:ascii="Arial" w:cs="Arial" w:eastAsia="Arial" w:hAnsi="Arial"/>
                <w:sz w:val="10"/>
                <w:szCs w:val="10"/>
                <w:color w:val="auto"/>
              </w:rPr>
              <w:t>(10)</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05/06/2021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100" w:type="dxa"/>
            <w:vAlign w:val="bottom"/>
          </w:tcPr>
          <w:p>
            <w:pPr>
              <w:spacing w:after="0"/>
              <w:rPr>
                <w:sz w:val="11"/>
                <w:szCs w:val="11"/>
                <w:color w:val="auto"/>
              </w:rPr>
            </w:pPr>
          </w:p>
        </w:tc>
        <w:tc>
          <w:tcPr>
            <w:tcW w:w="6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00" w:type="dxa"/>
            <w:vAlign w:val="bottom"/>
            <w:gridSpan w:val="2"/>
          </w:tcPr>
          <w:p>
            <w:pPr>
              <w:ind w:left="56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869,565</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Efficient Collaborative Retail Marketing Company,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06/15/2022</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Diversified and</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7.75%</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L+675</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89"/>
              </w:rPr>
              <w:t>10,972,500</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10,864,398</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10,972,500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Production</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07/01/2021</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4,937,500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4,875,844</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4,702,969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12/23/2021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L+400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4,925,000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4,884,041</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4,798,821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05/31/2019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L+525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3,890,000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3,867,640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3,880,275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Greenway Health,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11/04/2020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6,807,500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6,765,938</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6,620,294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tcPr>
          <w:p>
            <w:pPr>
              <w:spacing w:after="0" w:line="121" w:lineRule="exact"/>
              <w:rPr>
                <w:sz w:val="20"/>
                <w:szCs w:val="20"/>
                <w:color w:val="auto"/>
              </w:rPr>
            </w:pPr>
            <w:r>
              <w:rPr>
                <w:rFonts w:ascii="Arial" w:cs="Arial" w:eastAsia="Arial" w:hAnsi="Arial"/>
                <w:sz w:val="13"/>
                <w:szCs w:val="13"/>
                <w:color w:val="auto"/>
              </w:rPr>
              <w:t>GTCR Valor Companies, Inc.</w:t>
            </w:r>
          </w:p>
        </w:tc>
        <w:tc>
          <w:tcPr>
            <w:tcW w:w="720" w:type="dxa"/>
            <w:vAlign w:val="bottom"/>
          </w:tcPr>
          <w:p>
            <w:pPr>
              <w:ind w:left="100"/>
              <w:spacing w:after="0" w:line="121" w:lineRule="exact"/>
              <w:rPr>
                <w:sz w:val="20"/>
                <w:szCs w:val="20"/>
                <w:color w:val="auto"/>
              </w:rPr>
            </w:pPr>
            <w:r>
              <w:rPr>
                <w:rFonts w:ascii="Arial" w:cs="Arial" w:eastAsia="Arial" w:hAnsi="Arial"/>
                <w:sz w:val="13"/>
                <w:szCs w:val="13"/>
                <w:color w:val="auto"/>
                <w:w w:val="92"/>
              </w:rPr>
              <w:t>06/16/2023</w:t>
            </w:r>
          </w:p>
        </w:tc>
        <w:tc>
          <w:tcPr>
            <w:tcW w:w="1680" w:type="dxa"/>
            <w:vAlign w:val="bottom"/>
          </w:tcPr>
          <w:p>
            <w:pPr>
              <w:jc w:val="center"/>
              <w:spacing w:after="0" w:line="121" w:lineRule="exact"/>
              <w:rPr>
                <w:sz w:val="20"/>
                <w:szCs w:val="20"/>
                <w:color w:val="auto"/>
              </w:rPr>
            </w:pPr>
            <w:r>
              <w:rPr>
                <w:rFonts w:ascii="Arial" w:cs="Arial" w:eastAsia="Arial" w:hAnsi="Arial"/>
                <w:sz w:val="13"/>
                <w:szCs w:val="13"/>
                <w:color w:val="auto"/>
                <w:w w:val="88"/>
              </w:rPr>
              <w:t>Media: Broadcasting and</w:t>
            </w:r>
          </w:p>
        </w:tc>
        <w:tc>
          <w:tcPr>
            <w:tcW w:w="70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7.00%</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L+600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7,481,250</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7,191,975</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7,116,539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Subscription</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Harbortouch Payments,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05/31/2022</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Banking, Finance, Insurance</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6,956,250</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6,889,369</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7,025,812</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4"/>
              </w:rPr>
              <w:t>and Real Estate</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Highline Aftermarket Acquisition, LLC (f/k/a DYK Prime Acquisition, LLC)</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04/01/2022</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5.75%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7,312,500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7,244,146</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7,275,937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10/21/2020</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1,165,886</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1,153,016</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1,142,569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12/13/2019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L+475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2,624,730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2,610,592</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2,183,890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Hunter Defense Technologies, Inc. </w:t>
            </w:r>
            <w:r>
              <w:rPr>
                <w:rFonts w:ascii="Arial" w:cs="Arial" w:eastAsia="Arial" w:hAnsi="Arial"/>
                <w:sz w:val="10"/>
                <w:szCs w:val="10"/>
                <w:color w:val="auto"/>
              </w:rPr>
              <w:t>(8)</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08/05/2019</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6,256,250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6,218,559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5,505,500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11/04/2020</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L+625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6,225,820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6,133,990</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6,225,820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Idera, Inc.</w:t>
            </w:r>
          </w:p>
        </w:tc>
        <w:tc>
          <w:tcPr>
            <w:tcW w:w="7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04/09/2021</w:t>
            </w:r>
          </w:p>
        </w:tc>
        <w:tc>
          <w:tcPr>
            <w:tcW w:w="16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7,942,494</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7,293,179</w:t>
            </w: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7,684,363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0" w:type="dxa"/>
            <w:vAlign w:val="bottom"/>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720" w:type="dxa"/>
            <w:vAlign w:val="bottom"/>
          </w:tcPr>
          <w:p>
            <w:pPr>
              <w:ind w:left="100"/>
              <w:spacing w:after="0" w:line="135" w:lineRule="exact"/>
              <w:rPr>
                <w:sz w:val="20"/>
                <w:szCs w:val="20"/>
                <w:color w:val="auto"/>
              </w:rPr>
            </w:pPr>
            <w:r>
              <w:rPr>
                <w:rFonts w:ascii="Arial" w:cs="Arial" w:eastAsia="Arial" w:hAnsi="Arial"/>
                <w:sz w:val="13"/>
                <w:szCs w:val="13"/>
                <w:color w:val="auto"/>
                <w:w w:val="92"/>
              </w:rPr>
              <w:t>05/01/2019</w:t>
            </w:r>
          </w:p>
        </w:tc>
        <w:tc>
          <w:tcPr>
            <w:tcW w:w="16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7.25%</w:t>
            </w:r>
          </w:p>
        </w:tc>
        <w:tc>
          <w:tcPr>
            <w:tcW w:w="80" w:type="dxa"/>
            <w:vAlign w:val="bottom"/>
          </w:tcPr>
          <w:p>
            <w:pPr>
              <w:spacing w:after="0"/>
              <w:rPr>
                <w:sz w:val="11"/>
                <w:szCs w:val="11"/>
                <w:color w:val="auto"/>
              </w:rPr>
            </w:pPr>
          </w:p>
        </w:tc>
        <w:tc>
          <w:tcPr>
            <w:tcW w:w="9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L+600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8,676,097</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8,614,521</w:t>
            </w: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8,242,292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Imagine! Print Solutions, LLC</w:t>
            </w:r>
          </w:p>
        </w:tc>
        <w:tc>
          <w:tcPr>
            <w:tcW w:w="7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w w:val="92"/>
              </w:rPr>
              <w:t>03/30/2022</w:t>
            </w:r>
          </w:p>
        </w:tc>
        <w:tc>
          <w:tcPr>
            <w:tcW w:w="16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w:t>
            </w:r>
          </w:p>
        </w:tc>
        <w:tc>
          <w:tcPr>
            <w:tcW w:w="700" w:type="dxa"/>
            <w:vAlign w:val="bottom"/>
            <w:gridSpan w:val="3"/>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7.00%</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L+600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5,974,987</w:t>
            </w:r>
          </w:p>
        </w:tc>
        <w:tc>
          <w:tcPr>
            <w:tcW w:w="7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5,914,562</w:t>
            </w:r>
          </w:p>
        </w:tc>
        <w:tc>
          <w:tcPr>
            <w:tcW w:w="8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6,027,269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and Publishing</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0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720" w:type="dxa"/>
            <w:vAlign w:val="bottom"/>
          </w:tcPr>
          <w:p>
            <w:pPr>
              <w:ind w:left="100"/>
              <w:spacing w:after="0" w:line="121" w:lineRule="exact"/>
              <w:rPr>
                <w:sz w:val="20"/>
                <w:szCs w:val="20"/>
                <w:color w:val="auto"/>
              </w:rPr>
            </w:pPr>
            <w:r>
              <w:rPr>
                <w:rFonts w:ascii="Arial" w:cs="Arial" w:eastAsia="Arial" w:hAnsi="Arial"/>
                <w:sz w:val="13"/>
                <w:szCs w:val="13"/>
                <w:color w:val="auto"/>
                <w:w w:val="92"/>
              </w:rPr>
              <w:t>03/28/2019</w:t>
            </w:r>
          </w:p>
        </w:tc>
        <w:tc>
          <w:tcPr>
            <w:tcW w:w="168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w:t>
            </w:r>
          </w:p>
        </w:tc>
        <w:tc>
          <w:tcPr>
            <w:tcW w:w="700" w:type="dxa"/>
            <w:vAlign w:val="bottom"/>
            <w:gridSpan w:val="3"/>
          </w:tcPr>
          <w:p>
            <w:pPr>
              <w:jc w:val="right"/>
              <w:ind w:right="60"/>
              <w:spacing w:after="0" w:line="121" w:lineRule="exact"/>
              <w:rPr>
                <w:sz w:val="20"/>
                <w:szCs w:val="20"/>
                <w:color w:val="auto"/>
              </w:rPr>
            </w:pPr>
            <w:r>
              <w:rPr>
                <w:rFonts w:ascii="Arial" w:cs="Arial" w:eastAsia="Arial" w:hAnsi="Arial"/>
                <w:sz w:val="13"/>
                <w:szCs w:val="13"/>
                <w:color w:val="auto"/>
              </w:rPr>
              <w:t>5.50%</w:t>
            </w:r>
          </w:p>
        </w:tc>
        <w:tc>
          <w:tcPr>
            <w:tcW w:w="80" w:type="dxa"/>
            <w:vAlign w:val="bottom"/>
          </w:tcPr>
          <w:p>
            <w:pPr>
              <w:spacing w:after="0"/>
              <w:rPr>
                <w:sz w:val="10"/>
                <w:szCs w:val="10"/>
                <w:color w:val="auto"/>
              </w:rPr>
            </w:pPr>
          </w:p>
        </w:tc>
        <w:tc>
          <w:tcPr>
            <w:tcW w:w="90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L+450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5,277,938</w:t>
            </w:r>
          </w:p>
        </w:tc>
        <w:tc>
          <w:tcPr>
            <w:tcW w:w="7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5,235,239</w:t>
            </w:r>
          </w:p>
        </w:tc>
        <w:tc>
          <w:tcPr>
            <w:tcW w:w="8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5,277,938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9"/>
              </w:rPr>
              <w:t>and Publishing</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Basis Point</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22"/>
              <w:spacing w:after="0" w:line="135" w:lineRule="exact"/>
              <w:rPr>
                <w:sz w:val="20"/>
                <w:szCs w:val="20"/>
                <w:color w:val="auto"/>
              </w:rPr>
            </w:pPr>
            <w:r>
              <w:rPr>
                <w:rFonts w:ascii="Arial" w:cs="Arial" w:eastAsia="Arial" w:hAnsi="Arial"/>
                <w:sz w:val="13"/>
                <w:szCs w:val="13"/>
                <w:b w:val="1"/>
                <w:bCs w:val="1"/>
                <w:color w:val="auto"/>
                <w:w w:val="97"/>
              </w:rPr>
              <w:t>Current</w:t>
            </w: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10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Par /</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Industry</w:t>
            </w:r>
          </w:p>
        </w:tc>
        <w:tc>
          <w:tcPr>
            <w:tcW w:w="760" w:type="dxa"/>
            <w:vAlign w:val="bottom"/>
            <w:gridSpan w:val="2"/>
          </w:tcPr>
          <w:p>
            <w:pPr>
              <w:jc w:val="right"/>
              <w:ind w:right="222"/>
              <w:spacing w:after="0"/>
              <w:rPr>
                <w:sz w:val="20"/>
                <w:szCs w:val="20"/>
                <w:color w:val="auto"/>
              </w:rPr>
            </w:pPr>
            <w:r>
              <w:rPr>
                <w:rFonts w:ascii="Arial" w:cs="Arial" w:eastAsia="Arial" w:hAnsi="Arial"/>
                <w:sz w:val="13"/>
                <w:szCs w:val="13"/>
                <w:b w:val="1"/>
                <w:bCs w:val="1"/>
                <w:color w:val="auto"/>
                <w:w w:val="93"/>
              </w:rPr>
              <w:t>Coupon</w:t>
            </w:r>
          </w:p>
        </w:tc>
        <w:tc>
          <w:tcPr>
            <w:tcW w:w="10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rPr>
              <w:t>Cost</w:t>
            </w:r>
          </w:p>
        </w:tc>
        <w:tc>
          <w:tcPr>
            <w:tcW w:w="9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rPr>
              <w:t>Instant Web, LLC, Term Loan B</w:t>
            </w:r>
          </w:p>
        </w:tc>
        <w:tc>
          <w:tcPr>
            <w:tcW w:w="1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line="114" w:lineRule="exact"/>
              <w:rPr>
                <w:sz w:val="20"/>
                <w:szCs w:val="20"/>
                <w:color w:val="auto"/>
              </w:rPr>
            </w:pPr>
            <w:r>
              <w:rPr>
                <w:rFonts w:ascii="Arial" w:cs="Arial" w:eastAsia="Arial" w:hAnsi="Arial"/>
                <w:sz w:val="13"/>
                <w:szCs w:val="13"/>
                <w:color w:val="auto"/>
                <w:w w:val="86"/>
              </w:rPr>
              <w:t>03/28/2019</w:t>
            </w:r>
          </w:p>
        </w:tc>
        <w:tc>
          <w:tcPr>
            <w:tcW w:w="140" w:type="dxa"/>
            <w:vAlign w:val="bottom"/>
            <w:tcBorders>
              <w:top w:val="single" w:sz="8" w:color="CCEEFF"/>
            </w:tcBorders>
            <w:shd w:val="clear" w:color="auto" w:fill="CCEEFF"/>
          </w:tcPr>
          <w:p>
            <w:pPr>
              <w:spacing w:after="0"/>
              <w:rPr>
                <w:sz w:val="9"/>
                <w:szCs w:val="9"/>
                <w:color w:val="auto"/>
              </w:rPr>
            </w:pPr>
          </w:p>
        </w:tc>
        <w:tc>
          <w:tcPr>
            <w:tcW w:w="1620" w:type="dxa"/>
            <w:vAlign w:val="bottom"/>
            <w:tcBorders>
              <w:top w:val="single" w:sz="8" w:color="auto"/>
            </w:tcBorders>
            <w:shd w:val="clear" w:color="auto" w:fill="CCEEFF"/>
          </w:tcPr>
          <w:p>
            <w:pPr>
              <w:jc w:val="center"/>
              <w:spacing w:after="0" w:line="114" w:lineRule="exact"/>
              <w:rPr>
                <w:sz w:val="20"/>
                <w:szCs w:val="20"/>
                <w:color w:val="auto"/>
              </w:rPr>
            </w:pPr>
            <w:r>
              <w:rPr>
                <w:rFonts w:ascii="Arial" w:cs="Arial" w:eastAsia="Arial" w:hAnsi="Arial"/>
                <w:sz w:val="13"/>
                <w:szCs w:val="13"/>
                <w:color w:val="auto"/>
                <w:w w:val="90"/>
              </w:rPr>
              <w:t>Media: Advertising, Printing</w:t>
            </w:r>
          </w:p>
        </w:tc>
        <w:tc>
          <w:tcPr>
            <w:tcW w:w="1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12.00</w:t>
            </w:r>
          </w:p>
        </w:tc>
        <w:tc>
          <w:tcPr>
            <w:tcW w:w="220" w:type="dxa"/>
            <w:vAlign w:val="bottom"/>
            <w:tcBorders>
              <w:top w:val="single" w:sz="8" w:color="CCEEFF"/>
            </w:tcBorders>
            <w:shd w:val="clear" w:color="auto" w:fill="CCEEFF"/>
          </w:tcPr>
          <w:p>
            <w:pPr>
              <w:jc w:val="right"/>
              <w:ind w:right="62"/>
              <w:spacing w:after="0" w:line="114"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L+1,100</w:t>
            </w:r>
          </w:p>
        </w:tc>
        <w:tc>
          <w:tcPr>
            <w:tcW w:w="2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4,500,000</w:t>
            </w: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90"/>
              </w:rPr>
              <w:t>$ 4,460,571</w:t>
            </w:r>
          </w:p>
        </w:tc>
        <w:tc>
          <w:tcPr>
            <w:tcW w:w="1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4" w:lineRule="exact"/>
              <w:rPr>
                <w:sz w:val="20"/>
                <w:szCs w:val="20"/>
                <w:color w:val="auto"/>
              </w:rPr>
            </w:pPr>
            <w:r>
              <w:rPr>
                <w:rFonts w:ascii="Arial" w:cs="Arial" w:eastAsia="Arial" w:hAnsi="Arial"/>
                <w:sz w:val="13"/>
                <w:szCs w:val="13"/>
                <w:color w:val="auto"/>
                <w:w w:val="89"/>
              </w:rPr>
              <w:t>$   4,500,000</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89"/>
              </w:rPr>
              <w:t>and Publishing</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06/30/2020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9.00%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L+800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6,662,719</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6,609,864</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6,662,719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Inventus Power, Inc. (f/k/a ICC-Nexergy,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04/30/2020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4,882,266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4,846,935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4,686,976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Jackson Hewitt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07/30/2020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8.00%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4,820,995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4,753,000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262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w w:val="94"/>
              </w:rPr>
              <w:t>02/19/2021   Chemicals, Plastics and Rubber</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4,002,471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3,932,760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3,925,841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Kendra Scott,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07/17/2020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7.00%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2,827,307</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2,821,500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KHC Holdings,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10/31/2022</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5"/>
              </w:rPr>
              <w:t>Wholesale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12,406,250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12,210,683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12,344,219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10/30/2020</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5"/>
              </w:rPr>
              <w:t>Wholesale</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1,209,677</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Lago Resort &amp; Casino,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03/07/2022</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10.50%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L+950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10,174,500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9,984,965</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9,971,010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11/13/2020</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1,945,020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1,940,066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1,930,432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11/30/2018</w:t>
            </w:r>
          </w:p>
        </w:tc>
        <w:tc>
          <w:tcPr>
            <w:tcW w:w="1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5,407,864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5,371,524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5,272,668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05/10/2021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2,186,607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2,177,539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2,186,607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05/10/2021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282,143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280,973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282,143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Lombart Brothers,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04/13/2022</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7.75%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L+675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5,985,000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5,901,046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6,014,925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04/13/2022</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176,991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176,991</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176,991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Lombart Brothers, Inc. (Revolver) </w:t>
            </w:r>
            <w:r>
              <w:rPr>
                <w:rFonts w:ascii="Arial" w:cs="Arial" w:eastAsia="Arial" w:hAnsi="Arial"/>
                <w:sz w:val="10"/>
                <w:szCs w:val="10"/>
                <w:color w:val="auto"/>
              </w:rPr>
              <w:t>(8), (10)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04/13/2022</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1,061,947</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Long’s Drugs Incorporated</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08/19/2021</w:t>
            </w:r>
          </w:p>
        </w:tc>
        <w:tc>
          <w:tcPr>
            <w:tcW w:w="1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4,951,874</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01/15/2021</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10.00%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L+900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9,542,392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9,417,467</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9,542,392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2620" w:type="dxa"/>
            <w:vAlign w:val="bottom"/>
            <w:gridSpan w:val="5"/>
            <w:shd w:val="clear" w:color="auto" w:fill="CCEEFF"/>
          </w:tcPr>
          <w:p>
            <w:pPr>
              <w:ind w:left="140"/>
              <w:spacing w:after="0" w:line="135" w:lineRule="exact"/>
              <w:rPr>
                <w:sz w:val="20"/>
                <w:szCs w:val="20"/>
                <w:color w:val="auto"/>
              </w:rPr>
            </w:pPr>
            <w:r>
              <w:rPr>
                <w:rFonts w:ascii="Arial" w:cs="Arial" w:eastAsia="Arial" w:hAnsi="Arial"/>
                <w:sz w:val="13"/>
                <w:szCs w:val="13"/>
                <w:color w:val="auto"/>
                <w:w w:val="94"/>
              </w:rPr>
              <w:t>04/18/2022   Chemicals, Plastics and Rubber</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5.25%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5,431,250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4,973,326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5,254,734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line="121" w:lineRule="exact"/>
              <w:rPr>
                <w:sz w:val="20"/>
                <w:szCs w:val="20"/>
                <w:color w:val="auto"/>
              </w:rPr>
            </w:pPr>
            <w:r>
              <w:rPr>
                <w:rFonts w:ascii="Arial" w:cs="Arial" w:eastAsia="Arial" w:hAnsi="Arial"/>
                <w:sz w:val="13"/>
                <w:szCs w:val="13"/>
                <w:color w:val="auto"/>
              </w:rPr>
              <w:t>Marketplace Events LLC</w:t>
            </w:r>
          </w:p>
        </w:tc>
        <w:tc>
          <w:tcPr>
            <w:tcW w:w="720" w:type="dxa"/>
            <w:vAlign w:val="bottom"/>
            <w:gridSpan w:val="2"/>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tcPr>
          <w:p>
            <w:pPr>
              <w:spacing w:after="0"/>
              <w:rPr>
                <w:sz w:val="10"/>
                <w:szCs w:val="10"/>
                <w:color w:val="auto"/>
              </w:rPr>
            </w:pPr>
          </w:p>
        </w:tc>
        <w:tc>
          <w:tcPr>
            <w:tcW w:w="176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tcPr>
          <w:p>
            <w:pPr>
              <w:jc w:val="right"/>
              <w:ind w:right="62"/>
              <w:spacing w:after="0" w:line="121" w:lineRule="exact"/>
              <w:rPr>
                <w:sz w:val="20"/>
                <w:szCs w:val="20"/>
                <w:color w:val="auto"/>
              </w:rPr>
            </w:pPr>
            <w:r>
              <w:rPr>
                <w:rFonts w:ascii="Arial" w:cs="Arial" w:eastAsia="Arial" w:hAnsi="Arial"/>
                <w:sz w:val="13"/>
                <w:szCs w:val="13"/>
                <w:color w:val="auto"/>
              </w:rPr>
              <w:t>6.25%</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L+525</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1,362,530</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1,342,162</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1,342,092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Marketplace Events LLC </w:t>
            </w:r>
            <w:r>
              <w:rPr>
                <w:rFonts w:ascii="Arial" w:cs="Arial" w:eastAsia="Arial" w:hAnsi="Arial"/>
                <w:sz w:val="10"/>
                <w:szCs w:val="10"/>
                <w:color w:val="auto"/>
              </w:rPr>
              <w:t>(12)</w:t>
            </w:r>
          </w:p>
        </w:tc>
        <w:tc>
          <w:tcPr>
            <w:tcW w:w="72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shd w:val="clear" w:color="auto" w:fill="CCEEFF"/>
          </w:tcPr>
          <w:p>
            <w:pPr>
              <w:jc w:val="right"/>
              <w:ind w:right="62"/>
              <w:spacing w:after="0" w:line="121" w:lineRule="exact"/>
              <w:rPr>
                <w:sz w:val="20"/>
                <w:szCs w:val="20"/>
                <w:color w:val="auto"/>
              </w:rPr>
            </w:pPr>
            <w:r>
              <w:rPr>
                <w:rFonts w:ascii="Arial" w:cs="Arial" w:eastAsia="Arial" w:hAnsi="Arial"/>
                <w:sz w:val="13"/>
                <w:szCs w:val="13"/>
                <w:color w:val="auto"/>
              </w:rPr>
              <w:t>6.25%</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P+275</w:t>
            </w:r>
          </w:p>
        </w:tc>
        <w:tc>
          <w:tcPr>
            <w:tcW w:w="800" w:type="dxa"/>
            <w:vAlign w:val="bottom"/>
            <w:gridSpan w:val="2"/>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8"/>
              </w:rPr>
              <w:t>C$17,244,188</w:t>
            </w:r>
          </w:p>
        </w:tc>
        <w:tc>
          <w:tcPr>
            <w:tcW w:w="82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12,065,652</w:t>
            </w:r>
          </w:p>
        </w:tc>
        <w:tc>
          <w:tcPr>
            <w:tcW w:w="88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13,078,215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w:t>
            </w:r>
          </w:p>
        </w:tc>
        <w:tc>
          <w:tcPr>
            <w:tcW w:w="720" w:type="dxa"/>
            <w:vAlign w:val="bottom"/>
            <w:gridSpan w:val="2"/>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tcPr>
          <w:p>
            <w:pPr>
              <w:spacing w:after="0"/>
              <w:rPr>
                <w:sz w:val="10"/>
                <w:szCs w:val="10"/>
                <w:color w:val="auto"/>
              </w:rPr>
            </w:pPr>
          </w:p>
        </w:tc>
        <w:tc>
          <w:tcPr>
            <w:tcW w:w="176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tcPr>
          <w:p>
            <w:pPr>
              <w:jc w:val="right"/>
              <w:ind w:right="62"/>
              <w:spacing w:after="0" w:line="121" w:lineRule="exact"/>
              <w:rPr>
                <w:sz w:val="20"/>
                <w:szCs w:val="20"/>
                <w:color w:val="auto"/>
              </w:rPr>
            </w:pPr>
            <w:r>
              <w:rPr>
                <w:rFonts w:ascii="Arial" w:cs="Arial" w:eastAsia="Arial" w:hAnsi="Arial"/>
                <w:sz w:val="13"/>
                <w:szCs w:val="13"/>
                <w:color w:val="auto"/>
              </w:rPr>
              <w:t>6.25%</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P+275</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1,090,024</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1,090,024</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1,090,024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Marketplace Events LLC (Revolver) </w:t>
            </w:r>
            <w:r>
              <w:rPr>
                <w:rFonts w:ascii="Arial" w:cs="Arial" w:eastAsia="Arial" w:hAnsi="Arial"/>
                <w:sz w:val="10"/>
                <w:szCs w:val="10"/>
                <w:color w:val="auto"/>
              </w:rPr>
              <w:t>(8), (10)</w:t>
            </w:r>
          </w:p>
        </w:tc>
        <w:tc>
          <w:tcPr>
            <w:tcW w:w="720" w:type="dxa"/>
            <w:vAlign w:val="bottom"/>
            <w:gridSpan w:val="2"/>
            <w:shd w:val="clear" w:color="auto" w:fill="CCEEFF"/>
          </w:tcPr>
          <w:p>
            <w:pPr>
              <w:ind w:left="140"/>
              <w:spacing w:after="0" w:line="121" w:lineRule="exact"/>
              <w:rPr>
                <w:sz w:val="20"/>
                <w:szCs w:val="20"/>
                <w:color w:val="auto"/>
              </w:rPr>
            </w:pPr>
            <w:r>
              <w:rPr>
                <w:rFonts w:ascii="Arial" w:cs="Arial" w:eastAsia="Arial" w:hAnsi="Arial"/>
                <w:sz w:val="13"/>
                <w:szCs w:val="13"/>
                <w:color w:val="auto"/>
                <w:w w:val="86"/>
              </w:rPr>
              <w:t>01/27/2021</w:t>
            </w:r>
          </w:p>
        </w:tc>
        <w:tc>
          <w:tcPr>
            <w:tcW w:w="140" w:type="dxa"/>
            <w:vAlign w:val="bottom"/>
            <w:shd w:val="clear" w:color="auto" w:fill="CCEEFF"/>
          </w:tcPr>
          <w:p>
            <w:pPr>
              <w:spacing w:after="0"/>
              <w:rPr>
                <w:sz w:val="10"/>
                <w:szCs w:val="10"/>
                <w:color w:val="auto"/>
              </w:rPr>
            </w:pPr>
          </w:p>
        </w:tc>
        <w:tc>
          <w:tcPr>
            <w:tcW w:w="176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Media: Diversified and</w:t>
            </w:r>
          </w:p>
        </w:tc>
        <w:tc>
          <w:tcPr>
            <w:tcW w:w="760" w:type="dxa"/>
            <w:vAlign w:val="bottom"/>
            <w:gridSpan w:val="2"/>
            <w:shd w:val="clear" w:color="auto" w:fill="CCEEFF"/>
          </w:tcPr>
          <w:p>
            <w:pPr>
              <w:jc w:val="right"/>
              <w:ind w:right="242"/>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8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613,139</w:t>
            </w: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0"/>
              </w:rPr>
              <w:t>Production</w:t>
            </w: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Mission Critical Electronics, Inc. </w:t>
            </w:r>
            <w:r>
              <w:rPr>
                <w:rFonts w:ascii="Arial" w:cs="Arial" w:eastAsia="Arial" w:hAnsi="Arial"/>
                <w:sz w:val="10"/>
                <w:szCs w:val="10"/>
                <w:color w:val="auto"/>
              </w:rPr>
              <w:t>(8)</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09/28/2022</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4,116,608</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4,075,499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4,075,442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Mission Critical Electronics, Inc. (Revolver) </w:t>
            </w:r>
            <w:r>
              <w:rPr>
                <w:rFonts w:ascii="Arial" w:cs="Arial" w:eastAsia="Arial" w:hAnsi="Arial"/>
                <w:sz w:val="10"/>
                <w:szCs w:val="10"/>
                <w:color w:val="auto"/>
              </w:rPr>
              <w:t>(8), (10)</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09/28/2021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883,392</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New Trident HoldCorp,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07/31/2019</w:t>
            </w:r>
          </w:p>
        </w:tc>
        <w:tc>
          <w:tcPr>
            <w:tcW w:w="1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L+525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8,817,647</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8,767,669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8,288,588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08/19/2022</w:t>
            </w:r>
          </w:p>
        </w:tc>
        <w:tc>
          <w:tcPr>
            <w:tcW w:w="1900" w:type="dxa"/>
            <w:vAlign w:val="bottom"/>
            <w:gridSpan w:val="3"/>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6,268,657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6,205,970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6,205,970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Pathway Partners Vet Management Company LLC </w:t>
            </w:r>
            <w:r>
              <w:rPr>
                <w:rFonts w:ascii="Arial" w:cs="Arial" w:eastAsia="Arial" w:hAnsi="Arial"/>
                <w:sz w:val="10"/>
                <w:szCs w:val="10"/>
                <w:color w:val="auto"/>
              </w:rPr>
              <w:t>(8), (10)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08/19/2022</w:t>
            </w:r>
          </w:p>
        </w:tc>
        <w:tc>
          <w:tcPr>
            <w:tcW w:w="1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3,731,343</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Polycom,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09/27/2023</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5,760,000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5,775,000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Precyse Acquisition Corp.</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10/20/2022</w:t>
            </w:r>
          </w:p>
        </w:tc>
        <w:tc>
          <w:tcPr>
            <w:tcW w:w="190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3,990,000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3,932,956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4,014,938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11/01/2018</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7,528,230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7,473,587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7,490,588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05/20/2021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7,281,762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7,222,561</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7,281,762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(10)</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05/20/2020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9"/>
              </w:rPr>
              <w:t>Environmental Industries</w:t>
            </w:r>
          </w:p>
        </w:tc>
        <w:tc>
          <w:tcPr>
            <w:tcW w:w="76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2,459,016</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Quick Weight Loss Centers,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08/23/2021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9,852,456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03/18/2021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6,895,000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6,867,800</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6,688,150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06/18/2019</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8.50%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4,252,830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4,233,671</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4,258,699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08/07/2020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6.75%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L+575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4,218,750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4,166,413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4,163,400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Sensus USA,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04/05/2023</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Utilities: Water</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9,975,000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9,692,511</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9,999,938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Snak Club,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07/19/2021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4,968,748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4,896,623</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4,919,060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Snak Club, LLC (Revolver) </w:t>
            </w:r>
            <w:r>
              <w:rPr>
                <w:rFonts w:ascii="Arial" w:cs="Arial" w:eastAsia="Arial" w:hAnsi="Arial"/>
                <w:sz w:val="10"/>
                <w:szCs w:val="10"/>
                <w:color w:val="auto"/>
              </w:rPr>
              <w:t>(10)</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07/19/2021</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Beverage, Food and Tobacco</w:t>
            </w:r>
          </w:p>
        </w:tc>
        <w:tc>
          <w:tcPr>
            <w:tcW w:w="760" w:type="dxa"/>
            <w:vAlign w:val="bottom"/>
            <w:gridSpan w:val="2"/>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500,000</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Software Paradigms International Group,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05/21/2021</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9,875,000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9,781,596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9,825,625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04/21/2017</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9.00%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L+750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5,668,843</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5,614,696</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5,640,499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Sundial Group Holdings LLC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10/19/2021</w:t>
            </w:r>
          </w:p>
        </w:tc>
        <w:tc>
          <w:tcPr>
            <w:tcW w:w="190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7.25%</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L+625</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7,312,500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7,200,786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7,312,500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12/16/2020</w:t>
            </w:r>
          </w:p>
        </w:tc>
        <w:tc>
          <w:tcPr>
            <w:tcW w:w="140" w:type="dxa"/>
            <w:vAlign w:val="bottom"/>
          </w:tcPr>
          <w:p>
            <w:pPr>
              <w:spacing w:after="0"/>
              <w:rPr>
                <w:sz w:val="11"/>
                <w:szCs w:val="11"/>
                <w:color w:val="auto"/>
              </w:rPr>
            </w:pPr>
          </w:p>
        </w:tc>
        <w:tc>
          <w:tcPr>
            <w:tcW w:w="17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86"/>
              </w:rPr>
              <w:t>Business Services</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7,446,562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7,395,200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7,409,329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10/18/2019</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L+400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5,850,000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5,834,217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5,733,000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Tensar Corporation</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07/09/2021</w:t>
            </w:r>
          </w:p>
        </w:tc>
        <w:tc>
          <w:tcPr>
            <w:tcW w:w="140" w:type="dxa"/>
            <w:vAlign w:val="bottom"/>
          </w:tcPr>
          <w:p>
            <w:pPr>
              <w:spacing w:after="0"/>
              <w:rPr>
                <w:sz w:val="11"/>
                <w:szCs w:val="11"/>
                <w:color w:val="auto"/>
              </w:rPr>
            </w:pPr>
          </w:p>
        </w:tc>
        <w:tc>
          <w:tcPr>
            <w:tcW w:w="176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5.75%</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L+475</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4,822,723</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4,786,985</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4,071,198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Co. </w:t>
            </w:r>
            <w:r>
              <w:rPr>
                <w:rFonts w:ascii="Arial" w:cs="Arial" w:eastAsia="Arial" w:hAnsi="Arial"/>
                <w:sz w:val="10"/>
                <w:szCs w:val="10"/>
                <w:color w:val="auto"/>
              </w:rPr>
              <w:t>(6), (11)</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07/20/2021</w:t>
            </w:r>
          </w:p>
        </w:tc>
        <w:tc>
          <w:tcPr>
            <w:tcW w:w="190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3,092,295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3,062,366</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3,061,372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 xml:space="preserve">The Original Cakerie Ltd. </w:t>
            </w:r>
            <w:r>
              <w:rPr>
                <w:rFonts w:ascii="Arial" w:cs="Arial" w:eastAsia="Arial" w:hAnsi="Arial"/>
                <w:sz w:val="10"/>
                <w:szCs w:val="10"/>
                <w:color w:val="auto"/>
              </w:rPr>
              <w:t>(6), (11)</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07/20/2021</w:t>
            </w:r>
          </w:p>
        </w:tc>
        <w:tc>
          <w:tcPr>
            <w:tcW w:w="190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6.00%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L+500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5,986,002</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5,928,120</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5,926,142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The Original Cakerie Ltd. (Revolver) </w:t>
            </w:r>
            <w:r>
              <w:rPr>
                <w:rFonts w:ascii="Arial" w:cs="Arial" w:eastAsia="Arial" w:hAnsi="Arial"/>
                <w:sz w:val="10"/>
                <w:szCs w:val="10"/>
                <w:color w:val="auto"/>
              </w:rPr>
              <w:t>(6), (8), (10), (11)</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07/20/2021</w:t>
            </w:r>
          </w:p>
        </w:tc>
        <w:tc>
          <w:tcPr>
            <w:tcW w:w="1900" w:type="dxa"/>
            <w:vAlign w:val="bottom"/>
            <w:gridSpan w:val="3"/>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shd w:val="clear" w:color="auto" w:fill="CCEEFF"/>
          </w:tcPr>
          <w:p>
            <w:pPr>
              <w:jc w:val="right"/>
              <w:ind w:right="242"/>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1,418,484</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line="135" w:lineRule="exact"/>
              <w:rPr>
                <w:sz w:val="20"/>
                <w:szCs w:val="20"/>
                <w:color w:val="auto"/>
              </w:rPr>
            </w:pPr>
            <w:r>
              <w:rPr>
                <w:rFonts w:ascii="Arial" w:cs="Arial" w:eastAsia="Arial" w:hAnsi="Arial"/>
                <w:sz w:val="13"/>
                <w:szCs w:val="13"/>
                <w:color w:val="auto"/>
              </w:rPr>
              <w:t>TOMS Shoes, LLC</w:t>
            </w:r>
          </w:p>
        </w:tc>
        <w:tc>
          <w:tcPr>
            <w:tcW w:w="72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86"/>
              </w:rPr>
              <w:t>11/02/2020</w:t>
            </w:r>
          </w:p>
        </w:tc>
        <w:tc>
          <w:tcPr>
            <w:tcW w:w="190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gridSpan w:val="2"/>
          </w:tcPr>
          <w:p>
            <w:pPr>
              <w:jc w:val="right"/>
              <w:ind w:right="62"/>
              <w:spacing w:after="0" w:line="135" w:lineRule="exact"/>
              <w:rPr>
                <w:sz w:val="20"/>
                <w:szCs w:val="20"/>
                <w:color w:val="auto"/>
              </w:rPr>
            </w:pPr>
            <w:r>
              <w:rPr>
                <w:rFonts w:ascii="Arial" w:cs="Arial" w:eastAsia="Arial" w:hAnsi="Arial"/>
                <w:sz w:val="13"/>
                <w:szCs w:val="13"/>
                <w:color w:val="auto"/>
              </w:rPr>
              <w:t>6.50%</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L+550</w:t>
            </w: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1,970,000</w:t>
            </w: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1,825,559</w:t>
            </w: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1,576,000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7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86"/>
              </w:rPr>
              <w:t>12/28/2020</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Capital Equipment</w:t>
            </w:r>
          </w:p>
        </w:tc>
        <w:tc>
          <w:tcPr>
            <w:tcW w:w="760" w:type="dxa"/>
            <w:vAlign w:val="bottom"/>
            <w:gridSpan w:val="2"/>
            <w:shd w:val="clear" w:color="auto" w:fill="CCEEFF"/>
          </w:tcPr>
          <w:p>
            <w:pPr>
              <w:jc w:val="right"/>
              <w:ind w:right="62"/>
              <w:spacing w:after="0" w:line="135" w:lineRule="exact"/>
              <w:rPr>
                <w:sz w:val="20"/>
                <w:szCs w:val="20"/>
                <w:color w:val="auto"/>
              </w:rPr>
            </w:pPr>
            <w:r>
              <w:rPr>
                <w:rFonts w:ascii="Arial" w:cs="Arial" w:eastAsia="Arial" w:hAnsi="Arial"/>
                <w:sz w:val="13"/>
                <w:szCs w:val="13"/>
                <w:color w:val="auto"/>
              </w:rPr>
              <w:t>11.27%</w:t>
            </w:r>
          </w:p>
        </w:tc>
        <w:tc>
          <w:tcPr>
            <w:tcW w:w="1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(9)</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10,306,936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10,124,477</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10,306,936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980" w:type="dxa"/>
            <w:vAlign w:val="bottom"/>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720" w:type="dxa"/>
            <w:vAlign w:val="bottom"/>
            <w:gridSpan w:val="2"/>
          </w:tcPr>
          <w:p>
            <w:pPr>
              <w:ind w:left="140"/>
              <w:spacing w:after="0" w:line="121" w:lineRule="exact"/>
              <w:rPr>
                <w:sz w:val="20"/>
                <w:szCs w:val="20"/>
                <w:color w:val="auto"/>
              </w:rPr>
            </w:pPr>
            <w:r>
              <w:rPr>
                <w:rFonts w:ascii="Arial" w:cs="Arial" w:eastAsia="Arial" w:hAnsi="Arial"/>
                <w:sz w:val="13"/>
                <w:szCs w:val="13"/>
                <w:color w:val="auto"/>
                <w:w w:val="86"/>
              </w:rPr>
              <w:t>01/14/2019</w:t>
            </w:r>
          </w:p>
        </w:tc>
        <w:tc>
          <w:tcPr>
            <w:tcW w:w="140" w:type="dxa"/>
            <w:vAlign w:val="bottom"/>
          </w:tcPr>
          <w:p>
            <w:pPr>
              <w:spacing w:after="0"/>
              <w:rPr>
                <w:sz w:val="10"/>
                <w:szCs w:val="10"/>
                <w:color w:val="auto"/>
              </w:rPr>
            </w:pPr>
          </w:p>
        </w:tc>
        <w:tc>
          <w:tcPr>
            <w:tcW w:w="1760" w:type="dxa"/>
            <w:vAlign w:val="bottom"/>
            <w:gridSpan w:val="2"/>
          </w:tcPr>
          <w:p>
            <w:pPr>
              <w:jc w:val="center"/>
              <w:ind w:right="160"/>
              <w:spacing w:after="0" w:line="121" w:lineRule="exact"/>
              <w:rPr>
                <w:sz w:val="20"/>
                <w:szCs w:val="20"/>
                <w:color w:val="auto"/>
              </w:rPr>
            </w:pPr>
            <w:r>
              <w:rPr>
                <w:rFonts w:ascii="Arial" w:cs="Arial" w:eastAsia="Arial" w:hAnsi="Arial"/>
                <w:sz w:val="13"/>
                <w:szCs w:val="13"/>
                <w:color w:val="auto"/>
                <w:w w:val="87"/>
              </w:rPr>
              <w:t>Telecommunications</w:t>
            </w:r>
          </w:p>
        </w:tc>
        <w:tc>
          <w:tcPr>
            <w:tcW w:w="760" w:type="dxa"/>
            <w:vAlign w:val="bottom"/>
            <w:gridSpan w:val="2"/>
          </w:tcPr>
          <w:p>
            <w:pPr>
              <w:jc w:val="right"/>
              <w:ind w:right="62"/>
              <w:spacing w:after="0" w:line="121" w:lineRule="exact"/>
              <w:rPr>
                <w:sz w:val="20"/>
                <w:szCs w:val="20"/>
                <w:color w:val="auto"/>
              </w:rPr>
            </w:pPr>
            <w:r>
              <w:rPr>
                <w:rFonts w:ascii="Arial" w:cs="Arial" w:eastAsia="Arial" w:hAnsi="Arial"/>
                <w:sz w:val="13"/>
                <w:szCs w:val="13"/>
                <w:color w:val="auto"/>
              </w:rPr>
              <w:t>9.50%</w:t>
            </w:r>
          </w:p>
        </w:tc>
        <w:tc>
          <w:tcPr>
            <w:tcW w:w="100" w:type="dxa"/>
            <w:vAlign w:val="bottom"/>
          </w:tcPr>
          <w:p>
            <w:pPr>
              <w:spacing w:after="0"/>
              <w:rPr>
                <w:sz w:val="10"/>
                <w:szCs w:val="10"/>
                <w:color w:val="auto"/>
              </w:rPr>
            </w:pPr>
          </w:p>
        </w:tc>
        <w:tc>
          <w:tcPr>
            <w:tcW w:w="96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L+850</w:t>
            </w:r>
          </w:p>
        </w:tc>
        <w:tc>
          <w:tcPr>
            <w:tcW w:w="8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256,971</w:t>
            </w:r>
          </w:p>
        </w:tc>
        <w:tc>
          <w:tcPr>
            <w:tcW w:w="82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256,971</w:t>
            </w:r>
          </w:p>
        </w:tc>
        <w:tc>
          <w:tcPr>
            <w:tcW w:w="88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256,971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3"/>
                <w:szCs w:val="13"/>
                <w:color w:val="auto"/>
                <w:w w:val="94"/>
              </w:rPr>
              <w:t>(PIK 1.00%)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2"/>
              <w:spacing w:after="0" w:line="135" w:lineRule="exact"/>
              <w:rPr>
                <w:sz w:val="20"/>
                <w:szCs w:val="20"/>
                <w:color w:val="auto"/>
              </w:rPr>
            </w:pPr>
            <w:r>
              <w:rPr>
                <w:rFonts w:ascii="Arial" w:cs="Arial" w:eastAsia="Arial" w:hAnsi="Arial"/>
                <w:sz w:val="13"/>
                <w:szCs w:val="13"/>
                <w:b w:val="1"/>
                <w:bCs w:val="1"/>
                <w:color w:val="auto"/>
              </w:rPr>
              <w:t>Current</w:t>
            </w:r>
          </w:p>
        </w:tc>
        <w:tc>
          <w:tcPr>
            <w:tcW w:w="11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6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3"/>
                <w:szCs w:val="13"/>
                <w:b w:val="1"/>
                <w:bCs w:val="1"/>
                <w:color w:val="auto"/>
              </w:rPr>
              <w:t>Maturity</w:t>
            </w:r>
          </w:p>
        </w:tc>
        <w:tc>
          <w:tcPr>
            <w:tcW w:w="10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Industry</w:t>
            </w:r>
          </w:p>
        </w:tc>
        <w:tc>
          <w:tcPr>
            <w:tcW w:w="820" w:type="dxa"/>
            <w:vAlign w:val="bottom"/>
            <w:gridSpan w:val="2"/>
          </w:tcPr>
          <w:p>
            <w:pPr>
              <w:jc w:val="right"/>
              <w:ind w:right="242"/>
              <w:spacing w:after="0"/>
              <w:rPr>
                <w:sz w:val="20"/>
                <w:szCs w:val="20"/>
                <w:color w:val="auto"/>
              </w:rPr>
            </w:pPr>
            <w:r>
              <w:rPr>
                <w:rFonts w:ascii="Arial" w:cs="Arial" w:eastAsia="Arial" w:hAnsi="Arial"/>
                <w:sz w:val="13"/>
                <w:szCs w:val="13"/>
                <w:b w:val="1"/>
                <w:bCs w:val="1"/>
                <w:color w:val="auto"/>
              </w:rPr>
              <w:t>Coupon</w:t>
            </w:r>
          </w:p>
        </w:tc>
        <w:tc>
          <w:tcPr>
            <w:tcW w:w="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940" w:type="dxa"/>
            <w:vAlign w:val="bottom"/>
            <w:gridSpan w:val="4"/>
          </w:tcPr>
          <w:p>
            <w:pPr>
              <w:ind w:left="1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6"/>
              </w:rPr>
              <w:t>01/14/2019</w:t>
            </w: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Telecommunications</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8.50</w:t>
            </w:r>
          </w:p>
        </w:tc>
        <w:tc>
          <w:tcPr>
            <w:tcW w:w="200" w:type="dxa"/>
            <w:vAlign w:val="bottom"/>
            <w:tcBorders>
              <w:top w:val="single" w:sz="8" w:color="CCEEFF"/>
            </w:tcBorders>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L+750</w:t>
            </w:r>
          </w:p>
        </w:tc>
        <w:tc>
          <w:tcPr>
            <w:tcW w:w="2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599,702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562,432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590,706</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01/14/2019</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151,090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Universal Fiber Systems, LLC</w:t>
            </w:r>
          </w:p>
        </w:tc>
        <w:tc>
          <w:tcPr>
            <w:tcW w:w="2520" w:type="dxa"/>
            <w:vAlign w:val="bottom"/>
            <w:gridSpan w:val="5"/>
            <w:shd w:val="clear" w:color="auto" w:fill="CCEEFF"/>
          </w:tcPr>
          <w:p>
            <w:pPr>
              <w:ind w:left="100"/>
              <w:spacing w:after="0" w:line="135" w:lineRule="exact"/>
              <w:rPr>
                <w:sz w:val="20"/>
                <w:szCs w:val="20"/>
                <w:color w:val="auto"/>
              </w:rPr>
            </w:pPr>
            <w:r>
              <w:rPr>
                <w:rFonts w:ascii="Arial" w:cs="Arial" w:eastAsia="Arial" w:hAnsi="Arial"/>
                <w:sz w:val="13"/>
                <w:szCs w:val="13"/>
                <w:color w:val="auto"/>
                <w:w w:val="93"/>
              </w:rPr>
              <w:t>10/04/2021  Chemicals, Plastics and Rubber</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6.50%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L+550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4,962,500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4,919,423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4,937,688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U.S. Anesthesia Partners, Inc.</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12/31/2019</w:t>
            </w:r>
          </w:p>
        </w:tc>
        <w:tc>
          <w:tcPr>
            <w:tcW w:w="100" w:type="dxa"/>
            <w:vAlign w:val="bottom"/>
          </w:tcPr>
          <w:p>
            <w:pPr>
              <w:spacing w:after="0"/>
              <w:rPr>
                <w:sz w:val="11"/>
                <w:szCs w:val="11"/>
                <w:color w:val="auto"/>
              </w:rPr>
            </w:pP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6.00%</w:t>
            </w:r>
          </w:p>
        </w:tc>
        <w:tc>
          <w:tcPr>
            <w:tcW w:w="8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L+500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9,818,407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9,850,500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08/13/2021</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6"/>
              </w:rPr>
              <w:t>Healthcare and Pharmaceuticals</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L+900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3,089,844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3,089,844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3,089,844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Vistage Worldwide, Inc.</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08/19/2021</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8"/>
              </w:rPr>
              <w:t>Media: Broadcasting and</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6.50%</w:t>
            </w:r>
          </w:p>
        </w:tc>
        <w:tc>
          <w:tcPr>
            <w:tcW w:w="80" w:type="dxa"/>
            <w:vAlign w:val="bottom"/>
          </w:tcPr>
          <w:p>
            <w:pPr>
              <w:spacing w:after="0"/>
              <w:rPr>
                <w:sz w:val="10"/>
                <w:szCs w:val="10"/>
                <w:color w:val="auto"/>
              </w:rPr>
            </w:pPr>
          </w:p>
        </w:tc>
        <w:tc>
          <w:tcPr>
            <w:tcW w:w="10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L+550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4,792,831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4,752,002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4,792,831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Subscription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Winchester Electronics Corporation</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06/30/2022</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Capital Equipment</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L+650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7,773,579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7,703,094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7,668,171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Winchester Electronics Corporation </w:t>
            </w:r>
            <w:r>
              <w:rPr>
                <w:rFonts w:ascii="Arial" w:cs="Arial" w:eastAsia="Arial" w:hAnsi="Arial"/>
                <w:sz w:val="10"/>
                <w:szCs w:val="10"/>
                <w:color w:val="auto"/>
              </w:rPr>
              <w:t>(10)</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06/30/2022</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Capital Equipment</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708,333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(9,605)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2520" w:type="dxa"/>
            <w:vAlign w:val="bottom"/>
            <w:gridSpan w:val="5"/>
            <w:shd w:val="clear" w:color="auto" w:fill="CCEEFF"/>
          </w:tcPr>
          <w:p>
            <w:pPr>
              <w:ind w:left="100"/>
              <w:spacing w:after="0" w:line="121" w:lineRule="exact"/>
              <w:rPr>
                <w:sz w:val="20"/>
                <w:szCs w:val="20"/>
                <w:color w:val="auto"/>
              </w:rPr>
            </w:pPr>
            <w:r>
              <w:rPr>
                <w:rFonts w:ascii="Arial" w:cs="Arial" w:eastAsia="Arial" w:hAnsi="Arial"/>
                <w:sz w:val="13"/>
                <w:szCs w:val="13"/>
                <w:color w:val="auto"/>
                <w:w w:val="91"/>
              </w:rPr>
              <w:t>10/30/2020  Banking, Finance, Insurance and</w:t>
            </w:r>
          </w:p>
        </w:tc>
        <w:tc>
          <w:tcPr>
            <w:tcW w:w="820" w:type="dxa"/>
            <w:vAlign w:val="bottom"/>
            <w:gridSpan w:val="2"/>
            <w:shd w:val="clear" w:color="auto" w:fill="CCEEFF"/>
          </w:tcPr>
          <w:p>
            <w:pPr>
              <w:jc w:val="right"/>
              <w:ind w:right="42"/>
              <w:spacing w:after="0" w:line="121" w:lineRule="exact"/>
              <w:rPr>
                <w:sz w:val="20"/>
                <w:szCs w:val="20"/>
                <w:color w:val="auto"/>
              </w:rPr>
            </w:pPr>
            <w:r>
              <w:rPr>
                <w:rFonts w:ascii="Arial" w:cs="Arial" w:eastAsia="Arial" w:hAnsi="Arial"/>
                <w:sz w:val="13"/>
                <w:szCs w:val="13"/>
                <w:color w:val="auto"/>
              </w:rPr>
              <w:t>9.00%</w:t>
            </w: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L+800</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7,316,440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7,259,010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7,316,440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First Lien Secured Debt</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549,736,982</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548,410,095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Debt—9.7%</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10/31/2018</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8.50%</w:t>
            </w:r>
          </w:p>
        </w:tc>
        <w:tc>
          <w:tcPr>
            <w:tcW w:w="80" w:type="dxa"/>
            <w:vAlign w:val="bottom"/>
          </w:tcPr>
          <w:p>
            <w:pPr>
              <w:spacing w:after="0"/>
              <w:rPr>
                <w:sz w:val="11"/>
                <w:szCs w:val="11"/>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L+700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942,276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879,170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09/01/2017</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0"/>
              </w:rPr>
              <w:t>Metals and Mining</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(7)</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252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93"/>
              </w:rPr>
              <w:t>12/31/2020  Chemicals, Plastics and Rubber</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11.34%</w:t>
            </w:r>
          </w:p>
        </w:tc>
        <w:tc>
          <w:tcPr>
            <w:tcW w:w="80" w:type="dxa"/>
            <w:vAlign w:val="bottom"/>
          </w:tcPr>
          <w:p>
            <w:pPr>
              <w:spacing w:after="0"/>
              <w:rPr>
                <w:sz w:val="11"/>
                <w:szCs w:val="11"/>
                <w:color w:val="auto"/>
              </w:rPr>
            </w:pPr>
          </w:p>
        </w:tc>
        <w:tc>
          <w:tcPr>
            <w:tcW w:w="10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(9)</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1,971,030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2,020,000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09/30/2020</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5"/>
              </w:rPr>
              <w:t>Wholesale</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11.00%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L+1,000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10,511,818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MailSouth, Inc.</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10/22/2021</w:t>
            </w:r>
          </w:p>
        </w:tc>
        <w:tc>
          <w:tcPr>
            <w:tcW w:w="1840" w:type="dxa"/>
            <w:vAlign w:val="bottom"/>
            <w:gridSpan w:val="3"/>
          </w:tcPr>
          <w:p>
            <w:pPr>
              <w:jc w:val="center"/>
              <w:ind w:right="20"/>
              <w:spacing w:after="0" w:line="121" w:lineRule="exact"/>
              <w:rPr>
                <w:sz w:val="20"/>
                <w:szCs w:val="20"/>
                <w:color w:val="auto"/>
              </w:rPr>
            </w:pPr>
            <w:r>
              <w:rPr>
                <w:rFonts w:ascii="Arial" w:cs="Arial" w:eastAsia="Arial" w:hAnsi="Arial"/>
                <w:sz w:val="13"/>
                <w:szCs w:val="13"/>
                <w:color w:val="auto"/>
                <w:w w:val="90"/>
              </w:rPr>
              <w:t>Media: Advertising, Printing and</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11.50%</w:t>
            </w:r>
          </w:p>
        </w:tc>
        <w:tc>
          <w:tcPr>
            <w:tcW w:w="80" w:type="dxa"/>
            <w:vAlign w:val="bottom"/>
          </w:tcPr>
          <w:p>
            <w:pPr>
              <w:spacing w:after="0"/>
              <w:rPr>
                <w:sz w:val="10"/>
                <w:szCs w:val="10"/>
                <w:color w:val="auto"/>
              </w:rPr>
            </w:pPr>
          </w:p>
        </w:tc>
        <w:tc>
          <w:tcPr>
            <w:tcW w:w="10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L+1,050</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3,775,000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3,703,724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3,775,000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Publishing</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07/07/2021</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12.25%</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L+1,100</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11,000,000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10,914,618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11,000,000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10/02/2020</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 Diversified and</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9.00%</w:t>
            </w:r>
          </w:p>
        </w:tc>
        <w:tc>
          <w:tcPr>
            <w:tcW w:w="80" w:type="dxa"/>
            <w:vAlign w:val="bottom"/>
          </w:tcPr>
          <w:p>
            <w:pPr>
              <w:spacing w:after="0"/>
              <w:rPr>
                <w:sz w:val="10"/>
                <w:szCs w:val="10"/>
                <w:color w:val="auto"/>
              </w:rPr>
            </w:pPr>
          </w:p>
        </w:tc>
        <w:tc>
          <w:tcPr>
            <w:tcW w:w="102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L+775</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4,872,042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4,826,926</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4,853,772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Production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08/01/2017</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Energy: Oil and Gas</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12.50%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2,812,500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2,756,732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1,631,250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680" w:type="dxa"/>
            <w:vAlign w:val="bottom"/>
            <w:gridSpan w:val="2"/>
          </w:tcPr>
          <w:p>
            <w:pPr>
              <w:ind w:left="100"/>
              <w:spacing w:after="0" w:line="135" w:lineRule="exact"/>
              <w:rPr>
                <w:sz w:val="20"/>
                <w:szCs w:val="20"/>
                <w:color w:val="auto"/>
              </w:rPr>
            </w:pPr>
            <w:r>
              <w:rPr>
                <w:rFonts w:ascii="Arial" w:cs="Arial" w:eastAsia="Arial" w:hAnsi="Arial"/>
                <w:sz w:val="13"/>
                <w:szCs w:val="13"/>
                <w:color w:val="auto"/>
                <w:w w:val="86"/>
              </w:rPr>
              <w:t>01/30/2023</w:t>
            </w:r>
          </w:p>
        </w:tc>
        <w:tc>
          <w:tcPr>
            <w:tcW w:w="100" w:type="dxa"/>
            <w:vAlign w:val="bottom"/>
          </w:tcPr>
          <w:p>
            <w:pPr>
              <w:spacing w:after="0"/>
              <w:rPr>
                <w:sz w:val="12"/>
                <w:szCs w:val="12"/>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Business Services</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10.75%</w:t>
            </w:r>
          </w:p>
        </w:tc>
        <w:tc>
          <w:tcPr>
            <w:tcW w:w="80" w:type="dxa"/>
            <w:vAlign w:val="bottom"/>
          </w:tcPr>
          <w:p>
            <w:pPr>
              <w:spacing w:after="0"/>
              <w:rPr>
                <w:sz w:val="12"/>
                <w:szCs w:val="12"/>
                <w:color w:val="auto"/>
              </w:rPr>
            </w:pPr>
          </w:p>
        </w:tc>
        <w:tc>
          <w:tcPr>
            <w:tcW w:w="102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L+975</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1,837,500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1,777,304</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1,837,500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38,404,428</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36,596,692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(6), (11)</w:t>
            </w:r>
          </w:p>
        </w:tc>
        <w:tc>
          <w:tcPr>
            <w:tcW w:w="6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w w:val="86"/>
              </w:rPr>
              <w:t>07/30/2018</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7.50%</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1,135,273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1,030,320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1,035,937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680" w:type="dxa"/>
            <w:vAlign w:val="bottom"/>
            <w:gridSpan w:val="2"/>
          </w:tcPr>
          <w:p>
            <w:pPr>
              <w:ind w:left="100"/>
              <w:spacing w:after="0" w:line="121" w:lineRule="exact"/>
              <w:rPr>
                <w:sz w:val="20"/>
                <w:szCs w:val="20"/>
                <w:color w:val="auto"/>
              </w:rPr>
            </w:pPr>
            <w:r>
              <w:rPr>
                <w:rFonts w:ascii="Arial" w:cs="Arial" w:eastAsia="Arial" w:hAnsi="Arial"/>
                <w:sz w:val="13"/>
                <w:szCs w:val="13"/>
                <w:color w:val="auto"/>
                <w:w w:val="86"/>
              </w:rPr>
              <w:t>10/26/2018</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High Tech Industries</w:t>
            </w:r>
          </w:p>
        </w:tc>
        <w:tc>
          <w:tcPr>
            <w:tcW w:w="820" w:type="dxa"/>
            <w:vAlign w:val="bottom"/>
            <w:gridSpan w:val="2"/>
          </w:tcPr>
          <w:p>
            <w:pPr>
              <w:jc w:val="right"/>
              <w:ind w:right="42"/>
              <w:spacing w:after="0" w:line="121" w:lineRule="exact"/>
              <w:rPr>
                <w:sz w:val="20"/>
                <w:szCs w:val="20"/>
                <w:color w:val="auto"/>
              </w:rPr>
            </w:pPr>
            <w:r>
              <w:rPr>
                <w:rFonts w:ascii="Arial" w:cs="Arial" w:eastAsia="Arial" w:hAnsi="Arial"/>
                <w:sz w:val="13"/>
                <w:szCs w:val="13"/>
                <w:color w:val="auto"/>
              </w:rPr>
              <w:t>13.00%</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2,069,078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2,050,767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1,975,969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
              <w:spacing w:after="0"/>
              <w:rPr>
                <w:sz w:val="20"/>
                <w:szCs w:val="20"/>
                <w:color w:val="auto"/>
              </w:rPr>
            </w:pPr>
            <w:r>
              <w:rPr>
                <w:rFonts w:ascii="Arial" w:cs="Arial" w:eastAsia="Arial" w:hAnsi="Arial"/>
                <w:sz w:val="13"/>
                <w:szCs w:val="13"/>
                <w:color w:val="auto"/>
              </w:rPr>
              <w:t>(PIK 1.75%)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UniTek Global Services, Inc.</w:t>
            </w:r>
          </w:p>
        </w:tc>
        <w:tc>
          <w:tcPr>
            <w:tcW w:w="680" w:type="dxa"/>
            <w:vAlign w:val="bottom"/>
            <w:gridSpan w:val="2"/>
            <w:shd w:val="clear" w:color="auto" w:fill="CCEEFF"/>
          </w:tcPr>
          <w:p>
            <w:pPr>
              <w:ind w:left="100"/>
              <w:spacing w:after="0" w:line="121" w:lineRule="exact"/>
              <w:rPr>
                <w:sz w:val="20"/>
                <w:szCs w:val="20"/>
                <w:color w:val="auto"/>
              </w:rPr>
            </w:pPr>
            <w:r>
              <w:rPr>
                <w:rFonts w:ascii="Arial" w:cs="Arial" w:eastAsia="Arial" w:hAnsi="Arial"/>
                <w:sz w:val="13"/>
                <w:szCs w:val="13"/>
                <w:color w:val="auto"/>
                <w:w w:val="86"/>
              </w:rPr>
              <w:t>07/15/2019</w:t>
            </w:r>
          </w:p>
        </w:tc>
        <w:tc>
          <w:tcPr>
            <w:tcW w:w="10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shd w:val="clear" w:color="auto" w:fill="CCEEFF"/>
          </w:tcPr>
          <w:p>
            <w:pPr>
              <w:jc w:val="right"/>
              <w:ind w:right="42"/>
              <w:spacing w:after="0" w:line="121" w:lineRule="exact"/>
              <w:rPr>
                <w:sz w:val="20"/>
                <w:szCs w:val="20"/>
                <w:color w:val="auto"/>
              </w:rPr>
            </w:pPr>
            <w:r>
              <w:rPr>
                <w:rFonts w:ascii="Arial" w:cs="Arial" w:eastAsia="Arial" w:hAnsi="Arial"/>
                <w:sz w:val="13"/>
                <w:szCs w:val="13"/>
                <w:color w:val="auto"/>
              </w:rPr>
              <w:t>15.00%</w:t>
            </w: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146,996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146,996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148,466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
              <w:spacing w:after="0"/>
              <w:rPr>
                <w:sz w:val="20"/>
                <w:szCs w:val="20"/>
                <w:color w:val="auto"/>
              </w:rPr>
            </w:pPr>
            <w:r>
              <w:rPr>
                <w:rFonts w:ascii="Arial" w:cs="Arial" w:eastAsia="Arial" w:hAnsi="Arial"/>
                <w:sz w:val="13"/>
                <w:szCs w:val="13"/>
                <w:color w:val="auto"/>
                <w:w w:val="95"/>
              </w:rPr>
              <w:t>(PIK 15.00%)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Subordinated Debt/Corporate Notes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3,228,083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3,160,372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UniTek Global Services, Inc.</w:t>
            </w:r>
          </w:p>
        </w:tc>
        <w:tc>
          <w:tcPr>
            <w:tcW w:w="100" w:type="dxa"/>
            <w:vAlign w:val="bottom"/>
          </w:tcPr>
          <w:p>
            <w:pPr>
              <w:spacing w:after="0"/>
              <w:rPr>
                <w:sz w:val="12"/>
                <w:szCs w:val="12"/>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13.50%</w:t>
            </w:r>
          </w:p>
        </w:tc>
        <w:tc>
          <w:tcPr>
            <w:tcW w:w="80" w:type="dxa"/>
            <w:vAlign w:val="bottom"/>
          </w:tcPr>
          <w:p>
            <w:pPr>
              <w:spacing w:after="0"/>
              <w:rPr>
                <w:sz w:val="12"/>
                <w:szCs w:val="12"/>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1,047,317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670,283</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1,319,308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Equity/Warrants—2.5% </w:t>
            </w:r>
            <w:r>
              <w:rPr>
                <w:rFonts w:ascii="Arial" w:cs="Arial" w:eastAsia="Arial" w:hAnsi="Arial"/>
                <w:sz w:val="10"/>
                <w:szCs w:val="10"/>
                <w:b w:val="1"/>
                <w:bCs w:val="1"/>
                <w:color w:val="auto"/>
              </w:rPr>
              <w:t>(7), (8)</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99,029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3,514,572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3,700,216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1,186,649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1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Aerospace and Defense</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621,550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Aerospace and Defense</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tcPr>
          <w:p>
            <w:pPr>
              <w:spacing w:after="0" w:line="135" w:lineRule="exact"/>
              <w:rPr>
                <w:sz w:val="20"/>
                <w:szCs w:val="20"/>
                <w:color w:val="auto"/>
              </w:rPr>
            </w:pPr>
            <w:r>
              <w:rPr>
                <w:rFonts w:ascii="Arial" w:cs="Arial" w:eastAsia="Arial" w:hAnsi="Arial"/>
                <w:sz w:val="13"/>
                <w:szCs w:val="13"/>
                <w:color w:val="auto"/>
              </w:rPr>
              <w:t>e.l.f. Beauty, Inc. (f/k/a J.A. Cosmetics US, Inc.)</w:t>
            </w:r>
          </w:p>
        </w:tc>
        <w:tc>
          <w:tcPr>
            <w:tcW w:w="100" w:type="dxa"/>
            <w:vAlign w:val="bottom"/>
          </w:tcPr>
          <w:p>
            <w:pPr>
              <w:spacing w:after="0"/>
              <w:rPr>
                <w:sz w:val="11"/>
                <w:szCs w:val="11"/>
                <w:color w:val="auto"/>
              </w:rPr>
            </w:pPr>
          </w:p>
        </w:tc>
        <w:tc>
          <w:tcPr>
            <w:tcW w:w="580" w:type="dxa"/>
            <w:vAlign w:val="bottom"/>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Goods: Durable</w:t>
            </w:r>
          </w:p>
        </w:tc>
        <w:tc>
          <w:tcPr>
            <w:tcW w:w="82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110,399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295,670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2,957,767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Construction and Building</w:t>
            </w:r>
          </w:p>
        </w:tc>
        <w:tc>
          <w:tcPr>
            <w:tcW w:w="82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58,044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94,560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Patriot National, Inc.</w:t>
            </w:r>
          </w:p>
        </w:tc>
        <w:tc>
          <w:tcPr>
            <w:tcW w:w="10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3"/>
                <w:szCs w:val="13"/>
                <w:color w:val="auto"/>
              </w:rPr>
              <w:t>—</w:t>
            </w:r>
          </w:p>
        </w:tc>
        <w:tc>
          <w:tcPr>
            <w:tcW w:w="1840" w:type="dxa"/>
            <w:vAlign w:val="bottom"/>
            <w:gridSpan w:val="3"/>
          </w:tcPr>
          <w:p>
            <w:pPr>
              <w:jc w:val="center"/>
              <w:spacing w:after="0" w:line="121" w:lineRule="exact"/>
              <w:rPr>
                <w:sz w:val="20"/>
                <w:szCs w:val="20"/>
                <w:color w:val="auto"/>
              </w:rPr>
            </w:pPr>
            <w:r>
              <w:rPr>
                <w:rFonts w:ascii="Arial" w:cs="Arial" w:eastAsia="Arial" w:hAnsi="Arial"/>
                <w:sz w:val="13"/>
                <w:szCs w:val="13"/>
                <w:color w:val="auto"/>
                <w:w w:val="86"/>
              </w:rPr>
              <w:t>Banking, Finance, Insurance and</w:t>
            </w:r>
          </w:p>
        </w:tc>
        <w:tc>
          <w:tcPr>
            <w:tcW w:w="8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11,867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27,995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106,922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Real Estate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TPC Broadband Investors, LP</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74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shd w:val="clear" w:color="auto" w:fill="CCEEFF"/>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430,666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430,666</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430,666</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(Advanced Cable Communications, LLC)</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TPC Broadband Investors, LP</w:t>
            </w:r>
          </w:p>
        </w:tc>
        <w:tc>
          <w:tcPr>
            <w:tcW w:w="10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569,334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00" w:type="dxa"/>
            <w:vAlign w:val="bottom"/>
          </w:tcPr>
          <w:p>
            <w:pPr>
              <w:ind w:left="100"/>
              <w:spacing w:after="0"/>
              <w:rPr>
                <w:sz w:val="20"/>
                <w:szCs w:val="20"/>
                <w:color w:val="auto"/>
              </w:rPr>
            </w:pPr>
            <w:r>
              <w:rPr>
                <w:rFonts w:ascii="Arial" w:cs="Arial" w:eastAsia="Arial" w:hAnsi="Arial"/>
                <w:sz w:val="13"/>
                <w:szCs w:val="13"/>
                <w:color w:val="auto"/>
              </w:rPr>
              <w:t xml:space="preserve">(Advanced Cable Communications, LLC) </w:t>
            </w:r>
            <w:r>
              <w:rPr>
                <w:rFonts w:ascii="Arial" w:cs="Arial" w:eastAsia="Arial" w:hAnsi="Arial"/>
                <w:sz w:val="10"/>
                <w:szCs w:val="10"/>
                <w:color w:val="auto"/>
              </w:rPr>
              <w:t>(10)</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UniTek Global Services, Inc.</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ind w:left="180"/>
              <w:spacing w:after="0" w:line="138"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87"/>
              </w:rPr>
              <w:t>Telecommunications</w:t>
            </w:r>
          </w:p>
        </w:tc>
        <w:tc>
          <w:tcPr>
            <w:tcW w:w="820" w:type="dxa"/>
            <w:vAlign w:val="bottom"/>
            <w:gridSpan w:val="2"/>
            <w:shd w:val="clear" w:color="auto" w:fill="CCEEFF"/>
          </w:tcPr>
          <w:p>
            <w:pPr>
              <w:ind w:left="420"/>
              <w:spacing w:after="0" w:line="13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340"/>
              <w:spacing w:after="0" w:line="138"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149,617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892,276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00" w:type="dxa"/>
            <w:vAlign w:val="bottom"/>
          </w:tcPr>
          <w:p>
            <w:pPr>
              <w:spacing w:after="0" w:line="121" w:lineRule="exact"/>
              <w:rPr>
                <w:sz w:val="20"/>
                <w:szCs w:val="20"/>
                <w:color w:val="auto"/>
              </w:rPr>
            </w:pPr>
            <w:r>
              <w:rPr>
                <w:rFonts w:ascii="Arial" w:cs="Arial" w:eastAsia="Arial" w:hAnsi="Arial"/>
                <w:sz w:val="13"/>
                <w:szCs w:val="13"/>
                <w:color w:val="auto"/>
              </w:rPr>
              <w:t>Vestcom Parent Holdings, Inc.</w:t>
            </w:r>
          </w:p>
        </w:tc>
        <w:tc>
          <w:tcPr>
            <w:tcW w:w="100" w:type="dxa"/>
            <w:vAlign w:val="bottom"/>
          </w:tcPr>
          <w:p>
            <w:pPr>
              <w:spacing w:after="0"/>
              <w:rPr>
                <w:sz w:val="10"/>
                <w:szCs w:val="10"/>
                <w:color w:val="auto"/>
              </w:rPr>
            </w:pPr>
          </w:p>
        </w:tc>
        <w:tc>
          <w:tcPr>
            <w:tcW w:w="580" w:type="dxa"/>
            <w:vAlign w:val="bottom"/>
          </w:tcPr>
          <w:p>
            <w:pPr>
              <w:ind w:left="1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90"/>
              </w:rPr>
              <w:t>Media: Advertising,</w:t>
            </w:r>
          </w:p>
        </w:tc>
        <w:tc>
          <w:tcPr>
            <w:tcW w:w="820" w:type="dxa"/>
            <w:vAlign w:val="bottom"/>
            <w:gridSpan w:val="2"/>
          </w:tcPr>
          <w:p>
            <w:pPr>
              <w:ind w:left="42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21" w:lineRule="exact"/>
              <w:rPr>
                <w:sz w:val="20"/>
                <w:szCs w:val="20"/>
                <w:color w:val="auto"/>
              </w:rPr>
            </w:pPr>
            <w:r>
              <w:rPr>
                <w:rFonts w:ascii="Arial" w:cs="Arial" w:eastAsia="Arial" w:hAnsi="Arial"/>
                <w:sz w:val="13"/>
                <w:szCs w:val="13"/>
                <w:color w:val="auto"/>
              </w:rPr>
              <w:t>15,179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56,895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577,005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Printing and Publishing</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Equity/Warrants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5,870,491</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9,401,058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2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3"/>
              </w:rPr>
              <w:t>Total Investments in Non-Controlled, Non-Affiliated Portfolio Companies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597,910,267</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85"/>
              </w:rPr>
              <w:t>598,887,525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2"/>
          </w:tcPr>
          <w:p>
            <w:pPr>
              <w:ind w:left="380"/>
              <w:spacing w:after="0" w:line="135" w:lineRule="exact"/>
              <w:rPr>
                <w:sz w:val="20"/>
                <w:szCs w:val="20"/>
                <w:color w:val="auto"/>
              </w:rPr>
            </w:pPr>
            <w:r>
              <w:rPr>
                <w:rFonts w:ascii="Arial" w:cs="Arial" w:eastAsia="Arial" w:hAnsi="Arial"/>
                <w:sz w:val="13"/>
                <w:szCs w:val="13"/>
                <w:b w:val="1"/>
                <w:bCs w:val="1"/>
                <w:color w:val="auto"/>
                <w:w w:val="93"/>
              </w:rPr>
              <w:t>Current</w:t>
            </w:r>
          </w:p>
        </w:tc>
        <w:tc>
          <w:tcPr>
            <w:tcW w:w="1180" w:type="dxa"/>
            <w:vAlign w:val="bottom"/>
            <w:gridSpan w:val="2"/>
          </w:tcPr>
          <w:p>
            <w:pPr>
              <w:jc w:val="center"/>
              <w:ind w:left="357"/>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440" w:type="dxa"/>
            <w:vAlign w:val="bottom"/>
          </w:tcPr>
          <w:p>
            <w:pPr>
              <w:spacing w:after="0"/>
              <w:rPr>
                <w:sz w:val="11"/>
                <w:szCs w:val="11"/>
                <w:color w:val="auto"/>
              </w:rPr>
            </w:pPr>
          </w:p>
        </w:tc>
        <w:tc>
          <w:tcPr>
            <w:tcW w:w="860" w:type="dxa"/>
            <w:vAlign w:val="bottom"/>
            <w:gridSpan w:val="3"/>
          </w:tcPr>
          <w:p>
            <w:pPr>
              <w:jc w:val="right"/>
              <w:ind w:right="560"/>
              <w:spacing w:after="0" w:line="135" w:lineRule="exact"/>
              <w:rPr>
                <w:sz w:val="20"/>
                <w:szCs w:val="20"/>
                <w:color w:val="auto"/>
              </w:rPr>
            </w:pPr>
            <w:r>
              <w:rPr>
                <w:rFonts w:ascii="Arial" w:cs="Arial" w:eastAsia="Arial" w:hAnsi="Arial"/>
                <w:sz w:val="13"/>
                <w:szCs w:val="13"/>
                <w:b w:val="1"/>
                <w:bCs w:val="1"/>
                <w:color w:val="auto"/>
                <w:w w:val="99"/>
              </w:rPr>
              <w:t>Par /</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80" w:type="dxa"/>
            <w:vAlign w:val="bottom"/>
            <w:gridSpan w:val="2"/>
            <w:vMerge w:val="continue"/>
          </w:tcPr>
          <w:p>
            <w:pPr>
              <w:spacing w:after="0"/>
              <w:rPr>
                <w:sz w:val="13"/>
                <w:szCs w:val="13"/>
                <w:color w:val="auto"/>
              </w:rPr>
            </w:pPr>
          </w:p>
        </w:tc>
        <w:tc>
          <w:tcPr>
            <w:tcW w:w="880" w:type="dxa"/>
            <w:vAlign w:val="bottom"/>
            <w:gridSpan w:val="2"/>
          </w:tcPr>
          <w:p>
            <w:pPr>
              <w:ind w:left="380"/>
              <w:spacing w:after="0"/>
              <w:rPr>
                <w:sz w:val="20"/>
                <w:szCs w:val="20"/>
                <w:color w:val="auto"/>
              </w:rPr>
            </w:pPr>
            <w:r>
              <w:rPr>
                <w:rFonts w:ascii="Arial" w:cs="Arial" w:eastAsia="Arial" w:hAnsi="Arial"/>
                <w:sz w:val="13"/>
                <w:szCs w:val="13"/>
                <w:b w:val="1"/>
                <w:bCs w:val="1"/>
                <w:color w:val="auto"/>
                <w:w w:val="94"/>
              </w:rPr>
              <w:t>Maturity</w:t>
            </w:r>
          </w:p>
        </w:tc>
        <w:tc>
          <w:tcPr>
            <w:tcW w:w="860" w:type="dxa"/>
            <w:vAlign w:val="bottom"/>
            <w:gridSpan w:val="2"/>
          </w:tcPr>
          <w:p>
            <w:pPr>
              <w:ind w:left="380"/>
              <w:spacing w:after="0"/>
              <w:rPr>
                <w:sz w:val="20"/>
                <w:szCs w:val="20"/>
                <w:color w:val="auto"/>
              </w:rPr>
            </w:pPr>
            <w:r>
              <w:rPr>
                <w:rFonts w:ascii="Arial" w:cs="Arial" w:eastAsia="Arial" w:hAnsi="Arial"/>
                <w:sz w:val="13"/>
                <w:szCs w:val="13"/>
                <w:b w:val="1"/>
                <w:bCs w:val="1"/>
                <w:color w:val="auto"/>
                <w:w w:val="89"/>
              </w:rPr>
              <w:t>Industry</w:t>
            </w:r>
          </w:p>
        </w:tc>
        <w:tc>
          <w:tcPr>
            <w:tcW w:w="38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3"/>
                <w:szCs w:val="13"/>
                <w:b w:val="1"/>
                <w:bCs w:val="1"/>
                <w:color w:val="auto"/>
                <w:w w:val="85"/>
              </w:rPr>
              <w:t>Coupon</w:t>
            </w: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130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640" w:type="dxa"/>
            <w:vAlign w:val="bottom"/>
          </w:tcPr>
          <w:p>
            <w:pPr>
              <w:jc w:val="right"/>
              <w:ind w:right="177"/>
              <w:spacing w:after="0"/>
              <w:rPr>
                <w:sz w:val="20"/>
                <w:szCs w:val="20"/>
                <w:color w:val="auto"/>
              </w:rPr>
            </w:pPr>
            <w:r>
              <w:rPr>
                <w:rFonts w:ascii="Arial" w:cs="Arial" w:eastAsia="Arial" w:hAnsi="Arial"/>
                <w:sz w:val="13"/>
                <w:szCs w:val="13"/>
                <w:b w:val="1"/>
                <w:bCs w:val="1"/>
                <w:color w:val="auto"/>
              </w:rPr>
              <w:t>Cost</w:t>
            </w:r>
          </w:p>
        </w:tc>
        <w:tc>
          <w:tcPr>
            <w:tcW w:w="42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and Cash Equivalents—7.7%</w:t>
            </w:r>
          </w:p>
        </w:tc>
        <w:tc>
          <w:tcPr>
            <w:tcW w:w="3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line="135" w:lineRule="exact"/>
              <w:rPr>
                <w:sz w:val="20"/>
                <w:szCs w:val="20"/>
                <w:color w:val="auto"/>
              </w:rPr>
            </w:pPr>
            <w:r>
              <w:rPr>
                <w:rFonts w:ascii="Arial" w:cs="Arial" w:eastAsia="Arial" w:hAnsi="Arial"/>
                <w:sz w:val="13"/>
                <w:szCs w:val="13"/>
                <w:color w:val="auto"/>
                <w:w w:val="91"/>
              </w:rPr>
              <w:t>BlackRock Liquidity Funds, Temp Cash and Temp Fund, Institutional Shares</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2"/>
              </w:rPr>
              <w:t>28,212,041</w:t>
            </w:r>
          </w:p>
        </w:tc>
        <w:tc>
          <w:tcPr>
            <w:tcW w:w="480" w:type="dxa"/>
            <w:vAlign w:val="bottom"/>
            <w:gridSpan w:val="2"/>
          </w:tcPr>
          <w:p>
            <w:pPr>
              <w:ind w:left="420"/>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28,212,041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691,318</w:t>
            </w:r>
          </w:p>
        </w:tc>
        <w:tc>
          <w:tcPr>
            <w:tcW w:w="4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698,932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Total Cash and Cash Equivalents</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2"/>
              </w:rPr>
              <w:t>28,903,359</w:t>
            </w:r>
          </w:p>
        </w:tc>
        <w:tc>
          <w:tcPr>
            <w:tcW w:w="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28,910,973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Equivalents—167.0%</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gridSpan w:val="4"/>
            <w:shd w:val="clear" w:color="auto" w:fill="CCEEFF"/>
          </w:tcPr>
          <w:p>
            <w:pPr>
              <w:jc w:val="right"/>
              <w:ind w:right="20"/>
              <w:spacing w:after="0" w:line="135" w:lineRule="exact"/>
              <w:rPr>
                <w:sz w:val="20"/>
                <w:szCs w:val="20"/>
                <w:color w:val="auto"/>
              </w:rPr>
            </w:pPr>
            <w:r>
              <w:rPr>
                <w:rFonts w:ascii="Arial" w:cs="Arial" w:eastAsia="Arial" w:hAnsi="Arial"/>
                <w:sz w:val="13"/>
                <w:szCs w:val="13"/>
                <w:u w:val="single" w:color="auto"/>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626,813,626</w:t>
            </w:r>
          </w:p>
        </w:tc>
        <w:tc>
          <w:tcPr>
            <w:tcW w:w="48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627,798,498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Assets—(67.0)%</w:t>
            </w: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w w:val="81"/>
              </w:rPr>
              <w:t>(251,891,670)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3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420"/>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375,906,828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320" w:hanging="436"/>
        <w:spacing w:after="0" w:line="224"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spacing w:after="0" w:line="1" w:lineRule="exact"/>
        <w:rPr>
          <w:rFonts w:ascii="Arial" w:cs="Arial" w:eastAsia="Arial" w:hAnsi="Arial"/>
          <w:sz w:val="13"/>
          <w:szCs w:val="13"/>
          <w:color w:val="auto"/>
        </w:rPr>
      </w:pP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640" w:right="500" w:hanging="436"/>
        <w:spacing w:after="0" w:line="256" w:lineRule="auto"/>
        <w:tabs>
          <w:tab w:leader="none" w:pos="6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640" w:right="200" w:hanging="436"/>
        <w:spacing w:after="0" w:line="234" w:lineRule="auto"/>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640" w:right="3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spacing w:after="0" w:line="1" w:lineRule="exact"/>
        <w:rPr>
          <w:rFonts w:ascii="Arial" w:cs="Arial" w:eastAsia="Arial" w:hAnsi="Arial"/>
          <w:sz w:val="13"/>
          <w:szCs w:val="13"/>
          <w:color w:val="auto"/>
        </w:rPr>
      </w:pP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640" w:hanging="436"/>
        <w:spacing w:after="0" w:line="234" w:lineRule="auto"/>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64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640" w:right="26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1" w:lineRule="exact"/>
        <w:rPr>
          <w:rFonts w:ascii="Arial" w:cs="Arial" w:eastAsia="Arial" w:hAnsi="Arial"/>
          <w:sz w:val="13"/>
          <w:szCs w:val="13"/>
          <w:color w:val="auto"/>
        </w:rPr>
      </w:pPr>
    </w:p>
    <w:p>
      <w:pPr>
        <w:ind w:left="640" w:right="120" w:hanging="436"/>
        <w:spacing w:after="0" w:line="216" w:lineRule="auto"/>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3"/>
          <w:szCs w:val="13"/>
          <w:color w:val="auto"/>
        </w:rPr>
      </w:pPr>
    </w:p>
    <w:p>
      <w:pPr>
        <w:ind w:left="640" w:hanging="436"/>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Par amount is denominated in Canadian Dollars.</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investment objectives are to generate current income and capital appreciation while seeking to preserve capital. We seek to achieve our investment objective by investing primarily in loans bearing a variable-rate of interest, or Floating Rate Loans, and other investments made to U.S. middle-market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mezzanine debt, which we define as second lien secured and subordinated debt, and, to a lesser extent, equity investments.</w:t>
      </w:r>
    </w:p>
    <w:p>
      <w:pPr>
        <w:spacing w:after="0" w:line="182"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81"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$375 million at LIBOR plus 200 basis points during the revolving period. The Credit Facility is secured by all of the assets held by Funding I. See Note 10.</w:t>
      </w:r>
    </w:p>
    <w:p>
      <w:pPr>
        <w:spacing w:after="0" w:line="15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allowing us to maintain our ability to qualify as a RIC under the Code.</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In February 2017, we completed a follow-on public offering of 5,750,000 shares of common stock, which resulted in proceeds to us of $14.08 per share, including the exercise of the underwriters’ option to purchase additional shares, for gross proceeds of $81.0 million and net proceeds of</w:t>
      </w:r>
    </w:p>
    <w:p>
      <w:pPr>
        <w:ind w:left="200" w:right="180"/>
        <w:spacing w:after="0" w:line="261" w:lineRule="auto"/>
        <w:rPr>
          <w:sz w:val="20"/>
          <w:szCs w:val="20"/>
          <w:color w:val="auto"/>
        </w:rPr>
      </w:pPr>
      <w:r>
        <w:rPr>
          <w:rFonts w:ascii="Arial" w:cs="Arial" w:eastAsia="Arial" w:hAnsi="Arial"/>
          <w:sz w:val="18"/>
          <w:szCs w:val="18"/>
          <w:color w:val="auto"/>
        </w:rPr>
        <w:t>$80.5 million after offering expenses. Our Investment Adviser paid $5.0 million in connection with this offering, which included the sales load and an additional supplemental payment.</w:t>
      </w:r>
    </w:p>
    <w:p>
      <w:pPr>
        <w:spacing w:after="0" w:line="184"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In May 2017, we and Trinity Universal Insurance Company, or Trinity, a subsidiary of Kemper Corporation (NYSE: KMPR), or Kemper, formed PSSL, an unconsolidated joint venture. PSSL invests primarily in middle-market and other corporate debt securities consistent with our strategy. PSSL was formed as a Delaware limited liability company. See Note 4.</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8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1060" w:right="200" w:hanging="424"/>
        <w:spacing w:after="0" w:line="279"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40" w:hanging="424"/>
        <w:spacing w:after="0" w:line="312" w:lineRule="auto"/>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and Credit Facility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Loans are placed on non-accrual status when principal or interest payments are past due 30 days or more and/or if there is reasonable doubt that principal or interest will be collected. Accrued interest is generally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S-55</w:t>
      </w:r>
    </w:p>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generally do not incur federal income taxes as a RIC, we may elect to retain a portion of our calendar year income, which may result in the imposition of an excise tax, or we may incur taxes through our Taxable Subsidiaries. For the three and nine months ended June 30, 2017, we recorded a provision for taxes of $0.1 million and $0.2 million, respectively, pertaining to U.S. federal excise tax. For both the three and nine months ended June 30, 2016, we did not record a provision for taxes.</w:t>
      </w:r>
    </w:p>
    <w:p>
      <w:pPr>
        <w:spacing w:after="0" w:line="166"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17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liabilities—at the exchange rates prevailing at the end of the applicable period; and</w:t>
      </w:r>
    </w:p>
    <w:p>
      <w:pPr>
        <w:spacing w:after="0" w:line="153"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 wholly-owned investment company subsidiary or a controlled operating company whose business consists of providing services to us. Accordingly, we have consolidated the results of our taxable subsidiaries in our Consolidated Financial Statements. We do not consolidate our non-controlling interest in PSSL. See further description of our investment in PSSL in Note 4.</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management fee. For providing these services, the Investment Adviser receives a fee from us consisting of two components—a base management fee and an incentive fee.</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2017, the Investment Adviser earned base management fees of $1.8 million and $5.1 million, respectively, from us. For the three and nine months ended June 30, 2016, the Investment Adviser earned base management fees of $1.3 million and $3.6 million, respectively, from 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2017, the Investment Adviser earned an incentive fee on net investment income as calculated under the Investment Management Agreement of $0.8 million and $2.3 million, respectively, from us. For the three and nine months ended June 30, 2016, the Investment Adviser earned an incentive fee on net investment income as calculated under the Investment Management Agreement of $0.5 million and $1.3 million, respectively, from 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2"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nine months ended June 30, 2017, the Investment Adviser earned an incentive fee on capital gains of $0.2 million, as calculated under the Investment Management Agreement. For the three and nine months ended June 30, 2016, the Investment Adviser did not earn an incentive fee on capital gains, as calculated under the Investment Management Agreement (as described above).</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the three and nine months ended June 30, 2017, the Investment Adviser accrued an incentive fee on our unrealized and realized capital gains as calculated under GAAP of $0.4 million and $0.9 million, respectively. For the three and nine months ended June 30, 2016, the Investment Adviser did not accrue an incentive fee on our unrealized and realized capital gains as calculated under GAAP.</w:t>
      </w:r>
    </w:p>
    <w:p>
      <w:pPr>
        <w:spacing w:after="0" w:line="183"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the directors who are not interested persons of us, in February 2017.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and nine months ended June 30, 2017, the Investment Adviser was reimbursed approximately $0.3 million and $1.3 million, respectively, from us, including expenses the Investment Adviser incurred on behalf of the Administrator, for services described above. For the three and nine months ended June 30, 2016, the Investment Adviser was reimbursed approximately $0.1 million and $0.6 million, respectively, from us, including expenses the Investment Adviser incurred on behalf of the Administrator, for services described above.</w:t>
      </w:r>
    </w:p>
    <w:p>
      <w:pPr>
        <w:spacing w:after="0" w:line="183"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For the three and nine months ended June 30, 2017, the Company purchased zero and $38.1 million, respectively, and sold zero and $5.0 million in total investments, respectively, to an affiliated fund managed by our Investment Adviser in accordance with, and pursuant to procedures adopted under, Rule 17a-7 of the 1940 Act. Realized gains on those sales amounted to zero and less than $0.1 million, respectively.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20" w:right="23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For both the three and nine months ended June 30, 2017, we sold $71.0 million investments to PSSL at fair value and recognized $0.4 million of net realized gains.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Purchases of investments, including PIK interest, for the three and nine months ended June 30, 2017 totaled $136.9 million and $408.2 million, respectively. For the same periods in the prior year, purchases of investments, including PIK interest, totaled $101.2 million and $257.7 million, respectively. Sales and repayments of investments for the three and nine months ended June 30, 2017 totaled $172.9 million and $314.8 million, respectively. For the same periods in the prior year, sales and repayments of investments totaled $40.3 million and $97.1 million, respectively.</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cash and cash equivalents consisted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460" w:type="dxa"/>
            <w:vAlign w:val="bottom"/>
          </w:tcPr>
          <w:p>
            <w:pPr>
              <w:spacing w:after="0"/>
              <w:rPr>
                <w:sz w:val="14"/>
                <w:szCs w:val="14"/>
                <w:color w:val="auto"/>
              </w:rPr>
            </w:pPr>
          </w:p>
        </w:tc>
        <w:tc>
          <w:tcPr>
            <w:tcW w:w="266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Pr>
          <w:p>
            <w:pPr>
              <w:spacing w:after="0"/>
              <w:rPr>
                <w:sz w:val="14"/>
                <w:szCs w:val="14"/>
                <w:color w:val="auto"/>
              </w:rPr>
            </w:pPr>
          </w:p>
        </w:tc>
        <w:tc>
          <w:tcPr>
            <w:tcW w:w="2760" w:type="dxa"/>
            <w:vAlign w:val="bottom"/>
            <w:gridSpan w:val="5"/>
          </w:tcPr>
          <w:p>
            <w:pPr>
              <w:ind w:left="74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34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Cost</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106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$ 610,806,604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$ 613,273,017</w:t>
            </w:r>
          </w:p>
        </w:tc>
        <w:tc>
          <w:tcPr>
            <w:tcW w:w="5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$ 549,736,982</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548,410,095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33,763,248</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32,385,313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38,404,428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36,596,692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7,240,899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7,368,173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Subordinated debt in PSSL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25,200,000</w:t>
            </w:r>
          </w:p>
        </w:tc>
        <w:tc>
          <w:tcPr>
            <w:tcW w:w="2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25,200,000</w:t>
            </w:r>
          </w:p>
        </w:tc>
        <w:tc>
          <w:tcPr>
            <w:tcW w:w="56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9,769,580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9,880,753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6,540,774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Equity interests in PSSL</w:t>
            </w:r>
          </w:p>
        </w:tc>
        <w:tc>
          <w:tcPr>
            <w:tcW w:w="4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10,800,000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10,822,425</w:t>
            </w:r>
          </w:p>
        </w:tc>
        <w:tc>
          <w:tcPr>
            <w:tcW w:w="560" w:type="dxa"/>
            <w:vAlign w:val="bottom"/>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697,580,331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698,929,681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597,910,267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598,887,525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48,866,893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48,951,746</w:t>
            </w:r>
          </w:p>
        </w:tc>
        <w:tc>
          <w:tcPr>
            <w:tcW w:w="5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$ 746,447,224</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$ 747,881,427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$ 626,813,626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627,798,498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S-60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40" w:right="23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4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xml:space="preserve">June 30, 2017 </w:t>
            </w:r>
            <w:r>
              <w:rPr>
                <w:rFonts w:ascii="Arial" w:cs="Arial" w:eastAsia="Arial" w:hAnsi="Arial"/>
                <w:sz w:val="12"/>
                <w:szCs w:val="12"/>
                <w:b w:val="1"/>
                <w:bCs w:val="1"/>
                <w:color w:val="auto"/>
                <w:w w:val="91"/>
              </w:rPr>
              <w:t>(1)</w:t>
            </w:r>
          </w:p>
        </w:tc>
        <w:tc>
          <w:tcPr>
            <w:tcW w:w="13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September 30, 2016</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23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7</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Consumer Goods: Durable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Wholesale</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Construction and Building</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Banking, Finance, Insurance and Real Estate</w:t>
            </w:r>
          </w:p>
        </w:tc>
        <w:tc>
          <w:tcPr>
            <w:tcW w:w="2340" w:type="dxa"/>
            <w:vAlign w:val="bottom"/>
            <w:gridSpan w:val="2"/>
          </w:tcPr>
          <w:p>
            <w:pPr>
              <w:jc w:val="right"/>
              <w:ind w:right="132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Utilities: Water</w:t>
            </w:r>
          </w:p>
        </w:tc>
        <w:tc>
          <w:tcPr>
            <w:tcW w:w="2340" w:type="dxa"/>
            <w:vAlign w:val="bottom"/>
            <w:gridSpan w:val="2"/>
          </w:tcPr>
          <w:p>
            <w:pPr>
              <w:jc w:val="right"/>
              <w:ind w:right="14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234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380" w:type="dxa"/>
            <w:vAlign w:val="bottom"/>
            <w:gridSpan w:val="4"/>
            <w:vMerge w:val="restart"/>
          </w:tcPr>
          <w:p>
            <w:pPr>
              <w:ind w:left="8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gridSpan w:val="4"/>
            <w:vMerge w:val="continue"/>
          </w:tcPr>
          <w:p>
            <w:pPr>
              <w:spacing w:after="0"/>
              <w:rPr>
                <w:sz w:val="19"/>
                <w:szCs w:val="19"/>
                <w:color w:val="auto"/>
              </w:rPr>
            </w:pPr>
          </w:p>
        </w:tc>
        <w:tc>
          <w:tcPr>
            <w:tcW w:w="2340" w:type="dxa"/>
            <w:vAlign w:val="bottom"/>
            <w:gridSpan w:val="2"/>
          </w:tcPr>
          <w:p>
            <w:pPr>
              <w:jc w:val="right"/>
              <w:ind w:right="116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color w:val="auto"/>
        </w:rPr>
        <w:t>(1)</w:t>
        <w:tab/>
        <w:t>Excludes investments in PSSL.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121"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In May 2017, we and Trinity, a subsidiary of Kemper, formed PSSL, an unconsolidated joint venture. PSSL invests primarily in middle-market and other corporate debt securities consistent with our strategy. PSSL was formed as a Delaware limited liability company. As of June 30, 2017, PSSL had total assets of $77.8 million. PSSL’s portfolio consisted of debt investments in 14 portfolio companies as of June 30, 2017. As of June 30, 2017, at fair value, the largest investment in a single portfolio company in PSSL was $6.1 million and the five largest investments totaled $29.8 million. PSSL invests in portfolio companies in the same industries in which we may directly invest.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provide capital to PSSL in the form of subordinated notes and equity interests. The subordinated notes are junior in right of payment to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repayment of temporary contributions made by us to fund investments of PSSL. As of June 30, 2017, we and Kemper owned 87.5% and 12.5%,</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of each of the outstanding subordinated notes and equity interests. Our investment in PSSL consisted of equity interests of $10.8 million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and subordinated notes of $25.2 million as of June 30, 2017. As of the same date, we had commitments to fund subordinated notes to PSSL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$61.3 million, of which $36.1 million was unfunded. As of June 30, 2017, we had commitments to fund equity interests in PSSL of $26.2 million,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which $15.4 million was unfunded.</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040"/>
          </w:cols>
          <w:pgMar w:left="240" w:top="459" w:right="6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6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Additionally, PSSL has entered into a senior secured revolving credit facility, or the PSSL Credit Facility, with Capital One, N.A. through its wholly-owned subsidiary PennantPark Senior Secured Loan Facility LLC, or PSSL Subsidiary, which as of June 30, 2017 allowed PSSL Subsidiary to borrow up to $100.0 million at any one time outstanding, subject to leverage and borrowing base restrictions.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summary of PSSL’s portfolio:</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2"/>
              </w:rPr>
              <w:t>June 30, 2017</w:t>
            </w:r>
          </w:p>
        </w:tc>
      </w:tr>
      <w:tr>
        <w:trPr>
          <w:trHeight w:val="21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15"/>
                <w:szCs w:val="15"/>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70,707,374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 xml:space="preserve">Weighted average cost yield on income producing investments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PSSL</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 xml:space="preserve">Largest portfolio company investment </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6,055,020</w:t>
            </w: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of five largest portfolio company investments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29,764,646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23"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weighted average cost yield on income producing investments is computed based upon a combination of the cash flows to date and the contractual interest payments, principal amortization and principal due at maturity without giving effect to closing fees received, base management fees, incentive fees or general fund related expenses.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a listing of PSSL’s individual investments as of June 30, 2017:</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of Investments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Basis Point</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Spread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8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Above</w:t>
            </w:r>
          </w:p>
        </w:tc>
        <w:tc>
          <w:tcPr>
            <w:tcW w:w="1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0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4"/>
        </w:trPr>
        <w:tc>
          <w:tcPr>
            <w:tcW w:w="29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86"/>
              </w:rPr>
              <w:t>Coupon</w:t>
            </w:r>
          </w:p>
        </w:tc>
        <w:tc>
          <w:tcPr>
            <w:tcW w:w="80" w:type="dxa"/>
            <w:vAlign w:val="bottom"/>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(1)</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560" w:type="dxa"/>
            <w:vAlign w:val="bottom"/>
            <w:gridSpan w:val="5"/>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Investments in Non-Controlled, Non-Affiliated Portfolio Companies—571.7%</w:t>
            </w: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Debt—571.7%</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Alvogen Pharma US, Inc. </w:t>
            </w:r>
            <w:r>
              <w:rPr>
                <w:rFonts w:ascii="Arial" w:cs="Arial" w:eastAsia="Arial" w:hAnsi="Arial"/>
                <w:sz w:val="12"/>
                <w:szCs w:val="12"/>
                <w:color w:val="auto"/>
              </w:rPr>
              <w:t>(3)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04/04/2022</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Healthcare and Pharmaceuticals</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3,766,541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3,725,241</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3,700,626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API Technologies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04/22/2022</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0"/>
              </w:rPr>
              <w:t>Aerospace and Defense</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7.80%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L+650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4,987,406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4,937,654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4,912,595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By Light Professional IT Services,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05/16/2022</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High Tech Industries</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L+725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5,987,234</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5,838,216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5,927,362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03/31/2023</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6.73%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L+550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4,937,500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4,863,654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4,889,647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IGM RFE1 B.V. </w:t>
            </w:r>
            <w:r>
              <w:rPr>
                <w:rFonts w:ascii="Arial" w:cs="Arial" w:eastAsia="Arial" w:hAnsi="Arial"/>
                <w:sz w:val="12"/>
                <w:szCs w:val="12"/>
                <w:color w:val="auto"/>
              </w:rPr>
              <w:t>(3), (4)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10/12/2021</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Chemicals, Plastics and Rubber</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E+800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€4,968,553</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5,666,884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Impact Sales,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12/30/2021</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Wholesale</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8.15%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L+700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2,992,481</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2,977,543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2,992,481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LSF9 Atlantis Holdings,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05/01/2023</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Retail</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6,071,161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Mission Critical Electronics,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09/28/2022</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4"/>
              </w:rPr>
              <w:t>Capital Equipment</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6.30%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L+500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4,085,733</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4,060,081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4,067,531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Morphe,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02/10/2023</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Consumer Goods: Non-Durable</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4,869,692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4,863,438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One Sixty Over Ninety,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03/03/2022</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6"/>
              </w:rPr>
              <w:t>Media: Advertising, Printing and Publishing</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10.51%</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L+921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5,880,288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Snak Club,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07/19/2021</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Beverage, Food and Tobacco</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L+500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4,874,995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The Infosoft Group,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12/02/2021</w:t>
            </w: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3"/>
              </w:rPr>
              <w:t>Media: Broadcasting and Subscription</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6.55%</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L+525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5,962,264</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5,962,264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5,962,264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VIP Cinema Holdings,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03/01/2023</w:t>
            </w: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Consumer Goods: Durable</w:t>
            </w: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L+600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4,937,500</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5,008,226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4,974,531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10/30/2020</w:t>
            </w:r>
          </w:p>
        </w:tc>
        <w:tc>
          <w:tcPr>
            <w:tcW w:w="260" w:type="dxa"/>
            <w:vAlign w:val="bottom"/>
          </w:tcPr>
          <w:p>
            <w:pPr>
              <w:spacing w:after="0"/>
              <w:rPr>
                <w:sz w:val="13"/>
                <w:szCs w:val="13"/>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Banking, Finance, Insurance and Real Estate</w:t>
            </w:r>
          </w:p>
        </w:tc>
        <w:tc>
          <w:tcPr>
            <w:tcW w:w="8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9.21%</w:t>
            </w:r>
          </w:p>
        </w:tc>
        <w:tc>
          <w:tcPr>
            <w:tcW w:w="80" w:type="dxa"/>
            <w:vAlign w:val="bottom"/>
          </w:tcPr>
          <w:p>
            <w:pPr>
              <w:spacing w:after="0"/>
              <w:rPr>
                <w:sz w:val="13"/>
                <w:szCs w:val="13"/>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L+800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6,000,000</w:t>
            </w: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5,940,231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70,676,130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70,707,374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58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70,676,130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70,707,374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Equivalents—48.9%</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BlackRock Federal FD Institutional 30</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6,046,864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Equivalents—620.6%</w:t>
            </w: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76,722,994</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76,754,238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Liabilities in Excess of Other Assets—(520.6)%</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w w:val="90"/>
              </w:rPr>
              <w:t>(64,385,753)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Members’ Equity—100.0%</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12,368,485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4" w:lineRule="exact"/>
        <w:rPr>
          <w:sz w:val="20"/>
          <w:szCs w:val="20"/>
          <w:color w:val="auto"/>
        </w:rPr>
      </w:pPr>
    </w:p>
    <w:p>
      <w:pPr>
        <w:ind w:left="520" w:right="440" w:hanging="316"/>
        <w:spacing w:after="0" w:line="248" w:lineRule="auto"/>
        <w:tabs>
          <w:tab w:leader="none" w:pos="5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payment-in-kind, or PIK, interest and other fee rates, if any.</w:t>
      </w:r>
    </w:p>
    <w:p>
      <w:pPr>
        <w:ind w:left="52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Valued based on PSSL’s accounting policy.</w:t>
      </w:r>
    </w:p>
    <w:p>
      <w:pPr>
        <w:ind w:left="520" w:hanging="316"/>
        <w:spacing w:after="0" w:line="221"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520" w:hanging="316"/>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Par amount is denominated in Euros (€) as denoted.</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900" w:right="210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is the financial information for PSSL:</w:t>
      </w:r>
    </w:p>
    <w:p>
      <w:pPr>
        <w:spacing w:after="0" w:line="2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PennantPark Senior Secured Loan Fund I LLC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Statement of Assets and Liabilities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(cost—$70,676,130)</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$ 70,707,374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 (cost—$6,046,864)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6,046,864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1,047,384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77,801,622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10,541,879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PSSL Credit Facility payable</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Subordinated debt payable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65,433,137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12,368,485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members’ equity</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$ 77,801,622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jc w:val="center"/>
              <w:ind w:left="2290"/>
              <w:spacing w:after="0"/>
              <w:rPr>
                <w:sz w:val="20"/>
                <w:szCs w:val="20"/>
                <w:color w:val="auto"/>
              </w:rPr>
            </w:pPr>
            <w:r>
              <w:rPr>
                <w:rFonts w:ascii="Arial" w:cs="Arial" w:eastAsia="Arial" w:hAnsi="Arial"/>
                <w:sz w:val="18"/>
                <w:szCs w:val="18"/>
                <w:b w:val="1"/>
                <w:bCs w:val="1"/>
                <w:color w:val="auto"/>
                <w:w w:val="92"/>
              </w:rPr>
              <w:t>PennantPark Senior Secured Loan Fund I LLC</w:t>
            </w: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jc w:val="center"/>
              <w:ind w:left="2290"/>
              <w:spacing w:after="0"/>
              <w:rPr>
                <w:sz w:val="20"/>
                <w:szCs w:val="20"/>
                <w:color w:val="auto"/>
              </w:rPr>
            </w:pPr>
            <w:r>
              <w:rPr>
                <w:rFonts w:ascii="Arial" w:cs="Arial" w:eastAsia="Arial" w:hAnsi="Arial"/>
                <w:sz w:val="18"/>
                <w:szCs w:val="18"/>
                <w:b w:val="1"/>
                <w:bCs w:val="1"/>
                <w:color w:val="auto"/>
                <w:w w:val="88"/>
              </w:rPr>
              <w:t>Statements of Operations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jc w:val="center"/>
              <w:ind w:left="2290"/>
              <w:spacing w:after="0"/>
              <w:rPr>
                <w:sz w:val="20"/>
                <w:szCs w:val="20"/>
                <w:color w:val="auto"/>
              </w:rPr>
            </w:pPr>
            <w:r>
              <w:rPr>
                <w:rFonts w:ascii="Arial" w:cs="Arial" w:eastAsia="Arial" w:hAnsi="Arial"/>
                <w:sz w:val="18"/>
                <w:szCs w:val="18"/>
                <w:b w:val="1"/>
                <w:bCs w:val="1"/>
                <w:color w:val="auto"/>
                <w:w w:val="93"/>
              </w:rPr>
              <w:t>(Unaudited)</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400" w:type="dxa"/>
            <w:vAlign w:val="bottom"/>
            <w:gridSpan w:val="6"/>
          </w:tcPr>
          <w:p>
            <w:pPr>
              <w:jc w:val="center"/>
              <w:ind w:left="639"/>
              <w:spacing w:after="0" w:line="149" w:lineRule="exact"/>
              <w:rPr>
                <w:sz w:val="20"/>
                <w:szCs w:val="20"/>
                <w:color w:val="auto"/>
              </w:rPr>
            </w:pPr>
            <w:r>
              <w:rPr>
                <w:rFonts w:ascii="Arial" w:cs="Arial" w:eastAsia="Arial" w:hAnsi="Arial"/>
                <w:sz w:val="14"/>
                <w:szCs w:val="14"/>
                <w:b w:val="1"/>
                <w:bCs w:val="1"/>
                <w:color w:val="auto"/>
                <w:w w:val="93"/>
              </w:rPr>
              <w:t>May 4, 2017 (inception)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through 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0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8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93,441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Interest and expenses on PSSL Credit Facility</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35,680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on subordinated debt</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50,242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99,058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ind w:left="340"/>
              <w:spacing w:after="0"/>
              <w:rPr>
                <w:sz w:val="20"/>
                <w:szCs w:val="20"/>
                <w:color w:val="auto"/>
              </w:rPr>
            </w:pPr>
            <w:r>
              <w:rPr>
                <w:rFonts w:ascii="Arial" w:cs="Arial" w:eastAsia="Arial" w:hAnsi="Arial"/>
                <w:sz w:val="18"/>
                <w:szCs w:val="18"/>
                <w:b w:val="1"/>
                <w:bCs w:val="1"/>
                <w:color w:val="auto"/>
              </w:rPr>
              <w:t>Net investment loss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(5,617)</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unrealized gain from investments</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members’ equity resulting from operations</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25,627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jc w:val="center"/>
              <w:ind w:left="2290"/>
              <w:spacing w:after="0"/>
              <w:rPr>
                <w:sz w:val="20"/>
                <w:szCs w:val="20"/>
                <w:color w:val="auto"/>
              </w:rPr>
            </w:pPr>
            <w:r>
              <w:rPr>
                <w:rFonts w:ascii="Arial" w:cs="Arial" w:eastAsia="Arial" w:hAnsi="Arial"/>
                <w:sz w:val="18"/>
                <w:szCs w:val="18"/>
                <w:color w:val="auto"/>
                <w:w w:val="89"/>
              </w:rPr>
              <w:t>S-64</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240" w:top="459" w:right="8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60" w:right="1320" w:hanging="1012"/>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80" w:hanging="1012"/>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20" w:hanging="1012"/>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2017 and 2016, our ability to observe valuation inputs resulted in no reclassifications and one reclassification of an asset from Level 2 to 1, respectively.</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ASU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79"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81"/>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2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 Input</w:t>
            </w: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2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61"/>
              <w:spacing w:after="0"/>
              <w:rPr>
                <w:sz w:val="20"/>
                <w:szCs w:val="20"/>
                <w:color w:val="auto"/>
              </w:rPr>
            </w:pPr>
            <w:r>
              <w:rPr>
                <w:rFonts w:ascii="Arial" w:cs="Arial" w:eastAsia="Arial" w:hAnsi="Arial"/>
                <w:sz w:val="14"/>
                <w:szCs w:val="14"/>
                <w:b w:val="1"/>
                <w:bCs w:val="1"/>
                <w:color w:val="auto"/>
                <w:w w:val="96"/>
              </w:rPr>
              <w:t>June 30, 2017</w:t>
            </w:r>
          </w:p>
        </w:tc>
        <w:tc>
          <w:tcPr>
            <w:tcW w:w="1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278,386,014</w:t>
            </w:r>
          </w:p>
        </w:tc>
        <w:tc>
          <w:tcPr>
            <w:tcW w:w="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1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13,180,750</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Broker/Dealer bids or quotes</w:t>
            </w:r>
          </w:p>
        </w:tc>
        <w:tc>
          <w:tcPr>
            <w:tcW w:w="5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N/A</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First lien</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334,887,003</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 23.3%</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(8.5%)</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Arial" w:cs="Arial" w:eastAsia="Arial" w:hAnsi="Arial"/>
                <w:sz w:val="16"/>
                <w:szCs w:val="16"/>
                <w:color w:val="auto"/>
              </w:rPr>
              <w:t>Second lien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19,204,563</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580" w:type="dxa"/>
            <w:vAlign w:val="bottom"/>
          </w:tcPr>
          <w:p>
            <w:pPr>
              <w:ind w:left="20"/>
              <w:spacing w:after="0"/>
              <w:rPr>
                <w:sz w:val="20"/>
                <w:szCs w:val="20"/>
                <w:color w:val="auto"/>
              </w:rPr>
            </w:pPr>
            <w:r>
              <w:rPr>
                <w:rFonts w:ascii="Arial" w:cs="Arial" w:eastAsia="Arial" w:hAnsi="Arial"/>
                <w:sz w:val="16"/>
                <w:szCs w:val="16"/>
                <w:color w:val="auto"/>
                <w:w w:val="91"/>
              </w:rPr>
              <w:t>– 14.3%</w:t>
            </w:r>
          </w:p>
        </w:tc>
        <w:tc>
          <w:tcPr>
            <w:tcW w:w="640" w:type="dxa"/>
            <w:vAlign w:val="bottom"/>
          </w:tcPr>
          <w:p>
            <w:pPr>
              <w:ind w:left="20"/>
              <w:spacing w:after="0"/>
              <w:rPr>
                <w:sz w:val="20"/>
                <w:szCs w:val="20"/>
                <w:color w:val="auto"/>
              </w:rPr>
            </w:pPr>
            <w:r>
              <w:rPr>
                <w:rFonts w:ascii="Arial" w:cs="Arial" w:eastAsia="Arial" w:hAnsi="Arial"/>
                <w:sz w:val="16"/>
                <w:szCs w:val="16"/>
                <w:color w:val="auto"/>
              </w:rPr>
              <w:t>(13.4%)</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32,568,173</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 17.7%</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Equity </w:t>
            </w:r>
            <w:r>
              <w:rPr>
                <w:rFonts w:ascii="Arial" w:cs="Arial" w:eastAsia="Arial" w:hAnsi="Arial"/>
                <w:sz w:val="23"/>
                <w:szCs w:val="23"/>
                <w:color w:val="auto"/>
                <w:vertAlign w:val="superscript"/>
              </w:rPr>
              <w:t>(1)</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9,855,595</w:t>
            </w:r>
          </w:p>
        </w:tc>
        <w:tc>
          <w:tcPr>
            <w:tcW w:w="160" w:type="dxa"/>
            <w:vAlign w:val="bottom"/>
          </w:tcPr>
          <w:p>
            <w:pPr>
              <w:spacing w:after="0"/>
              <w:rPr>
                <w:sz w:val="18"/>
                <w:szCs w:val="18"/>
                <w:color w:val="auto"/>
              </w:rPr>
            </w:pPr>
          </w:p>
        </w:tc>
        <w:tc>
          <w:tcPr>
            <w:tcW w:w="1940" w:type="dxa"/>
            <w:vAlign w:val="bottom"/>
            <w:gridSpan w:val="2"/>
          </w:tcPr>
          <w:p>
            <w:pPr>
              <w:ind w:left="120"/>
              <w:spacing w:after="0"/>
              <w:rPr>
                <w:sz w:val="20"/>
                <w:szCs w:val="20"/>
                <w:color w:val="auto"/>
              </w:rPr>
            </w:pPr>
            <w:r>
              <w:rPr>
                <w:rFonts w:ascii="Arial" w:cs="Arial" w:eastAsia="Arial" w:hAnsi="Arial"/>
                <w:sz w:val="16"/>
                <w:szCs w:val="16"/>
                <w:color w:val="auto"/>
              </w:rPr>
              <w:t>Enterprise Market Value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EBITDA multiple</w:t>
            </w:r>
          </w:p>
        </w:tc>
        <w:tc>
          <w:tcPr>
            <w:tcW w:w="2160" w:type="dxa"/>
            <w:vAlign w:val="bottom"/>
            <w:gridSpan w:val="4"/>
          </w:tcPr>
          <w:p>
            <w:pPr>
              <w:jc w:val="center"/>
              <w:ind w:right="360"/>
              <w:spacing w:after="0"/>
              <w:rPr>
                <w:sz w:val="20"/>
                <w:szCs w:val="20"/>
                <w:color w:val="auto"/>
              </w:rPr>
            </w:pPr>
            <w:r>
              <w:rPr>
                <w:rFonts w:ascii="Arial" w:cs="Arial" w:eastAsia="Arial" w:hAnsi="Arial"/>
                <w:sz w:val="16"/>
                <w:szCs w:val="16"/>
                <w:color w:val="auto"/>
                <w:w w:val="93"/>
              </w:rPr>
              <w:t>5.4x – 9.0x (7.7x)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Total Level 3 investments</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688,082,098</w:t>
            </w: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gridSpan w:val="4"/>
            <w:vMerge w:val="restart"/>
          </w:tcPr>
          <w:p>
            <w:pPr>
              <w:spacing w:after="0"/>
              <w:rPr>
                <w:sz w:val="20"/>
                <w:szCs w:val="20"/>
                <w:color w:val="auto"/>
              </w:rPr>
            </w:pPr>
            <w:r>
              <w:rPr>
                <w:rFonts w:ascii="Arial" w:cs="Arial" w:eastAsia="Arial" w:hAnsi="Arial"/>
                <w:sz w:val="16"/>
                <w:szCs w:val="16"/>
                <w:color w:val="auto"/>
              </w:rPr>
              <w:t>Long-Term Credit Facility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200" w:type="dxa"/>
            <w:vAlign w:val="bottom"/>
            <w:gridSpan w:val="4"/>
            <w:vMerge w:val="continue"/>
          </w:tcPr>
          <w:p>
            <w:pPr>
              <w:spacing w:after="0"/>
              <w:rPr>
                <w:sz w:val="16"/>
                <w:szCs w:val="16"/>
                <w:color w:val="auto"/>
              </w:rPr>
            </w:pPr>
          </w:p>
        </w:tc>
        <w:tc>
          <w:tcPr>
            <w:tcW w:w="1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293,663,760</w:t>
            </w:r>
          </w:p>
        </w:tc>
        <w:tc>
          <w:tcPr>
            <w:tcW w:w="160" w:type="dxa"/>
            <w:vAlign w:val="bottom"/>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Excludes $10.8 million of equity interests in PSSL at fair value, which the Company valued using PSSL’s net asset value.</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80"/>
              <w:spacing w:after="0"/>
              <w:rPr>
                <w:sz w:val="20"/>
                <w:szCs w:val="20"/>
                <w:color w:val="auto"/>
              </w:rPr>
            </w:pPr>
            <w:r>
              <w:rPr>
                <w:rFonts w:ascii="Arial" w:cs="Arial" w:eastAsia="Arial" w:hAnsi="Arial"/>
                <w:sz w:val="14"/>
                <w:szCs w:val="14"/>
                <w:b w:val="1"/>
                <w:bCs w:val="1"/>
                <w:color w:val="auto"/>
              </w:rPr>
              <w:t>Fair Value at</w:t>
            </w:r>
          </w:p>
        </w:tc>
        <w:tc>
          <w:tcPr>
            <w:tcW w:w="160" w:type="dxa"/>
            <w:vAlign w:val="bottom"/>
          </w:tcPr>
          <w:p>
            <w:pPr>
              <w:spacing w:after="0"/>
              <w:rPr>
                <w:sz w:val="14"/>
                <w:szCs w:val="14"/>
                <w:color w:val="auto"/>
              </w:rPr>
            </w:pPr>
          </w:p>
        </w:tc>
        <w:tc>
          <w:tcPr>
            <w:tcW w:w="1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22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 Input</w:t>
            </w: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 2016</w:t>
            </w:r>
          </w:p>
        </w:tc>
        <w:tc>
          <w:tcPr>
            <w:tcW w:w="16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First lien</w:t>
            </w:r>
          </w:p>
        </w:tc>
        <w:tc>
          <w:tcPr>
            <w:tcW w:w="18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264,299,729</w:t>
            </w:r>
          </w:p>
        </w:tc>
        <w:tc>
          <w:tcPr>
            <w:tcW w:w="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14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bids or quotes</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Second lien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8,064,192</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Broker/Dealer bids or quotes</w:t>
            </w:r>
          </w:p>
        </w:tc>
        <w:tc>
          <w:tcPr>
            <w:tcW w:w="560" w:type="dxa"/>
            <w:vAlign w:val="bottom"/>
          </w:tcPr>
          <w:p>
            <w:pPr>
              <w:spacing w:after="0"/>
              <w:rPr>
                <w:sz w:val="17"/>
                <w:szCs w:val="17"/>
                <w:color w:val="auto"/>
              </w:rPr>
            </w:pPr>
          </w:p>
        </w:tc>
        <w:tc>
          <w:tcPr>
            <w:tcW w:w="580" w:type="dxa"/>
            <w:vAlign w:val="bottom"/>
          </w:tcPr>
          <w:p>
            <w:pPr>
              <w:ind w:left="200"/>
              <w:spacing w:after="0"/>
              <w:rPr>
                <w:sz w:val="20"/>
                <w:szCs w:val="20"/>
                <w:color w:val="auto"/>
              </w:rPr>
            </w:pPr>
            <w:r>
              <w:rPr>
                <w:rFonts w:ascii="Arial" w:cs="Arial" w:eastAsia="Arial" w:hAnsi="Arial"/>
                <w:sz w:val="16"/>
                <w:szCs w:val="16"/>
                <w:color w:val="auto"/>
              </w:rPr>
              <w:t>N/A</w:t>
            </w: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 corporate notes</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1,035,937</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Broker/Dealer bids or quotes</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First lien</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284,110,366</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580" w:type="dxa"/>
            <w:vAlign w:val="bottom"/>
          </w:tcPr>
          <w:p>
            <w:pPr>
              <w:ind w:left="20"/>
              <w:spacing w:after="0"/>
              <w:rPr>
                <w:sz w:val="20"/>
                <w:szCs w:val="20"/>
                <w:color w:val="auto"/>
              </w:rPr>
            </w:pPr>
            <w:r>
              <w:rPr>
                <w:rFonts w:ascii="Arial" w:cs="Arial" w:eastAsia="Arial" w:hAnsi="Arial"/>
                <w:sz w:val="16"/>
                <w:szCs w:val="16"/>
                <w:color w:val="auto"/>
                <w:w w:val="91"/>
              </w:rPr>
              <w:t>– 13.9%</w:t>
            </w:r>
          </w:p>
        </w:tc>
        <w:tc>
          <w:tcPr>
            <w:tcW w:w="640" w:type="dxa"/>
            <w:vAlign w:val="bottom"/>
          </w:tcPr>
          <w:p>
            <w:pPr>
              <w:ind w:left="20"/>
              <w:spacing w:after="0"/>
              <w:rPr>
                <w:sz w:val="20"/>
                <w:szCs w:val="20"/>
                <w:color w:val="auto"/>
              </w:rPr>
            </w:pPr>
            <w:r>
              <w:rPr>
                <w:rFonts w:ascii="Arial" w:cs="Arial" w:eastAsia="Arial" w:hAnsi="Arial"/>
                <w:sz w:val="16"/>
                <w:szCs w:val="16"/>
                <w:color w:val="auto"/>
              </w:rPr>
              <w:t>(8.3%)</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28,532,500</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 15.9%</w:t>
            </w:r>
          </w:p>
        </w:tc>
        <w:tc>
          <w:tcPr>
            <w:tcW w:w="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(13.7%)</w:t>
            </w: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6"/>
                <w:szCs w:val="16"/>
                <w:color w:val="auto"/>
              </w:rPr>
              <w:t>Subordinated debt / corporate notes</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2,124,435</w:t>
            </w:r>
          </w:p>
        </w:tc>
        <w:tc>
          <w:tcPr>
            <w:tcW w:w="16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tcPr>
          <w:p>
            <w:pPr>
              <w:jc w:val="right"/>
              <w:spacing w:after="0"/>
              <w:rPr>
                <w:sz w:val="20"/>
                <w:szCs w:val="20"/>
                <w:color w:val="auto"/>
              </w:rPr>
            </w:pPr>
            <w:r>
              <w:rPr>
                <w:rFonts w:ascii="Arial" w:cs="Arial" w:eastAsia="Arial" w:hAnsi="Arial"/>
                <w:sz w:val="16"/>
                <w:szCs w:val="16"/>
                <w:color w:val="auto"/>
              </w:rPr>
              <w:t>15.7%</w:t>
            </w:r>
          </w:p>
        </w:tc>
        <w:tc>
          <w:tcPr>
            <w:tcW w:w="580" w:type="dxa"/>
            <w:vAlign w:val="bottom"/>
          </w:tcPr>
          <w:p>
            <w:pPr>
              <w:ind w:left="20"/>
              <w:spacing w:after="0"/>
              <w:rPr>
                <w:sz w:val="20"/>
                <w:szCs w:val="20"/>
                <w:color w:val="auto"/>
              </w:rPr>
            </w:pPr>
            <w:r>
              <w:rPr>
                <w:rFonts w:ascii="Arial" w:cs="Arial" w:eastAsia="Arial" w:hAnsi="Arial"/>
                <w:sz w:val="16"/>
                <w:szCs w:val="16"/>
                <w:color w:val="auto"/>
                <w:w w:val="91"/>
              </w:rPr>
              <w:t>– 16.5%</w:t>
            </w:r>
          </w:p>
        </w:tc>
        <w:tc>
          <w:tcPr>
            <w:tcW w:w="640" w:type="dxa"/>
            <w:vAlign w:val="bottom"/>
          </w:tcPr>
          <w:p>
            <w:pPr>
              <w:ind w:left="20"/>
              <w:spacing w:after="0"/>
              <w:rPr>
                <w:sz w:val="20"/>
                <w:szCs w:val="20"/>
                <w:color w:val="auto"/>
              </w:rPr>
            </w:pPr>
            <w:r>
              <w:rPr>
                <w:rFonts w:ascii="Arial" w:cs="Arial" w:eastAsia="Arial" w:hAnsi="Arial"/>
                <w:sz w:val="16"/>
                <w:szCs w:val="16"/>
                <w:color w:val="auto"/>
              </w:rPr>
              <w:t>(15.8%)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w:t>
            </w:r>
          </w:p>
        </w:tc>
        <w:tc>
          <w:tcPr>
            <w:tcW w:w="4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7,655,677</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Enterprise Market Value</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EBITDA multiple</w:t>
            </w:r>
          </w:p>
        </w:tc>
        <w:tc>
          <w:tcPr>
            <w:tcW w:w="2160" w:type="dxa"/>
            <w:vAlign w:val="bottom"/>
            <w:gridSpan w:val="4"/>
            <w:shd w:val="clear" w:color="auto" w:fill="CCEEFF"/>
          </w:tcPr>
          <w:p>
            <w:pPr>
              <w:jc w:val="center"/>
              <w:ind w:right="360"/>
              <w:spacing w:after="0"/>
              <w:rPr>
                <w:sz w:val="20"/>
                <w:szCs w:val="20"/>
                <w:color w:val="auto"/>
              </w:rPr>
            </w:pPr>
            <w:r>
              <w:rPr>
                <w:rFonts w:ascii="Arial" w:cs="Arial" w:eastAsia="Arial" w:hAnsi="Arial"/>
                <w:sz w:val="16"/>
                <w:szCs w:val="16"/>
                <w:color w:val="auto"/>
                <w:w w:val="93"/>
              </w:rPr>
              <w:t>4.3x – 9.0x (7.2x)</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720" w:type="dxa"/>
            <w:vAlign w:val="bottom"/>
            <w:gridSpan w:val="2"/>
          </w:tcPr>
          <w:p>
            <w:pPr>
              <w:ind w:left="300"/>
              <w:spacing w:after="0"/>
              <w:rPr>
                <w:sz w:val="20"/>
                <w:szCs w:val="20"/>
                <w:color w:val="auto"/>
              </w:rPr>
            </w:pPr>
            <w:r>
              <w:rPr>
                <w:rFonts w:ascii="Arial" w:cs="Arial" w:eastAsia="Arial" w:hAnsi="Arial"/>
                <w:sz w:val="16"/>
                <w:szCs w:val="16"/>
                <w:color w:val="auto"/>
              </w:rPr>
              <w:t>Total Level 3 investments</w:t>
            </w:r>
          </w:p>
        </w:tc>
        <w:tc>
          <w:tcPr>
            <w:tcW w:w="62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595,822,836</w:t>
            </w: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6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232,389,498</w:t>
            </w:r>
          </w:p>
        </w:tc>
        <w:tc>
          <w:tcPr>
            <w:tcW w:w="16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Market Comparable</w:t>
            </w:r>
          </w:p>
        </w:tc>
        <w:tc>
          <w:tcPr>
            <w:tcW w:w="22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Market Yield</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12"/>
              <w:spacing w:after="0"/>
              <w:rPr>
                <w:sz w:val="20"/>
                <w:szCs w:val="20"/>
                <w:color w:val="auto"/>
              </w:rPr>
            </w:pPr>
            <w:r>
              <w:rPr>
                <w:rFonts w:ascii="Arial" w:cs="Arial" w:eastAsia="Arial" w:hAnsi="Arial"/>
                <w:sz w:val="14"/>
                <w:szCs w:val="14"/>
                <w:b w:val="1"/>
                <w:bCs w:val="1"/>
                <w:color w:val="auto"/>
                <w:w w:val="93"/>
              </w:rPr>
              <w:t>Fair Value at June 30, 2017</w:t>
            </w: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0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First lien</w:t>
            </w:r>
          </w:p>
        </w:tc>
        <w:tc>
          <w:tcPr>
            <w:tcW w:w="37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$ 613,273,017</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$ 613,273,017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32,385,313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32,385,313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32,568,173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32,568,173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20,703,178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25,158</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20,678,020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698,929,681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698,904,523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48,951,746</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48,951,746</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$ 747,881,427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48,976,904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$ 698,904,523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3"/>
            <w:vMerge w:val="continue"/>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$ 293,663,760</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$ 293,663,760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at September 30, 2016</w:t>
            </w: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5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0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First lien</w:t>
            </w:r>
          </w:p>
        </w:tc>
        <w:tc>
          <w:tcPr>
            <w:tcW w:w="37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$ 548,410,095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$ 548,410,095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9"/>
              </w:rPr>
              <w:t>2,957,767</w:t>
            </w:r>
          </w:p>
        </w:tc>
        <w:tc>
          <w:tcPr>
            <w:tcW w:w="3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2,957,767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28,910,973</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$ 627,798,498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29,017,895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2,957,767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3"/>
            <w:vMerge w:val="continue"/>
          </w:tcPr>
          <w:p>
            <w:pPr>
              <w:spacing w:after="0"/>
              <w:rPr>
                <w:sz w:val="18"/>
                <w:szCs w:val="18"/>
                <w:color w:val="auto"/>
              </w:rPr>
            </w:pPr>
          </w:p>
        </w:tc>
        <w:tc>
          <w:tcPr>
            <w:tcW w:w="1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$ 232,389,498</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$ 232,389,498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520" w:type="dxa"/>
            <w:vAlign w:val="bottom"/>
            <w:gridSpan w:val="2"/>
          </w:tcPr>
          <w:p>
            <w:pPr>
              <w:jc w:val="right"/>
              <w:ind w:right="1214"/>
              <w:spacing w:after="0"/>
              <w:rPr>
                <w:sz w:val="20"/>
                <w:szCs w:val="20"/>
                <w:color w:val="auto"/>
              </w:rPr>
            </w:pPr>
            <w:r>
              <w:rPr>
                <w:rFonts w:ascii="Arial" w:cs="Arial" w:eastAsia="Arial" w:hAnsi="Arial"/>
                <w:sz w:val="18"/>
                <w:szCs w:val="18"/>
                <w:color w:val="auto"/>
              </w:rPr>
              <w:t>S-68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 June 30, 2017</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and equity 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1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47,412,741</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595,822,836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Net realized gains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1,930,863</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385,791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2,316,654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3,793,301</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(677,348)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w w:val="95"/>
              </w:rPr>
              <w:t>Purchases, PIK interest, net discount accretion and non-cash exchanges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357,904,860</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51,661,748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409,566,608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(298,766,102)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(13,151,426)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(311,917,528)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613,273,017</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85,631,506</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698,904,523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(depreciation) reported within the net</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change in unrealized (depreciation) appreciation on investments in our</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98"/>
              </w:rPr>
              <w:t>Consolidated Statements of Operations attributable to our Level 3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still held at the reporting date.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3,084,852</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(487,881)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2,596,971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3"/>
              </w:rPr>
              <w:t>Nine Months Ended June 30, 2016</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and equity 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1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56,163,940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391,121,281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Net realized gains (losses)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373,407</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(2,443,779)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(2,070,372)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unrealized (depreciation) appreciation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(1,497,426)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1,431,253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w w:val="95"/>
              </w:rPr>
              <w:t>Purchases, PIK interest, net discount accretion and non-cash exchanges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250,398,992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8,610,761</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259,009,753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(95,166,566)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(1,925,714)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(97,092,280)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489,065,748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61,836,461</w:t>
            </w:r>
          </w:p>
        </w:tc>
        <w:tc>
          <w:tcPr>
            <w:tcW w:w="4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550,902,209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depreciation reported within the net change in</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97"/>
              </w:rPr>
              <w:t>unrealized appreciation (depreciation) on investments in our Consolidated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w w:val="96"/>
              </w:rPr>
              <w:t>Statements of Operations attributable to our Level 3 assets still held at the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reporting date.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(1,117,456)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440"/>
              <w:spacing w:after="0"/>
              <w:rPr>
                <w:sz w:val="20"/>
                <w:szCs w:val="20"/>
                <w:color w:val="auto"/>
              </w:rPr>
            </w:pPr>
            <w:r>
              <w:rPr>
                <w:rFonts w:ascii="Arial" w:cs="Arial" w:eastAsia="Arial" w:hAnsi="Arial"/>
                <w:sz w:val="18"/>
                <w:szCs w:val="18"/>
                <w:color w:val="auto"/>
              </w:rPr>
              <w:t>(1,910,884)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(3,028,340)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180" w:type="dxa"/>
            <w:vAlign w:val="bottom"/>
            <w:vMerge w:val="restart"/>
          </w:tcPr>
          <w:p>
            <w:pPr>
              <w:ind w:left="4620"/>
              <w:spacing w:after="0"/>
              <w:rPr>
                <w:sz w:val="20"/>
                <w:szCs w:val="20"/>
                <w:color w:val="auto"/>
              </w:rPr>
            </w:pPr>
            <w:r>
              <w:rPr>
                <w:rFonts w:ascii="Arial" w:cs="Arial" w:eastAsia="Arial" w:hAnsi="Arial"/>
                <w:sz w:val="18"/>
                <w:szCs w:val="18"/>
                <w:color w:val="auto"/>
              </w:rPr>
              <w:t>S-69</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table below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00" w:type="dxa"/>
            <w:vAlign w:val="bottom"/>
          </w:tcPr>
          <w:p>
            <w:pPr>
              <w:spacing w:after="0"/>
              <w:rPr>
                <w:sz w:val="14"/>
                <w:szCs w:val="14"/>
                <w:color w:val="auto"/>
              </w:rPr>
            </w:pPr>
          </w:p>
        </w:tc>
        <w:tc>
          <w:tcPr>
            <w:tcW w:w="27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5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Beginning Balance (cost—$232,907,500 and $29,600,000,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232,389,498</w:t>
            </w:r>
          </w:p>
        </w:tc>
        <w:tc>
          <w:tcPr>
            <w:tcW w:w="3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29,600,000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Net change in unrealized appreciation (depreciation) included</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520"/>
              <w:spacing w:after="0"/>
              <w:rPr>
                <w:sz w:val="20"/>
                <w:szCs w:val="20"/>
                <w:color w:val="auto"/>
              </w:rPr>
            </w:pPr>
            <w:r>
              <w:rPr>
                <w:rFonts w:ascii="Arial" w:cs="Arial" w:eastAsia="Arial" w:hAnsi="Arial"/>
                <w:sz w:val="18"/>
                <w:szCs w:val="18"/>
                <w:color w:val="auto"/>
              </w:rPr>
              <w:t>in earnings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2,972,262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259,802,000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196,807,500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ind w:left="340"/>
              <w:spacing w:after="0"/>
              <w:rPr>
                <w:sz w:val="20"/>
                <w:szCs w:val="20"/>
                <w:color w:val="auto"/>
              </w:rPr>
            </w:pPr>
            <w:r>
              <w:rPr>
                <w:rFonts w:ascii="Arial" w:cs="Arial" w:eastAsia="Arial" w:hAnsi="Arial"/>
                <w:sz w:val="18"/>
                <w:szCs w:val="18"/>
                <w:color w:val="auto"/>
              </w:rPr>
              <w:t>Repayments</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(201,500,000)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520" w:type="dxa"/>
            <w:vAlign w:val="bottom"/>
            <w:gridSpan w:val="3"/>
          </w:tcPr>
          <w:p>
            <w:pPr>
              <w:spacing w:after="0"/>
              <w:rPr>
                <w:sz w:val="20"/>
                <w:szCs w:val="20"/>
                <w:color w:val="auto"/>
              </w:rPr>
            </w:pPr>
            <w:r>
              <w:rPr>
                <w:rFonts w:ascii="Arial" w:cs="Arial" w:eastAsia="Arial" w:hAnsi="Arial"/>
                <w:sz w:val="18"/>
                <w:szCs w:val="18"/>
                <w:color w:val="auto"/>
              </w:rPr>
              <w:t>Ending Balance (cost—$291,209,500 and $190,907,500,</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293,663,760</w:t>
            </w:r>
          </w:p>
        </w:tc>
        <w:tc>
          <w:tcPr>
            <w:tcW w:w="32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190,374,979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As of June 30, 2017,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660" w:type="dxa"/>
            <w:vAlign w:val="bottom"/>
            <w:gridSpan w:val="3"/>
            <w:vMerge w:val="restart"/>
          </w:tcPr>
          <w:p>
            <w:pPr>
              <w:ind w:left="1500"/>
              <w:spacing w:after="0"/>
              <w:rPr>
                <w:sz w:val="20"/>
                <w:szCs w:val="20"/>
                <w:color w:val="auto"/>
              </w:rPr>
            </w:pPr>
            <w:r>
              <w:rPr>
                <w:rFonts w:ascii="Arial" w:cs="Arial" w:eastAsia="Arial" w:hAnsi="Arial"/>
                <w:sz w:val="14"/>
                <w:szCs w:val="14"/>
                <w:b w:val="1"/>
                <w:bCs w:val="1"/>
                <w:color w:val="auto"/>
                <w:w w:val="93"/>
              </w:rPr>
              <w:t>Amount Borrowed</w:t>
            </w:r>
          </w:p>
        </w:tc>
        <w:tc>
          <w:tcPr>
            <w:tcW w:w="14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Borrowing Cost</w:t>
            </w:r>
          </w:p>
        </w:tc>
        <w:tc>
          <w:tcPr>
            <w:tcW w:w="4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Current Value</w:t>
            </w:r>
          </w:p>
        </w:tc>
        <w:tc>
          <w:tcPr>
            <w:tcW w:w="460" w:type="dxa"/>
            <w:vAlign w:val="bottom"/>
          </w:tcPr>
          <w:p>
            <w:pPr>
              <w:spacing w:after="0"/>
              <w:rPr>
                <w:sz w:val="14"/>
                <w:szCs w:val="14"/>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Reset Date</w:t>
            </w:r>
          </w:p>
        </w:tc>
        <w:tc>
          <w:tcPr>
            <w:tcW w:w="14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660" w:type="dxa"/>
            <w:vAlign w:val="bottom"/>
            <w:gridSpan w:val="3"/>
            <w:vMerge w:val="continue"/>
          </w:tcPr>
          <w:p>
            <w:pPr>
              <w:spacing w:after="0"/>
              <w:rPr>
                <w:sz w:val="14"/>
                <w:szCs w:val="14"/>
                <w:color w:val="auto"/>
              </w:rPr>
            </w:pPr>
          </w:p>
        </w:tc>
        <w:tc>
          <w:tcPr>
            <w:tcW w:w="2660" w:type="dxa"/>
            <w:vAlign w:val="bottom"/>
            <w:gridSpan w:val="3"/>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Canadian Dollar</w:t>
            </w:r>
          </w:p>
        </w:tc>
        <w:tc>
          <w:tcPr>
            <w:tcW w:w="15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17,500,000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12,407,501</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$13,475,018</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July 5, 2017</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1,067,517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Euro</w:t>
            </w:r>
          </w:p>
        </w:tc>
        <w:tc>
          <w:tcPr>
            <w:tcW w:w="178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18,000,000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18,702,000</w:t>
            </w:r>
          </w:p>
        </w:tc>
        <w:tc>
          <w:tcPr>
            <w:tcW w:w="4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20,529,900</w:t>
            </w:r>
          </w:p>
        </w:tc>
        <w:tc>
          <w:tcPr>
            <w:tcW w:w="460" w:type="dxa"/>
            <w:vAlign w:val="bottom"/>
          </w:tcPr>
          <w:p>
            <w:pPr>
              <w:spacing w:after="0"/>
              <w:rPr>
                <w:sz w:val="19"/>
                <w:szCs w:val="19"/>
                <w:color w:val="auto"/>
              </w:rPr>
            </w:pPr>
          </w:p>
        </w:tc>
        <w:tc>
          <w:tcPr>
            <w:tcW w:w="960" w:type="dxa"/>
            <w:vAlign w:val="bottom"/>
          </w:tcPr>
          <w:p>
            <w:pPr>
              <w:ind w:left="60"/>
              <w:spacing w:after="0"/>
              <w:rPr>
                <w:sz w:val="20"/>
                <w:szCs w:val="20"/>
                <w:color w:val="auto"/>
              </w:rPr>
            </w:pPr>
            <w:r>
              <w:rPr>
                <w:rFonts w:ascii="Arial" w:cs="Arial" w:eastAsia="Arial" w:hAnsi="Arial"/>
                <w:sz w:val="18"/>
                <w:szCs w:val="18"/>
                <w:color w:val="auto"/>
                <w:w w:val="90"/>
              </w:rPr>
              <w:t>July 3, 2017</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1,827,900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31,109,501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34,004,918</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2,895,417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translation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Borrowed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w w:val="93"/>
              </w:rPr>
              <w:t>Borrowing Cost</w:t>
            </w:r>
          </w:p>
        </w:tc>
        <w:tc>
          <w:tcPr>
            <w:tcW w:w="46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2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Reset Date</w:t>
            </w:r>
          </w:p>
        </w:tc>
        <w:tc>
          <w:tcPr>
            <w:tcW w:w="1460" w:type="dxa"/>
            <w:vAlign w:val="bottom"/>
            <w:gridSpan w:val="4"/>
          </w:tcPr>
          <w:p>
            <w:pPr>
              <w:ind w:left="46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1"/>
        </w:trPr>
        <w:tc>
          <w:tcPr>
            <w:tcW w:w="2520" w:type="dxa"/>
            <w:vAlign w:val="bottom"/>
            <w:gridSpan w:val="3"/>
            <w:vMerge w:val="continue"/>
          </w:tcPr>
          <w:p>
            <w:pPr>
              <w:spacing w:after="0"/>
              <w:rPr>
                <w:sz w:val="14"/>
                <w:szCs w:val="14"/>
                <w:color w:val="auto"/>
              </w:rPr>
            </w:pPr>
          </w:p>
        </w:tc>
        <w:tc>
          <w:tcPr>
            <w:tcW w:w="252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Canadian Dollar</w:t>
            </w:r>
          </w:p>
        </w:tc>
        <w:tc>
          <w:tcPr>
            <w:tcW w:w="14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C$  17,500,000</w:t>
            </w:r>
          </w:p>
        </w:tc>
        <w:tc>
          <w:tcPr>
            <w:tcW w:w="4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$ 12,407,501</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$13,338,920</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October 3, 2016</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$0.1 million in expenses relating to amendment costs on the Credit Facility during both the three and nine months ended June 30, 2017, respectively. For the same periods in the prior year, we incurred expenses of zero and $0.9 million, respectively,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and nine months ended June 30, 2017, our Credit Facility had a net change in unrealized appreciation of $1.9 million</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and $3.0 million, respectively. For the three and nine months ended June 30, 2016, our Credit Facility had a net change in unrealized depreciation of $0.3 million and $0.5 million, respectively. As of June 30, 2017 and September 30, 2016, the net unrealized (appreciation) depreciation on our Credit Facility totaled $(2.5) million and $0.5 million, respectively. We use a nationally recognized independent valuation service to measure the fair value of our Credit Facility in a manner consistent with the valuation process that the board of directors uses to value our investments.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2017 were as follows: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Fair Value at</w:t>
            </w: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Purchases of /</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Sale of /</w:t>
            </w:r>
          </w:p>
        </w:tc>
        <w:tc>
          <w:tcPr>
            <w:tcW w:w="460" w:type="dxa"/>
            <w:vAlign w:val="bottom"/>
          </w:tcPr>
          <w:p>
            <w:pPr>
              <w:spacing w:after="0"/>
              <w:rPr>
                <w:sz w:val="14"/>
                <w:szCs w:val="14"/>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Income</w:t>
            </w:r>
          </w:p>
        </w:tc>
        <w:tc>
          <w:tcPr>
            <w:tcW w:w="4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48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2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8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4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62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3"/>
              </w:rPr>
              <w:t>Distributions from</w:t>
            </w:r>
          </w:p>
        </w:tc>
        <w:tc>
          <w:tcPr>
            <w:tcW w:w="4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Affiliates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Affiliates</w:t>
            </w: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Accrued</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June 30, 2017</w:t>
            </w:r>
          </w:p>
        </w:tc>
        <w:tc>
          <w:tcPr>
            <w:tcW w:w="1440" w:type="dxa"/>
            <w:vAlign w:val="bottom"/>
            <w:gridSpan w:val="4"/>
          </w:tcPr>
          <w:p>
            <w:pPr>
              <w:ind w:left="480"/>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3"/>
          </w:tcPr>
          <w:p>
            <w:pPr>
              <w:spacing w:after="0" w:line="201" w:lineRule="exact"/>
              <w:rPr>
                <w:sz w:val="20"/>
                <w:szCs w:val="20"/>
                <w:color w:val="auto"/>
              </w:rPr>
            </w:pPr>
            <w:r>
              <w:rPr>
                <w:rFonts w:ascii="Arial" w:cs="Arial" w:eastAsia="Arial" w:hAnsi="Arial"/>
                <w:sz w:val="18"/>
                <w:szCs w:val="18"/>
                <w:color w:val="auto"/>
              </w:rPr>
              <w:t>PennantPark Senior Secured Loan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Fund I LLC*</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36,000,000</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center"/>
              <w:ind w:left="37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43,962</w:t>
            </w:r>
          </w:p>
        </w:tc>
        <w:tc>
          <w:tcPr>
            <w:tcW w:w="1380" w:type="dxa"/>
            <w:vAlign w:val="bottom"/>
            <w:gridSpan w:val="2"/>
          </w:tcPr>
          <w:p>
            <w:pPr>
              <w:jc w:val="center"/>
              <w:ind w:left="3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36,022,425</w:t>
            </w: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36,000,000</w:t>
            </w:r>
          </w:p>
        </w:tc>
        <w:tc>
          <w:tcPr>
            <w:tcW w:w="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43,962</w:t>
            </w:r>
          </w:p>
        </w:tc>
        <w:tc>
          <w:tcPr>
            <w:tcW w:w="13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36,022,425</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100" w:hanging="436"/>
        <w:spacing w:after="0" w:line="276" w:lineRule="auto"/>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and Kemper are the members of PSSL, a joint venture formed as a Delaware limited liability company that is not consolidated by us for financial reporting purposes. The members of PSSL make investments in the PSSL in the form of equity interests and subordinated debt, and all portfolio and other material decision regarding PSSL must be submitted to PSSL’s board of directors or investment committee, both of which are comprised of two members appointed by each of PFLT and Kemper. Because management of PSSL is shared equally between us and Kemper, we do not believe we control PSSL for purposes of the 1940 Act or otherwise.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20" w:type="dxa"/>
            <w:vAlign w:val="bottom"/>
          </w:tcPr>
          <w:p>
            <w:pPr>
              <w:spacing w:after="0"/>
              <w:rPr>
                <w:sz w:val="12"/>
                <w:szCs w:val="12"/>
                <w:color w:val="auto"/>
              </w:rPr>
            </w:pPr>
          </w:p>
        </w:tc>
        <w:tc>
          <w:tcPr>
            <w:tcW w:w="42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Numerator for net increase in net assets resulting from</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9,341,849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13,419,342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25,473,903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17,602,397</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rPr>
              <w:t>Denominator for basic and diluted weighted average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32,480,074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26,730,074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29,531,356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26,730,074</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Basic and diluted net increase in net assets per share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from operations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60" w:type="dxa"/>
            <w:vAlign w:val="bottom"/>
            <w:shd w:val="clear" w:color="auto" w:fill="CCEEFF"/>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76"/>
              <w:spacing w:after="0"/>
              <w:rPr>
                <w:sz w:val="20"/>
                <w:szCs w:val="20"/>
                <w:color w:val="auto"/>
              </w:rPr>
            </w:pPr>
            <w:r>
              <w:rPr>
                <w:rFonts w:ascii="Arial" w:cs="Arial" w:eastAsia="Arial" w:hAnsi="Arial"/>
                <w:sz w:val="18"/>
                <w:szCs w:val="18"/>
                <w:color w:val="auto"/>
              </w:rPr>
              <w:t>S-71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June 30, 2017 and September 30, 2016, cash and cash equivalents consisted of money market funds in the amounts of $49.0 million and $28.9 million, respectively, at fair value.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14.06</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Net change in realized and unrealized gain</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 xml:space="preserve">(loss) </w:t>
            </w:r>
            <w:r>
              <w:rPr>
                <w:rFonts w:ascii="Arial" w:cs="Arial" w:eastAsia="Arial" w:hAnsi="Arial"/>
                <w:sz w:val="15"/>
                <w:szCs w:val="15"/>
                <w:color w:val="auto"/>
              </w:rPr>
              <w:t>(1)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increase in net assets resulting from operations </w:t>
            </w:r>
            <w:r>
              <w:rPr>
                <w:rFonts w:ascii="Arial" w:cs="Arial" w:eastAsia="Arial" w:hAnsi="Arial"/>
                <w:sz w:val="15"/>
                <w:szCs w:val="15"/>
                <w:color w:val="auto"/>
              </w:rPr>
              <w:t>(1)</w:t>
            </w: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Distributions to stockholders </w:t>
            </w:r>
            <w:r>
              <w:rPr>
                <w:rFonts w:ascii="Arial" w:cs="Arial" w:eastAsia="Arial" w:hAnsi="Arial"/>
                <w:sz w:val="15"/>
                <w:szCs w:val="15"/>
                <w:color w:val="auto"/>
              </w:rPr>
              <w:t>(1),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(0.87)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period</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return* </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32,480,074</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26,730,074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Ratio of operating expenses to average net assets </w:t>
            </w:r>
            <w:r>
              <w:rPr>
                <w:rFonts w:ascii="Arial" w:cs="Arial" w:eastAsia="Arial" w:hAnsi="Arial"/>
                <w:sz w:val="15"/>
                <w:szCs w:val="15"/>
                <w:color w:val="auto"/>
              </w:rPr>
              <w:t>(4)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6"/>
              </w:rPr>
              <w:t xml:space="preserve">Ratio of Credit Facility related expenses to average net assets </w:t>
            </w:r>
            <w:r>
              <w:rPr>
                <w:rFonts w:ascii="Arial" w:cs="Arial" w:eastAsia="Arial" w:hAnsi="Arial"/>
                <w:sz w:val="15"/>
                <w:szCs w:val="15"/>
                <w:color w:val="auto"/>
                <w:w w:val="96"/>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Ratio of total expenses to average net assets </w:t>
            </w:r>
            <w:r>
              <w:rPr>
                <w:rFonts w:ascii="Arial" w:cs="Arial" w:eastAsia="Arial" w:hAnsi="Arial"/>
                <w:sz w:val="15"/>
                <w:szCs w:val="15"/>
                <w:color w:val="auto"/>
              </w:rPr>
              <w:t>(5)</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Ratio of net investment income to average net assets </w:t>
            </w:r>
            <w:r>
              <w:rPr>
                <w:rFonts w:ascii="Arial" w:cs="Arial" w:eastAsia="Arial" w:hAnsi="Arial"/>
                <w:sz w:val="15"/>
                <w:szCs w:val="15"/>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456,311,718</w:t>
            </w:r>
          </w:p>
        </w:tc>
        <w:tc>
          <w:tcPr>
            <w:tcW w:w="4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367,638,633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277,085,083</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112,950,484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Weighted average debt per share </w:t>
            </w:r>
            <w:r>
              <w:rPr>
                <w:rFonts w:ascii="Arial" w:cs="Arial" w:eastAsia="Arial" w:hAnsi="Arial"/>
                <w:sz w:val="15"/>
                <w:szCs w:val="15"/>
                <w:color w:val="auto"/>
              </w:rPr>
              <w:t>(1)</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coverage per unit </w:t>
            </w:r>
            <w:r>
              <w:rPr>
                <w:rFonts w:ascii="Arial" w:cs="Arial" w:eastAsia="Arial" w:hAnsi="Arial"/>
                <w:sz w:val="15"/>
                <w:szCs w:val="15"/>
                <w:color w:val="auto"/>
              </w:rPr>
              <w:t>(6)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62.21%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020" w:type="dxa"/>
            <w:vAlign w:val="bottom"/>
          </w:tcPr>
          <w:p>
            <w:pPr>
              <w:ind w:left="4000"/>
              <w:spacing w:after="0"/>
              <w:rPr>
                <w:sz w:val="20"/>
                <w:szCs w:val="20"/>
                <w:color w:val="auto"/>
              </w:rPr>
            </w:pPr>
            <w:r>
              <w:rPr>
                <w:rFonts w:ascii="Arial" w:cs="Arial" w:eastAsia="Arial" w:hAnsi="Arial"/>
                <w:sz w:val="18"/>
                <w:szCs w:val="18"/>
                <w:color w:val="auto"/>
              </w:rPr>
              <w:t>S-72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245745</wp:posOffset>
            </wp:positionV>
            <wp:extent cx="6946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right="7280" w:firstLine="4"/>
        <w:spacing w:after="0" w:line="291" w:lineRule="auto"/>
        <w:tabs>
          <w:tab w:leader="none" w:pos="632"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tax status of distributions is calculated in accordance with income tax regulations, which may differ from amounts determined under GAAP, and reported on Form 1099-DIV each calendar year.</w:t>
      </w:r>
    </w:p>
    <w:p>
      <w:pPr>
        <w:ind w:left="640" w:right="36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Excludes Credit Facility related costs.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Credit Facility amendment costs, if any, are not annualized.</w:t>
      </w:r>
    </w:p>
    <w:p>
      <w:pPr>
        <w:spacing w:after="0" w:line="9" w:lineRule="exact"/>
        <w:rPr>
          <w:rFonts w:ascii="Arial" w:cs="Arial" w:eastAsia="Arial" w:hAnsi="Arial"/>
          <w:sz w:val="18"/>
          <w:szCs w:val="18"/>
          <w:color w:val="auto"/>
        </w:rPr>
      </w:pPr>
    </w:p>
    <w:p>
      <w:pPr>
        <w:ind w:left="640" w:right="200" w:hanging="436"/>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CREDIT FACILITY</w:t>
      </w:r>
    </w:p>
    <w:p>
      <w:pPr>
        <w:spacing w:after="0" w:line="121"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Funding I’s multi-currency Credit Facility with affiliates of SunTrust Bank, or the Lenders, was $375 million as of June 30, 2017, subject to satisfaction of certain conditions and the regulatory restrictions that the 1940 Act imposes on us as a BDC, has an interest rate spread above LIBOR of 200 basis points, a maturity date of August 2020 and a revolving period that ends in August 2018. As of June 30, 2017 and September 30, 2016, Funding I had $291.2 million and $232.9 million of outstanding borrowings under the Credit Facility, respectively. The Credit Facility had an interest rate of 3.00% and 2.57%, as of June 30, 2017 and September 30, 2016, respectively, excluding the undrawn commitment fees of 0.375%. The annualized weighted average cost of debt for the nine months ended June 30, 2017 and 2016, inclusive of the fee on the undrawn commitment and amendment costs on the Credit Facility, was 3.02% and 5.01%, respectively.</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2017,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57"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JUNE 30, 2017</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200" w:right="200" w:firstLine="4"/>
        <w:spacing w:after="0" w:line="264" w:lineRule="auto"/>
        <w:tabs>
          <w:tab w:leader="none" w:pos="4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June 30, 2017 and September 30, 2016, we had $47.6 million and $20.0 million, respectively, in commitments to fund investments. Additionally, as described in Note 4, the Company had commitments of up to</w:t>
      </w:r>
    </w:p>
    <w:p>
      <w:pPr>
        <w:spacing w:after="0" w:line="2"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$51.5 million to PSSL as of June 30, 2017, that may be contributed primarily for the purpose of funding new investments approved by the PSSL board of directors or investment committee.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Subsequent to quarter-end, we were awarded approximately 14 cents per share in a litigation settlement related to a former portfolio company of MCG Capital Corporation.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29"/>
          <w:szCs w:val="29"/>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177165</wp:posOffset>
            </wp:positionV>
            <wp:extent cx="2221230" cy="4718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Common Stock</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Preferred Stock</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Warrants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Subscription Rights</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Debt Securities</w:t>
      </w:r>
    </w:p>
    <w:p>
      <w:pPr>
        <w:spacing w:after="0" w:line="126"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investment objectives are to generate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8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left="200" w:right="120" w:firstLine="441"/>
        <w:spacing w:after="0" w:line="284"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w:t>
      </w:r>
    </w:p>
    <w:p>
      <w:pPr>
        <w:spacing w:after="0" w:line="1" w:lineRule="exact"/>
        <w:rPr>
          <w:sz w:val="20"/>
          <w:szCs w:val="20"/>
          <w:color w:val="auto"/>
        </w:rPr>
      </w:pPr>
    </w:p>
    <w:p>
      <w:pPr>
        <w:ind w:left="200" w:right="80" w:firstLine="4"/>
        <w:spacing w:after="0" w:line="255" w:lineRule="auto"/>
        <w:tabs>
          <w:tab w:leader="none" w:pos="4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the consent of the majority of our common stockholders and approval of our board of directors, or (3) under such circumstances as the Securities and Exchange Commission, or the SEC, may permit. See “Risk Factors” on page 8 and “Sales of Common Stock Below Net Asset Value” on page 49 of this prospectus for more information.</w:t>
      </w:r>
    </w:p>
    <w:p>
      <w:pPr>
        <w:spacing w:after="0" w:line="82"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“PFLT.” The last reported closing price for our common stock on January 13, 2017 was $14.10 per share, and our net asset value on September 30, 2016 was $14.06 per share.</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on our website is not incorporated by reference into this prospectus. The SEC also maintains a website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140335</wp:posOffset>
            </wp:positionV>
            <wp:extent cx="14662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5" w:lineRule="exact"/>
        <w:rPr>
          <w:sz w:val="20"/>
          <w:szCs w:val="20"/>
          <w:color w:val="auto"/>
        </w:rPr>
      </w:pPr>
    </w:p>
    <w:p>
      <w:pPr>
        <w:ind w:left="200" w:right="6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8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138430</wp:posOffset>
            </wp:positionV>
            <wp:extent cx="14662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1" w:lineRule="exact"/>
        <w:rPr>
          <w:sz w:val="20"/>
          <w:szCs w:val="20"/>
          <w:color w:val="auto"/>
        </w:rPr>
      </w:pPr>
    </w:p>
    <w:p>
      <w:pPr>
        <w:ind w:left="200" w:right="200" w:firstLine="441"/>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Prospectus dated January 19, 2017</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9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120" w:type="dxa"/>
            <w:vAlign w:val="bottom"/>
            <w:gridSpan w:val="6"/>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1"/>
            <w:vMerge w:val="restart"/>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31"/>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580" w:type="dxa"/>
            <w:vAlign w:val="bottom"/>
            <w:gridSpan w:val="20"/>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RISK FACTORS</w:t>
              </w:r>
            </w:hyperlink>
          </w:p>
        </w:tc>
        <w:tc>
          <w:tcPr>
            <w:tcW w:w="940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FORWARD-LOOKING STATEMENTS</w:t>
              </w:r>
            </w:hyperlink>
          </w:p>
        </w:tc>
        <w:tc>
          <w:tcPr>
            <w:tcW w:w="772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SELECTED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120">
              <w:r>
                <w:rPr>
                  <w:rFonts w:ascii="Arial" w:cs="Arial" w:eastAsia="Arial" w:hAnsi="Arial"/>
                  <w:sz w:val="18"/>
                  <w:szCs w:val="18"/>
                  <w:color w:val="0000EE"/>
                  <w:w w:val="97"/>
                </w:rPr>
                <w:t>MANAGEMENT’S DISCUSSION AND ANALYSIS OF FINANCIAL CONDITION AND RESULTS OF OPERATIONS</w:t>
              </w:r>
            </w:hyperlink>
          </w:p>
        </w:tc>
        <w:tc>
          <w:tcPr>
            <w:tcW w:w="17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34">
              <w:r>
                <w:rPr>
                  <w:rFonts w:ascii="Arial" w:cs="Arial" w:eastAsia="Arial" w:hAnsi="Arial"/>
                  <w:sz w:val="18"/>
                  <w:szCs w:val="18"/>
                  <w:color w:val="0000EE"/>
                  <w:w w:val="93"/>
                </w:rPr>
                <w:t>SENIOR SECURITIES</w:t>
              </w:r>
            </w:hyperlink>
          </w:p>
        </w:tc>
        <w:tc>
          <w:tcPr>
            <w:tcW w:w="894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PRICE RANGE OF COMMON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SALES OF COMMON STOCK BELOW NET ASSET VALUE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DISTRIBUTIONS</w:t>
              </w:r>
            </w:hyperlink>
          </w:p>
        </w:tc>
        <w:tc>
          <w:tcPr>
            <w:tcW w:w="60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44">
              <w:r>
                <w:rPr>
                  <w:rFonts w:ascii="Arial" w:cs="Arial" w:eastAsia="Arial" w:hAnsi="Arial"/>
                  <w:sz w:val="18"/>
                  <w:szCs w:val="18"/>
                  <w:color w:val="0000EE"/>
                  <w:w w:val="92"/>
                </w:rPr>
                <w:t>BUSINESS</w:t>
              </w:r>
            </w:hyperlink>
          </w:p>
        </w:tc>
        <w:tc>
          <w:tcPr>
            <w:tcW w:w="500" w:type="dxa"/>
            <w:vAlign w:val="bottom"/>
            <w:tcBorders>
              <w:top w:val="single" w:sz="8" w:color="0000EE"/>
            </w:tcBorders>
            <w:gridSpan w:val="4"/>
          </w:tcPr>
          <w:p>
            <w:pPr>
              <w:spacing w:after="0"/>
              <w:rPr>
                <w:sz w:val="17"/>
                <w:szCs w:val="17"/>
                <w:color w:val="auto"/>
              </w:rPr>
            </w:pPr>
          </w:p>
        </w:tc>
        <w:tc>
          <w:tcPr>
            <w:tcW w:w="930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PORTFOLIO COMPANIES</w:t>
              </w:r>
            </w:hyperlink>
          </w:p>
        </w:tc>
        <w:tc>
          <w:tcPr>
            <w:tcW w:w="1460" w:type="dxa"/>
            <w:vAlign w:val="bottom"/>
            <w:tcBorders>
              <w:top w:val="single" w:sz="8" w:color="0000EE"/>
            </w:tcBorders>
            <w:gridSpan w:val="10"/>
          </w:tcPr>
          <w:p>
            <w:pPr>
              <w:spacing w:after="0"/>
              <w:rPr>
                <w:sz w:val="17"/>
                <w:szCs w:val="17"/>
                <w:color w:val="auto"/>
              </w:rPr>
            </w:pPr>
          </w:p>
        </w:tc>
        <w:tc>
          <w:tcPr>
            <w:tcW w:w="71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CONTROL PERSONS AND 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CERTAIN RELATIONSHIPS AND TRANSACTIONS</w:t>
              </w:r>
            </w:hyperlink>
          </w:p>
        </w:tc>
        <w:tc>
          <w:tcPr>
            <w:tcW w:w="61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6"/>
              </w:rPr>
            </w:pPr>
            <w:hyperlink w:anchor="page181">
              <w:r>
                <w:rPr>
                  <w:rFonts w:ascii="Arial" w:cs="Arial" w:eastAsia="Arial" w:hAnsi="Arial"/>
                  <w:sz w:val="18"/>
                  <w:szCs w:val="18"/>
                  <w:color w:val="0000EE"/>
                  <w:w w:val="96"/>
                </w:rPr>
                <w:t>DETERMINATION OF NET ASSET VALUE</w:t>
              </w:r>
            </w:hyperlink>
          </w:p>
        </w:tc>
        <w:tc>
          <w:tcPr>
            <w:tcW w:w="640" w:type="dxa"/>
            <w:vAlign w:val="bottom"/>
            <w:tcBorders>
              <w:top w:val="single" w:sz="8" w:color="0000EE"/>
            </w:tcBorders>
            <w:gridSpan w:val="5"/>
          </w:tcPr>
          <w:p>
            <w:pPr>
              <w:spacing w:after="0"/>
              <w:rPr>
                <w:sz w:val="17"/>
                <w:szCs w:val="17"/>
                <w:color w:val="auto"/>
              </w:rPr>
            </w:pPr>
          </w:p>
        </w:tc>
        <w:tc>
          <w:tcPr>
            <w:tcW w:w="66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DIVIDEND REINVESTMENT PLAN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86">
              <w:r>
                <w:rPr>
                  <w:rFonts w:ascii="Arial" w:cs="Arial" w:eastAsia="Arial" w:hAnsi="Arial"/>
                  <w:sz w:val="18"/>
                  <w:szCs w:val="18"/>
                  <w:color w:val="0000EE"/>
                  <w:w w:val="95"/>
                </w:rPr>
                <w:t>DESCRIPTION OF OUR CAPITAL STOCK</w:t>
              </w:r>
            </w:hyperlink>
          </w:p>
        </w:tc>
        <w:tc>
          <w:tcPr>
            <w:tcW w:w="736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92">
              <w:r>
                <w:rPr>
                  <w:rFonts w:ascii="Arial" w:cs="Arial" w:eastAsia="Arial" w:hAnsi="Arial"/>
                  <w:sz w:val="18"/>
                  <w:szCs w:val="18"/>
                  <w:color w:val="0000EE"/>
                  <w:w w:val="93"/>
                </w:rPr>
                <w:t>DESCRIPTION OF OUR PREFERRED STOCK</w:t>
              </w:r>
            </w:hyperlink>
          </w:p>
        </w:tc>
        <w:tc>
          <w:tcPr>
            <w:tcW w:w="70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193">
              <w:r>
                <w:rPr>
                  <w:rFonts w:ascii="Arial" w:cs="Arial" w:eastAsia="Arial" w:hAnsi="Arial"/>
                  <w:sz w:val="18"/>
                  <w:szCs w:val="18"/>
                  <w:color w:val="0000EE"/>
                </w:rPr>
                <w:t>DESCRIPTION OF OUR WARRANTS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195">
              <w:r>
                <w:rPr>
                  <w:rFonts w:ascii="Arial" w:cs="Arial" w:eastAsia="Arial" w:hAnsi="Arial"/>
                  <w:sz w:val="18"/>
                  <w:szCs w:val="18"/>
                  <w:color w:val="0000EE"/>
                  <w:w w:val="94"/>
                </w:rPr>
                <w:t>DESCRIPTION OF OUR SUBSCRIPTION RIGHTS</w:t>
              </w:r>
            </w:hyperlink>
          </w:p>
        </w:tc>
        <w:tc>
          <w:tcPr>
            <w:tcW w:w="676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196">
              <w:r>
                <w:rPr>
                  <w:rFonts w:ascii="Arial" w:cs="Arial" w:eastAsia="Arial" w:hAnsi="Arial"/>
                  <w:sz w:val="18"/>
                  <w:szCs w:val="18"/>
                  <w:color w:val="0000EE"/>
                  <w:w w:val="94"/>
                </w:rPr>
                <w:t>DESCRIPTION OF OUR DEBT SECURITIES</w:t>
              </w:r>
            </w:hyperlink>
          </w:p>
        </w:tc>
        <w:tc>
          <w:tcPr>
            <w:tcW w:w="720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REGULATION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420" w:type="dxa"/>
            <w:vAlign w:val="bottom"/>
            <w:gridSpan w:val="1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BROKERAGE ALLOCATIONS AND OTHER PRACTICES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420" w:type="dxa"/>
            <w:vAlign w:val="bottom"/>
            <w:tcBorders>
              <w:right w:val="single" w:sz="8" w:color="0000EE"/>
            </w:tcBorders>
            <w:gridSpan w:val="1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8"/>
          </w:tcPr>
          <w:p>
            <w:pPr>
              <w:spacing w:after="0" w:line="196" w:lineRule="exact"/>
              <w:rPr>
                <w:rFonts w:ascii="Arial" w:cs="Arial" w:eastAsia="Arial" w:hAnsi="Arial"/>
                <w:sz w:val="18"/>
                <w:szCs w:val="18"/>
                <w:color w:val="0000EE"/>
                <w:w w:val="96"/>
              </w:rPr>
            </w:pPr>
            <w:hyperlink w:anchor="page215">
              <w:r>
                <w:rPr>
                  <w:rFonts w:ascii="Arial" w:cs="Arial" w:eastAsia="Arial" w:hAnsi="Arial"/>
                  <w:sz w:val="18"/>
                  <w:szCs w:val="18"/>
                  <w:color w:val="0000EE"/>
                  <w:w w:val="96"/>
                </w:rPr>
                <w:t>MATERIAL U.S. FEDERAL INCOME TAX CONSIDERATIONS</w:t>
              </w:r>
            </w:hyperlink>
          </w:p>
        </w:tc>
        <w:tc>
          <w:tcPr>
            <w:tcW w:w="57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222">
              <w:r>
                <w:rPr>
                  <w:rFonts w:ascii="Arial" w:cs="Arial" w:eastAsia="Arial" w:hAnsi="Arial"/>
                  <w:sz w:val="18"/>
                  <w:szCs w:val="18"/>
                  <w:color w:val="0000EE"/>
                  <w:w w:val="97"/>
                </w:rPr>
                <w:t>PLAN OF DISTRIBUTION</w:t>
              </w:r>
            </w:hyperlink>
          </w:p>
        </w:tc>
        <w:tc>
          <w:tcPr>
            <w:tcW w:w="86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w:anchor="page224">
              <w:r>
                <w:rPr>
                  <w:rFonts w:ascii="Arial" w:cs="Arial" w:eastAsia="Arial" w:hAnsi="Arial"/>
                  <w:sz w:val="18"/>
                  <w:szCs w:val="18"/>
                  <w:color w:val="0000EE"/>
                  <w:w w:val="96"/>
                </w:rPr>
                <w:t>LEGAL MATTERS</w:t>
              </w:r>
            </w:hyperlink>
          </w:p>
        </w:tc>
        <w:tc>
          <w:tcPr>
            <w:tcW w:w="4480" w:type="dxa"/>
            <w:vAlign w:val="bottom"/>
            <w:tcBorders>
              <w:top w:val="single" w:sz="8" w:color="0000EE"/>
            </w:tcBorders>
            <w:gridSpan w:val="23"/>
          </w:tcPr>
          <w:p>
            <w:pPr>
              <w:spacing w:after="0"/>
              <w:rPr>
                <w:sz w:val="17"/>
                <w:szCs w:val="17"/>
                <w:color w:val="auto"/>
              </w:rPr>
            </w:pPr>
          </w:p>
        </w:tc>
        <w:tc>
          <w:tcPr>
            <w:tcW w:w="47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10660" w:type="dxa"/>
            <w:vAlign w:val="bottom"/>
            <w:gridSpan w:val="31"/>
          </w:tcPr>
          <w:p>
            <w:pPr>
              <w:spacing w:after="0" w:line="196" w:lineRule="exact"/>
              <w:rPr>
                <w:rFonts w:ascii="Arial" w:cs="Arial" w:eastAsia="Arial" w:hAnsi="Arial"/>
                <w:sz w:val="18"/>
                <w:szCs w:val="18"/>
                <w:color w:val="0000EE"/>
              </w:rPr>
            </w:pPr>
            <w:hyperlink w:anchor="page224">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448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7"/>
              </w:rPr>
            </w:pPr>
            <w:hyperlink w:anchor="page225">
              <w:r>
                <w:rPr>
                  <w:rFonts w:ascii="Arial" w:cs="Arial" w:eastAsia="Arial" w:hAnsi="Arial"/>
                  <w:sz w:val="18"/>
                  <w:szCs w:val="18"/>
                  <w:color w:val="0000EE"/>
                  <w:w w:val="97"/>
                </w:rPr>
                <w:t>INDEX TO CONSOLIDATED FINANCIAL STATEMENTS</w:t>
              </w:r>
            </w:hyperlink>
          </w:p>
        </w:tc>
        <w:tc>
          <w:tcPr>
            <w:tcW w:w="320" w:type="dxa"/>
            <w:vAlign w:val="bottom"/>
            <w:tcBorders>
              <w:top w:val="single" w:sz="8" w:color="0000EE"/>
            </w:tcBorders>
            <w:gridSpan w:val="3"/>
          </w:tcPr>
          <w:p>
            <w:pPr>
              <w:spacing w:after="0"/>
              <w:rPr>
                <w:sz w:val="17"/>
                <w:szCs w:val="17"/>
                <w:color w:val="auto"/>
              </w:rPr>
            </w:pPr>
          </w:p>
        </w:tc>
        <w:tc>
          <w:tcPr>
            <w:tcW w:w="58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except where the context suggests otherwise: the terms “we,” “us,” “our” and “Company”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and “Credit Facility” refers to our multi-currency senior secured revolving credit facility, as amended and restated with SunTrust Bank and other lenders, or the Lenders.</w:t>
      </w:r>
    </w:p>
    <w:p>
      <w:pPr>
        <w:spacing w:after="0" w:line="28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80" w:right="16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67" w:lineRule="exact"/>
        <w:rPr>
          <w:sz w:val="20"/>
          <w:szCs w:val="20"/>
          <w:color w:val="auto"/>
        </w:rPr>
      </w:pPr>
    </w:p>
    <w:p>
      <w:pPr>
        <w:ind w:left="380" w:right="100" w:firstLine="426"/>
        <w:spacing w:after="0" w:line="273" w:lineRule="auto"/>
        <w:rPr>
          <w:sz w:val="20"/>
          <w:szCs w:val="20"/>
          <w:color w:val="auto"/>
        </w:rPr>
      </w:pPr>
      <w:r>
        <w:rPr>
          <w:rFonts w:ascii="Arial" w:cs="Arial" w:eastAsia="Arial" w:hAnsi="Arial"/>
          <w:sz w:val="17"/>
          <w:szCs w:val="17"/>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0" w:firstLine="426"/>
        <w:spacing w:after="0" w:line="297"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 For a description of our Credit Facility, see “Management’s Discussion and Analysis of Financial Condition and Results of Operations—Liquidity and Capital Resources.”</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80" w:right="80" w:firstLine="426"/>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or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78" w:lineRule="exact"/>
        <w:rPr>
          <w:sz w:val="20"/>
          <w:szCs w:val="20"/>
          <w:color w:val="auto"/>
        </w:rPr>
      </w:pPr>
    </w:p>
    <w:p>
      <w:pPr>
        <w:ind w:left="380" w:right="60" w:firstLine="42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756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firstLine="426"/>
        <w:spacing w:after="0" w:line="293"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capital markets and private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with debt investments. See “Business” for more information.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believe that we have competitive advantages over other capital providers to middle-market companies, such as a management team with an average of over 25 years of experience in senior lending, mezzanine lending, leveraged finance, distressed debt and private equity businesses, a disciplined investment approach with strong value orientation, an ability to source and evaluate transactions through our Investment Adviser’s proactive research capability and established network and flexible transaction structuring that allows for us to invest across the capital structure. See “Business” for more information.</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93" w:lineRule="exact"/>
        <w:rPr>
          <w:sz w:val="20"/>
          <w:szCs w:val="20"/>
          <w:color w:val="auto"/>
        </w:rPr>
      </w:pPr>
    </w:p>
    <w:p>
      <w:pPr>
        <w:ind w:left="380" w:right="80" w:firstLine="426"/>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380" w:right="180" w:firstLine="426"/>
        <w:spacing w:after="0" w:line="272" w:lineRule="auto"/>
        <w:rPr>
          <w:sz w:val="20"/>
          <w:szCs w:val="20"/>
          <w:color w:val="auto"/>
        </w:rPr>
      </w:pPr>
      <w:r>
        <w:rPr>
          <w:rFonts w:ascii="Arial" w:cs="Arial" w:eastAsia="Arial" w:hAnsi="Arial"/>
          <w:sz w:val="17"/>
          <w:szCs w:val="17"/>
          <w:color w:val="auto"/>
        </w:rPr>
        <w:t>We currently use and expect to continue to use leverage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ratio of the 1940 Act, may generally range between 70% and 90% of our net assets, or 40% and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240" w:top="459" w:right="6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Our investment activities are managed by PennantPark Investment Advisers. Our board of directors, a majority of whom are independent of us, provides overall supervision of our activities, and the Investment Adviser supervises our day-to-day activities.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88"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188"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80" w:firstLine="426"/>
        <w:spacing w:after="0" w:line="312"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54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34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02145" cy="4634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20"/>
        <w:spacing w:after="0" w:line="277" w:lineRule="auto"/>
        <w:rPr>
          <w:sz w:val="20"/>
          <w:szCs w:val="20"/>
          <w:color w:val="auto"/>
        </w:rPr>
      </w:pPr>
      <w:r>
        <w:rPr>
          <w:rFonts w:ascii="Arial" w:cs="Arial" w:eastAsia="Arial" w:hAnsi="Arial"/>
          <w:sz w:val="18"/>
          <w:szCs w:val="18"/>
          <w:color w:val="auto"/>
        </w:rPr>
        <w:t>stock rather than receiving the cash distribution. Registered stockholders must notify our transfer agent in writing if they wish to ‘opt-out’ of the dividend reinvestment plan. See “Dividend Reinvestment Plan”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170" w:lineRule="exact"/>
        <w:rPr>
          <w:sz w:val="20"/>
          <w:szCs w:val="20"/>
          <w:color w:val="auto"/>
        </w:rPr>
      </w:pPr>
    </w:p>
    <w:p>
      <w:pPr>
        <w:ind w:left="380" w:right="40" w:firstLine="426"/>
        <w:spacing w:after="0" w:line="271" w:lineRule="auto"/>
        <w:rPr>
          <w:sz w:val="20"/>
          <w:szCs w:val="20"/>
          <w:color w:val="auto"/>
        </w:rPr>
      </w:pPr>
      <w:r>
        <w:rPr>
          <w:rFonts w:ascii="Arial" w:cs="Arial" w:eastAsia="Arial" w:hAnsi="Arial"/>
          <w:sz w:val="17"/>
          <w:szCs w:val="17"/>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79" w:lineRule="exact"/>
        <w:rPr>
          <w:sz w:val="20"/>
          <w:szCs w:val="20"/>
          <w:color w:val="auto"/>
        </w:rPr>
      </w:pPr>
    </w:p>
    <w:p>
      <w:pPr>
        <w:ind w:left="380" w:right="44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w:t>
      </w:r>
    </w:p>
    <w:p>
      <w:pPr>
        <w:spacing w:after="0" w:line="3" w:lineRule="exact"/>
        <w:rPr>
          <w:sz w:val="20"/>
          <w:szCs w:val="20"/>
          <w:color w:val="auto"/>
        </w:rPr>
      </w:pPr>
    </w:p>
    <w:p>
      <w:pPr>
        <w:ind w:left="380" w:right="220"/>
        <w:spacing w:after="0" w:line="261" w:lineRule="auto"/>
        <w:rPr>
          <w:sz w:val="20"/>
          <w:szCs w:val="20"/>
          <w:color w:val="auto"/>
        </w:rPr>
      </w:pPr>
      <w:r>
        <w:rPr>
          <w:rFonts w:ascii="Arial" w:cs="Arial" w:eastAsia="Arial" w:hAnsi="Arial"/>
          <w:sz w:val="18"/>
          <w:szCs w:val="18"/>
          <w:color w:val="auto"/>
        </w:rPr>
        <w:t xml:space="preserve">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Sales load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Estimated annual expenses (as a percentage of average net assets attributable to common</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shares)</w:t>
            </w:r>
            <w:r>
              <w:rPr>
                <w:rFonts w:ascii="Arial" w:cs="Arial" w:eastAsia="Arial" w:hAnsi="Arial"/>
                <w:sz w:val="15"/>
                <w:szCs w:val="15"/>
                <w:b w:val="1"/>
                <w:bCs w:val="1"/>
                <w:color w:val="auto"/>
              </w:rPr>
              <w:t>(3)</w:t>
            </w:r>
          </w:p>
        </w:tc>
        <w:tc>
          <w:tcPr>
            <w:tcW w:w="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Management fees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7"/>
              </w:rPr>
              <w:t>1.63%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1.30%</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7"/>
              </w:rPr>
              <w:t>1.58%</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0.90%</w:t>
            </w:r>
            <w:r>
              <w:rPr>
                <w:rFonts w:ascii="Arial" w:cs="Arial" w:eastAsia="Arial" w:hAnsi="Arial"/>
                <w:sz w:val="15"/>
                <w:szCs w:val="15"/>
                <w:color w:val="auto"/>
                <w:w w:val="97"/>
              </w:rPr>
              <w:t>(7)</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80" w:type="dxa"/>
            <w:vAlign w:val="bottom"/>
            <w:gridSpan w:val="2"/>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7"/>
              </w:rPr>
              <w:t>5.41%</w:t>
            </w:r>
            <w:r>
              <w:rPr>
                <w:rFonts w:ascii="Arial" w:cs="Arial" w:eastAsia="Arial" w:hAnsi="Arial"/>
                <w:sz w:val="15"/>
                <w:szCs w:val="15"/>
                <w:color w:val="auto"/>
                <w:w w:val="97"/>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640" w:right="800" w:hanging="436"/>
        <w:spacing w:after="0" w:line="25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2016.</w:t>
      </w:r>
    </w:p>
    <w:p>
      <w:pPr>
        <w:spacing w:after="0" w:line="9"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2016. See “Certain Relationships and Transactions—Investment Management Agreement” for more information.</w:t>
      </w:r>
    </w:p>
    <w:p>
      <w:pPr>
        <w:ind w:left="640" w:right="20" w:hanging="436"/>
        <w:spacing w:after="0" w:line="281" w:lineRule="auto"/>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Transactions—Investment Management Agreement” for more information.</w:t>
      </w:r>
    </w:p>
    <w:p>
      <w:pPr>
        <w:spacing w:after="0" w:line="7" w:lineRule="exact"/>
        <w:rPr>
          <w:rFonts w:ascii="Arial" w:cs="Arial" w:eastAsia="Arial" w:hAnsi="Arial"/>
          <w:sz w:val="16"/>
          <w:szCs w:val="16"/>
          <w:color w:val="auto"/>
        </w:rPr>
      </w:pPr>
    </w:p>
    <w:p>
      <w:pPr>
        <w:ind w:left="640" w:right="180" w:hanging="436"/>
        <w:spacing w:after="0" w:line="253"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in the future will depend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56" w:lineRule="auto"/>
        <w:rPr>
          <w:sz w:val="20"/>
          <w:szCs w:val="20"/>
          <w:color w:val="auto"/>
        </w:rPr>
      </w:pPr>
      <w:r>
        <w:rPr>
          <w:rFonts w:ascii="Arial" w:cs="Arial" w:eastAsia="Arial" w:hAnsi="Arial"/>
          <w:sz w:val="18"/>
          <w:szCs w:val="18"/>
          <w:color w:val="auto"/>
        </w:rPr>
        <w:t>on prevailing interest rates and our rate of borrowing, which may be substantially higher than the amount provided in this table. See “Risk Factors —Risks Relating to our Business and Structure—We currently use borrowed funds to make investments and are exposed to the typical risks associated with leverage” for more information.</w:t>
      </w:r>
    </w:p>
    <w:p>
      <w:pPr>
        <w:ind w:left="640" w:right="260" w:hanging="436"/>
        <w:spacing w:after="0" w:line="281" w:lineRule="auto"/>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60" w:hanging="436"/>
        <w:spacing w:after="0" w:line="252"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37 of this prospectus.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600" w:firstLine="441"/>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0.48%,</w:t>
      </w:r>
    </w:p>
    <w:p>
      <w:pPr>
        <w:ind w:left="200" w:right="820" w:firstLine="4"/>
        <w:spacing w:after="0" w:line="261" w:lineRule="auto"/>
        <w:tabs>
          <w:tab w:leader="none" w:pos="4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net estimated annual expenses of 4.11% of average net assets attributable to common shares as set forth in the table above (other than performance-based incentive fees) and (3) a 5% annual return.</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75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7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1 year</w:t>
            </w:r>
          </w:p>
        </w:tc>
        <w:tc>
          <w:tcPr>
            <w:tcW w:w="88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3 years</w:t>
            </w:r>
          </w:p>
        </w:tc>
        <w:tc>
          <w:tcPr>
            <w:tcW w:w="88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5 years</w:t>
            </w:r>
          </w:p>
        </w:tc>
        <w:tc>
          <w:tcPr>
            <w:tcW w:w="10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10 years</w:t>
            </w:r>
          </w:p>
        </w:tc>
      </w:tr>
      <w:tr>
        <w:trPr>
          <w:trHeight w:val="182"/>
        </w:trPr>
        <w:tc>
          <w:tcPr>
            <w:tcW w:w="20" w:type="dxa"/>
            <w:vAlign w:val="bottom"/>
          </w:tcPr>
          <w:p>
            <w:pPr>
              <w:spacing w:after="0"/>
              <w:rPr>
                <w:sz w:val="15"/>
                <w:szCs w:val="15"/>
                <w:color w:val="auto"/>
              </w:rPr>
            </w:pPr>
          </w:p>
        </w:tc>
        <w:tc>
          <w:tcPr>
            <w:tcW w:w="47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2840" w:type="dxa"/>
            <w:vAlign w:val="bottom"/>
            <w:tcBorders>
              <w:top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capital gains or net unrealized</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appreciation)</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 subject to the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560" w:type="dxa"/>
            <w:vAlign w:val="bottom"/>
            <w:gridSpan w:val="2"/>
          </w:tcPr>
          <w:p>
            <w:pPr>
              <w:ind w:left="160"/>
              <w:spacing w:after="0"/>
              <w:rPr>
                <w:sz w:val="20"/>
                <w:szCs w:val="20"/>
                <w:color w:val="auto"/>
              </w:rPr>
            </w:pPr>
            <w:r>
              <w:rPr>
                <w:rFonts w:ascii="Arial" w:cs="Arial" w:eastAsia="Arial" w:hAnsi="Arial"/>
                <w:sz w:val="18"/>
                <w:szCs w:val="18"/>
                <w:color w:val="auto"/>
              </w:rPr>
              <w:t>capital gains incentive fee)</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84</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183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281</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525</w:t>
            </w: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Reinvestment of distributions under our dividend reinvestment plan may occur at a price per share that differs from NAV. See “Distributions” and “Dividend Reinvestment Plan” for more information.</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or any securities we may issue, may decline, and you may lose all or part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200" w:firstLine="220"/>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The U.S. and global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regarding the United Kingdom referendum decision to leave the European Union (the so called “Brexit”), continuing signs of deteriorating sovereign debt conditions in Europe and an economic slowdown in China create uncertainty that could lead to further disruptions, instability and weakening consumer, corporate and financial confidence. We may in the future have difficulty accessing debt and equity capital markets, and a severe disruption in the global financial markets, deterioration in credit and financing conditions or uncertainty regarding U.S. government spending and deficit levels, Brexit, European sovereign debt, Chinese economic slowdown or other global economic conditions could have a material adverse effect on our business, financial condition and results of operations.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6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significant disruption in the capital markets experienced in the past has had, and may in the future have, a negative effect on the valuations of our investments and on the potential for liquidity events involving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could be subject to reduced availability and/or mandatory prepayments under Funding I’s Credit Facility.</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to the asset coverage ratio requirements, our Credit Facility contains various covenants applicable to Funding I, which restricts our ability to borrow funds. For example, the income coverage covenant, or test, requires us to maintain a ratio whereby the aggregate amount of interest received on the portfolio loans must equal at least 125% of the interest payable in respect to the Lenders and other parties. Failure to satisfy the various covenants under the Credit Facility could accelerate repayment under the Credit Facility or otherwise prevent us from receiving distributions under the payment waterfall. This could materially and adversely affect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83" w:lineRule="exact"/>
        <w:rPr>
          <w:sz w:val="20"/>
          <w:szCs w:val="20"/>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retain our tax status as a RIC;</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requirement that our outstanding borrowings under the Credit Facility not exceed a certain percentage of the value of our portfolio.</w:t>
      </w:r>
    </w:p>
    <w:p>
      <w:pPr>
        <w:spacing w:after="0" w:line="23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in Funding I. This could have a material adverse effect on our operations, as it would reduce availability under the Credit Facility and could trigger mandatory prepayment obligations under the terms of the Credit Facility.</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24"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Our investments with a deferred interest feature, such as original issue discount, or OID, income and payment-in-kind, or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left="200" w:right="160" w:firstLine="220"/>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the target of litigation.</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be the target of securities litigation in the future, particularly if the trading price of our common stock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295" w:lineRule="exact"/>
        <w:rPr>
          <w:sz w:val="20"/>
          <w:szCs w:val="20"/>
          <w:color w:val="auto"/>
        </w:rPr>
      </w:pPr>
    </w:p>
    <w:p>
      <w:pPr>
        <w:jc w:val="both"/>
        <w:ind w:left="200" w:right="40" w:firstLine="220"/>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7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exposed to risks associated with changes in interest rates that may affect our cost of capital and net investment income.</w:t>
      </w:r>
    </w:p>
    <w:p>
      <w:pPr>
        <w:spacing w:after="0" w:line="1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Operations—Quantitative and Qualitative Disclosures about Market Risk” for more information.</w:t>
      </w:r>
    </w:p>
    <w:p>
      <w:pPr>
        <w:spacing w:after="0" w:line="17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86" w:lineRule="exact"/>
        <w:rPr>
          <w:sz w:val="20"/>
          <w:szCs w:val="20"/>
          <w:color w:val="auto"/>
        </w:rPr>
      </w:pPr>
    </w:p>
    <w:p>
      <w:pPr>
        <w:ind w:left="200" w:right="220" w:firstLine="22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left="200" w:right="860" w:firstLine="220"/>
        <w:spacing w:after="0" w:line="277" w:lineRule="auto"/>
        <w:rPr>
          <w:sz w:val="20"/>
          <w:szCs w:val="20"/>
          <w:color w:val="auto"/>
        </w:rPr>
      </w:pPr>
      <w:r>
        <w:rPr>
          <w:rFonts w:ascii="Arial" w:cs="Arial" w:eastAsia="Arial" w:hAnsi="Arial"/>
          <w:sz w:val="18"/>
          <w:szCs w:val="18"/>
          <w:b w:val="1"/>
          <w:bCs w:val="1"/>
          <w:i w:val="1"/>
          <w:iCs w:val="1"/>
          <w:color w:val="auto"/>
        </w:rPr>
        <w:t>We may not replicate the historical performance of other investment companies and funds with which our senior and other investment professionals have been affiliated.</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11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decrease our operating flexibility, which could have a material adverse effect on our business, financial condition and results of operations.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Loss of RIC tax status would substantially reduce our net assets and income available for debt service and distributions.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operated and continue to operate so as to maintain our election to be treated as a RIC under Subchapter M of the Code. If we meet the annual source of income, quarterly asset diversification, and distribution requirements, we generally will not be subject to corporate-level income taxation on income we timely distribute, or deem to distribute, as dividends for U.S. federal income tax purposes to our stockholders.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sum of (1) 98% of our net ordinary income (subject to certain deferrals and elections) for the calendar year, (2) 98.2% of our capital gain net income (adjusted for certain ordinary losses) generally for the one-year period ending on October 31 of the calendar year plus (3) any net ordinary income or capital gain net income for preceding years that was not distributed during such years and on which we were not subject to corporate income tax.</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may have difficulty meeting the tax requirement to distribute at least 90% of the sum of our ordinary income and realized net short-term capital gains, if any, to obtain RIC tax benefits. Accordingly,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RIC tax status and thus be subject to corporate-level income tax.</w:t>
      </w:r>
    </w:p>
    <w:p>
      <w:pPr>
        <w:spacing w:after="0" w:line="296" w:lineRule="exact"/>
        <w:rPr>
          <w:sz w:val="20"/>
          <w:szCs w:val="20"/>
          <w:color w:val="auto"/>
        </w:rPr>
      </w:pPr>
    </w:p>
    <w:p>
      <w:pPr>
        <w:jc w:val="both"/>
        <w:ind w:left="200" w:right="440" w:firstLine="220"/>
        <w:spacing w:after="0" w:line="264" w:lineRule="auto"/>
        <w:rPr>
          <w:sz w:val="20"/>
          <w:szCs w:val="20"/>
          <w:color w:val="auto"/>
        </w:rPr>
      </w:pPr>
      <w:r>
        <w:rPr>
          <w:rFonts w:ascii="Arial" w:cs="Arial" w:eastAsia="Arial" w:hAnsi="Arial"/>
          <w:sz w:val="18"/>
          <w:szCs w:val="18"/>
          <w:b w:val="1"/>
          <w:bCs w:val="1"/>
          <w:i w:val="1"/>
          <w:iCs w:val="1"/>
          <w:color w:val="auto"/>
        </w:rPr>
        <w:t>Because we intend to distribute substantially all of our income to our stockholders to maintain our tax status as a RIC, we will need to raise additional capital to finance our growth. If funds are not available to us, we may need to curtail new investments, and our common stock value could decline.</w:t>
      </w:r>
    </w:p>
    <w:p>
      <w:pPr>
        <w:spacing w:after="0" w:line="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order to satisfy the requirements to be treated as a RIC for federal income tax purposes, we intend to distribute to our stockholders substantially all of our investment company taxable income and net capital gains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each taxable year. However, we may retain all or a portion of our net capital gains and pay applicable income taxes with respect thereto and elect to treat such retained net capital gains as deemed dividend distributions to our stockholders.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As a BDC, we are required to meet a 200%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3"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are partially dependent on our subsidiary Funding I for cash distributions to enable us to meet the RIC distribution requirements. Funding I may be limited by its covenants from making certain distributions to us that may be necessary to fulfill our requirements to be subject to tax as a RIC for federal income tax purposes. We may have to request a waiver of these covenants’ restrictions for Funding I to make certain distributions to enable us to be treated as a RIC for federal income tax purposes. We cannot assure you that Funding I will be granted such a waiver, and if Funding I is unable to obtain a waiver, compliance with the covenants may cause us to incur a corporate-level income tax.</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Regulations governing our operation as a BDC will affect our ability to, and the way in which we, raise additional capital.</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Under the 1940 Act, the asset coverage ratio requirements permit us to issue senior securities or incur indebtedness subject to certain limits.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damage our business, financial condition and results of operations.</w:t>
      </w:r>
    </w:p>
    <w:p>
      <w:pPr>
        <w:spacing w:after="0" w:line="87" w:lineRule="exact"/>
        <w:rPr>
          <w:sz w:val="20"/>
          <w:szCs w:val="20"/>
          <w:color w:val="auto"/>
        </w:rPr>
      </w:pPr>
    </w:p>
    <w:p>
      <w:pPr>
        <w:ind w:left="640" w:right="40" w:hanging="328"/>
        <w:spacing w:after="0" w:line="273"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83" w:lineRule="exact"/>
        <w:rPr>
          <w:rFonts w:ascii="Arial" w:cs="Arial" w:eastAsia="Arial" w:hAnsi="Arial"/>
          <w:sz w:val="17"/>
          <w:szCs w:val="17"/>
          <w:color w:val="auto"/>
        </w:rPr>
      </w:pPr>
    </w:p>
    <w:p>
      <w:pPr>
        <w:ind w:left="640" w:hanging="328"/>
        <w:spacing w:after="0" w:line="293"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time-intensive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See “Determination of Net Asset Value.”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91" w:lineRule="exact"/>
        <w:rPr>
          <w:sz w:val="20"/>
          <w:szCs w:val="20"/>
          <w:color w:val="auto"/>
        </w:rPr>
      </w:pPr>
    </w:p>
    <w:p>
      <w:pPr>
        <w:ind w:left="640" w:right="20" w:hanging="328"/>
        <w:spacing w:after="0" w:line="285"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and any cash that we use to service our indebtedness is not available for distribution to our common stockholders.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Our current debt is governed by the terms of the Credit Facility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69"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As of September 30, 2016, we had outstanding borrowings of $232.9 million under our Credit Facility with a current interest rate of 2.57% exclusive of the fees on the undrawn commitment. To cover the annual interest on our borrowings of $232.9 million outstanding at September 30, 2016, at the weighted average annual rate of 2.57%, we would have to receive an annual yield of at least 0.98%.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table is designed to illustrate the effect on the return to a holder of our common stock of the leverage created by our use of borrowing at September 30, 2016 of 37% of total assets (including such borrowed funds), at the current interest rate at the time of 2.57%,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5"/>
                <w:szCs w:val="15"/>
                <w:color w:val="auto"/>
              </w:rPr>
              <w:t>(1)</w:t>
            </w:r>
          </w:p>
        </w:tc>
        <w:tc>
          <w:tcPr>
            <w:tcW w:w="2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5"/>
                <w:szCs w:val="15"/>
                <w:color w:val="auto"/>
              </w:rPr>
              <w:t>(2)</w:t>
            </w:r>
          </w:p>
        </w:tc>
        <w:tc>
          <w:tcPr>
            <w:tcW w:w="236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940" w:type="dxa"/>
            <w:vAlign w:val="bottom"/>
          </w:tcPr>
          <w:p>
            <w:pPr>
              <w:ind w:left="240"/>
              <w:spacing w:after="0"/>
              <w:rPr>
                <w:sz w:val="20"/>
                <w:szCs w:val="20"/>
                <w:color w:val="auto"/>
              </w:rPr>
            </w:pPr>
            <w:r>
              <w:rPr>
                <w:rFonts w:ascii="Arial" w:cs="Arial" w:eastAsia="Arial" w:hAnsi="Arial"/>
                <w:sz w:val="18"/>
                <w:szCs w:val="18"/>
                <w:color w:val="auto"/>
              </w:rPr>
              <w:t>(1.6)%</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6.8%</w:t>
            </w:r>
          </w:p>
        </w:tc>
        <w:tc>
          <w:tcPr>
            <w:tcW w:w="780" w:type="dxa"/>
            <w:vAlign w:val="bottom"/>
          </w:tcPr>
          <w:p>
            <w:pPr>
              <w:jc w:val="right"/>
              <w:spacing w:after="0"/>
              <w:rPr>
                <w:sz w:val="20"/>
                <w:szCs w:val="20"/>
                <w:color w:val="auto"/>
              </w:rPr>
            </w:pPr>
            <w:r>
              <w:rPr>
                <w:rFonts w:ascii="Arial" w:cs="Arial" w:eastAsia="Arial" w:hAnsi="Arial"/>
                <w:sz w:val="18"/>
                <w:szCs w:val="18"/>
                <w:color w:val="auto"/>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600" w:hanging="436"/>
        <w:spacing w:after="0" w:line="25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8"/>
          <w:szCs w:val="18"/>
          <w:color w:val="auto"/>
        </w:rPr>
      </w:pPr>
    </w:p>
    <w:p>
      <w:pPr>
        <w:ind w:left="640" w:right="120" w:hanging="436"/>
        <w:spacing w:after="0" w:line="273"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2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255" w:lineRule="exact"/>
        <w:rPr>
          <w:sz w:val="20"/>
          <w:szCs w:val="20"/>
          <w:color w:val="auto"/>
        </w:rPr>
      </w:pPr>
    </w:p>
    <w:p>
      <w:pPr>
        <w:jc w:val="both"/>
        <w:ind w:left="200" w:right="260" w:firstLine="220"/>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62"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Our Credit Facility expires in August 2020. We utilize proceeds from the Credit Facility to make investments in our portfolio companies. The duration of many of our investments exceeds the duration of our indebtedness under our Credit Facility. This means that we will have to extend the maturity of our Credit Facility or refinance our indebtedness under our Credit Facility in order to avoid selling investments at maturity of the Credit Facility, at which time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77" w:lineRule="exact"/>
        <w:rPr>
          <w:sz w:val="20"/>
          <w:szCs w:val="20"/>
          <w:color w:val="auto"/>
        </w:rPr>
      </w:pPr>
    </w:p>
    <w:p>
      <w:pPr>
        <w:ind w:left="200" w:right="120" w:firstLine="22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interests in Funding I are subordinated.</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65"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Our equity interests in Funding I are subordinate to all of the secured and unsecured creditors, known or unknown, of Funding I, including the Lenders. Consequently, to the extent that the value of Funding I’s portfolio of loan investments has been reduced as a result of conditions in the credit markets, defaulted loans, capital losses exceeding gains on the underlying assets, prepayments or changes in interest rates, the return on our investment in Funding I could be reduced. Accordingly, our investment in Funding I is subject to a complete risk of loss.</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receive cash on our equity interests from Funding I.</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Lenders and other secured parties are paid in full. In the event that we fail to receive cash from Funding I, we could be unable to make distributions to our stockholders in amounts sufficient to maintain our ability to be subject to tax as a RIC. We also could be forced to sell investments in portfolio companies at less than their fair value in order to continue making such distributions.</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93"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of these factors, results for any period should not be relied upon as being indicative of performance in future periods.</w:t>
      </w:r>
    </w:p>
    <w:p>
      <w:pPr>
        <w:spacing w:after="0" w:line="275" w:lineRule="exact"/>
        <w:rPr>
          <w:sz w:val="20"/>
          <w:szCs w:val="20"/>
          <w:color w:val="auto"/>
        </w:rPr>
      </w:pPr>
    </w:p>
    <w:p>
      <w:pPr>
        <w:ind w:left="200" w:right="320" w:firstLine="2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ability to be subject to tax as a RIC for U.S. federal income tax purposes, which could have a material adverse effect on our business, financial condition and results of operations.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in the future issue securities for which there is no public market and for which we expect no public market to develop.</w:t>
      </w:r>
    </w:p>
    <w:p>
      <w:pPr>
        <w:spacing w:after="0" w:line="1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ind w:left="200" w:right="500" w:firstLine="220"/>
        <w:spacing w:after="0" w:line="277" w:lineRule="auto"/>
        <w:rPr>
          <w:sz w:val="20"/>
          <w:szCs w:val="20"/>
          <w:color w:val="auto"/>
        </w:rPr>
      </w:pPr>
      <w:r>
        <w:rPr>
          <w:rFonts w:ascii="Arial" w:cs="Arial" w:eastAsia="Arial" w:hAnsi="Arial"/>
          <w:sz w:val="18"/>
          <w:szCs w:val="18"/>
          <w:b w:val="1"/>
          <w:bCs w:val="1"/>
          <w:i w:val="1"/>
          <w:iCs w:val="1"/>
          <w:color w:val="auto"/>
        </w:rPr>
        <w:t>If we issue preferred stock, debt securities or convertible debt securities the NAV and market value of our common stock may become more volatile.</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6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ability to sell investments held by Funding I is limited.</w:t>
      </w:r>
    </w:p>
    <w:p>
      <w:pPr>
        <w:spacing w:after="0" w:line="11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5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we publicly issue debt or convertible debt securities, they initially will not have an established trading market. We cannot assure investors that a trading market for our publicly issued debt or convertible debt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securities would develop or be maintained if developed. In addition to our creditworthiness, many factors may have a material adverse effect on the trading market for, and market value of, our publicly issued debt or convertible debt securities.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or similar to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Terms relating to debt redemption may have a material adverse effect on the return on any debt securities.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00" w:right="580" w:firstLine="220"/>
        <w:spacing w:after="0" w:line="277" w:lineRule="auto"/>
        <w:rPr>
          <w:sz w:val="20"/>
          <w:szCs w:val="20"/>
          <w:color w:val="auto"/>
        </w:rPr>
      </w:pPr>
      <w:r>
        <w:rPr>
          <w:rFonts w:ascii="Arial" w:cs="Arial" w:eastAsia="Arial" w:hAnsi="Arial"/>
          <w:sz w:val="18"/>
          <w:szCs w:val="18"/>
          <w:b w:val="1"/>
          <w:bCs w:val="1"/>
          <w:i w:val="1"/>
          <w:iCs w:val="1"/>
          <w:color w:val="auto"/>
        </w:rPr>
        <w:t>If we issue subscription rights or warrants for our common stock, your interest in us may be diluted as a result of such rights or warrants offering.</w:t>
      </w:r>
    </w:p>
    <w:p>
      <w:pPr>
        <w:spacing w:after="0" w:line="6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7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2010. Although many provisions of the Dodd-Frank Act have delayed effectiveness or will not become effective until the relevant federal agencies issue new rules to implement the</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Dodd-Frank Act, the Dodd-Frank Act may nevertheless have a material adverse impact on the financial services industry as a whole and on our business, financial condition and results of operations. Accordingly, we are continuing to evaluate the effect the Dodd-Frank Act or implementing its regulations will have on our business, financial condition and results of operations.</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Changes in laws or regulations governing our operations or those of our portfolio companies may adversely affect our business.</w:t>
      </w:r>
    </w:p>
    <w:p>
      <w:pPr>
        <w:spacing w:after="0" w:line="1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“Regulation” for more information.</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are subject to risks associated with cybersecurity and cyber incidents.</w:t>
      </w:r>
    </w:p>
    <w:p>
      <w:pPr>
        <w:spacing w:after="0" w:line="11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6"/>
          <w:szCs w:val="16"/>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w:t>
      </w:r>
    </w:p>
    <w:p>
      <w:pPr>
        <w:spacing w:after="0" w:line="2"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w:t>
      </w: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left="200" w:right="180" w:firstLine="220"/>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55" w:lineRule="auto"/>
        <w:rPr>
          <w:sz w:val="20"/>
          <w:szCs w:val="20"/>
          <w:color w:val="auto"/>
        </w:rPr>
      </w:pPr>
      <w:r>
        <w:rPr>
          <w:rFonts w:ascii="Arial" w:cs="Arial" w:eastAsia="Arial" w:hAnsi="Arial"/>
          <w:sz w:val="18"/>
          <w:szCs w:val="18"/>
          <w:color w:val="auto"/>
        </w:rPr>
        <w:t>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7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jc w:val="both"/>
        <w:ind w:left="200" w:right="300" w:firstLine="441"/>
        <w:spacing w:after="0" w:line="312"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4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73"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debt maturities. Funding I’s borrowings under its Credit Facility are collateralized by the assets in our investment portfolio.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54"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may invest in over-the-counter securities, which have and may continue to face liquidity constraints, to provide us with liquidity.</w:t>
      </w:r>
    </w:p>
    <w:p>
      <w:pPr>
        <w:spacing w:after="0" w:line="129"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intend to invest primarily in Floating Rate Loans, which may consist of senior secured debt and mezzanine debt, and, to a lesser extent, equity investments issued by U.S. middle-market companies.</w:t>
      </w:r>
    </w:p>
    <w:p>
      <w:pPr>
        <w:spacing w:after="0" w:line="76" w:lineRule="exact"/>
        <w:rPr>
          <w:sz w:val="20"/>
          <w:szCs w:val="20"/>
          <w:color w:val="auto"/>
        </w:rPr>
      </w:pPr>
    </w:p>
    <w:p>
      <w:pPr>
        <w:ind w:left="1060" w:right="20" w:hanging="424"/>
        <w:spacing w:after="0" w:line="271"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Floating Rate Loans: </w:t>
      </w:r>
      <w:r>
        <w:rPr>
          <w:rFonts w:ascii="Arial" w:cs="Arial" w:eastAsia="Arial" w:hAnsi="Arial"/>
          <w:sz w:val="17"/>
          <w:szCs w:val="17"/>
          <w:color w:val="auto"/>
        </w:rPr>
        <w:t>The Floating Rate Loans we invest in are usually rated below investment grade or may also be unrated.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Floating Rate Loans rated below investment grade are 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default rate by portfolio companies.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fair value. Floating Rate Loans are subject to a number of risks, including liquidity risk and the risk of investing in below investment-grade, variable-rate securities.</w:t>
      </w:r>
    </w:p>
    <w:p>
      <w:pPr>
        <w:spacing w:after="0" w:line="70" w:lineRule="exact"/>
        <w:rPr>
          <w:rFonts w:ascii="Arial" w:cs="Arial" w:eastAsia="Arial" w:hAnsi="Arial"/>
          <w:sz w:val="17"/>
          <w:szCs w:val="17"/>
          <w:color w:val="auto"/>
        </w:rPr>
      </w:pPr>
    </w:p>
    <w:p>
      <w:pPr>
        <w:ind w:left="1080" w:right="20"/>
        <w:spacing w:after="0" w:line="271" w:lineRule="auto"/>
        <w:rPr>
          <w:rFonts w:ascii="Arial" w:cs="Arial" w:eastAsia="Arial" w:hAnsi="Arial"/>
          <w:sz w:val="17"/>
          <w:szCs w:val="17"/>
          <w:color w:val="auto"/>
        </w:rPr>
      </w:pPr>
      <w:r>
        <w:rPr>
          <w:rFonts w:ascii="Arial" w:cs="Arial" w:eastAsia="Arial" w:hAnsi="Arial"/>
          <w:sz w:val="17"/>
          <w:szCs w:val="17"/>
          <w:color w:val="auto"/>
        </w:rPr>
        <w:t>Floating Rate Loans are subject to the risk of non-payment of scheduled interest or principal. Such non-payment would result in a reduction of income to us, a reduction in the fair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64" w:lineRule="auto"/>
        <w:rPr>
          <w:sz w:val="20"/>
          <w:szCs w:val="20"/>
          <w:color w:val="auto"/>
        </w:rPr>
      </w:pPr>
      <w:r>
        <w:rPr>
          <w:rFonts w:ascii="Arial" w:cs="Arial" w:eastAsia="Arial" w:hAnsi="Arial"/>
          <w:sz w:val="18"/>
          <w:szCs w:val="18"/>
          <w:color w:val="auto"/>
        </w:rPr>
        <w:t>existing or future indebtedness of the borrower or take other actions detrimental to the holders of loans including, in certain circumstances, invalidating such loans or causing interest previously paid to be refunded to the borrower. Either such step could materially negatively affect our performance.</w:t>
      </w:r>
    </w:p>
    <w:p>
      <w:pPr>
        <w:spacing w:after="0" w:line="73" w:lineRule="exact"/>
        <w:rPr>
          <w:sz w:val="20"/>
          <w:szCs w:val="20"/>
          <w:color w:val="auto"/>
        </w:rPr>
      </w:pPr>
    </w:p>
    <w:p>
      <w:pPr>
        <w:ind w:left="1080" w:right="60"/>
        <w:spacing w:after="0" w:line="268" w:lineRule="auto"/>
        <w:rPr>
          <w:sz w:val="20"/>
          <w:szCs w:val="20"/>
          <w:color w:val="auto"/>
        </w:rPr>
      </w:pPr>
      <w:r>
        <w:rPr>
          <w:rFonts w:ascii="Arial" w:cs="Arial" w:eastAsia="Arial" w:hAnsi="Arial"/>
          <w:sz w:val="17"/>
          <w:szCs w:val="17"/>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93" w:lineRule="exact"/>
        <w:rPr>
          <w:sz w:val="20"/>
          <w:szCs w:val="20"/>
          <w:color w:val="auto"/>
        </w:rPr>
      </w:pPr>
    </w:p>
    <w:p>
      <w:pPr>
        <w:ind w:left="1060" w:right="80" w:hanging="424"/>
        <w:spacing w:after="0" w:line="270"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Secured Debt: </w:t>
      </w:r>
      <w:r>
        <w:rPr>
          <w:rFonts w:ascii="Arial" w:cs="Arial" w:eastAsia="Arial" w:hAnsi="Arial"/>
          <w:sz w:val="17"/>
          <w:szCs w:val="17"/>
          <w:color w:val="auto"/>
        </w:rPr>
        <w:t>When we extend senior secured debt, which we define to include first lien debt, we will generally take a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in the available assets of these portfolio companies, including the 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senior secured debt investment is secured does not guarantee that we will receive principal and interest payments according to the loan’s terms, or at all, or that we will be able to collect on the loan should we be forced to enforce our remedies.</w:t>
      </w:r>
    </w:p>
    <w:p>
      <w:pPr>
        <w:spacing w:after="0" w:line="83" w:lineRule="exact"/>
        <w:rPr>
          <w:rFonts w:ascii="Arial" w:cs="Arial" w:eastAsia="Arial" w:hAnsi="Arial"/>
          <w:sz w:val="17"/>
          <w:szCs w:val="17"/>
          <w:color w:val="auto"/>
        </w:rPr>
      </w:pPr>
    </w:p>
    <w:p>
      <w:pPr>
        <w:ind w:left="1060" w:hanging="424"/>
        <w:spacing w:after="0" w:line="291" w:lineRule="auto"/>
        <w:tabs>
          <w:tab w:leader="none" w:pos="106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subordinated to senior secured debt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72" w:lineRule="exact"/>
        <w:rPr>
          <w:rFonts w:ascii="Arial" w:cs="Arial" w:eastAsia="Arial" w:hAnsi="Arial"/>
          <w:sz w:val="16"/>
          <w:szCs w:val="16"/>
          <w:color w:val="auto"/>
        </w:rPr>
      </w:pPr>
    </w:p>
    <w:p>
      <w:pPr>
        <w:ind w:left="1060" w:right="40" w:hanging="424"/>
        <w:spacing w:after="0" w:line="255"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Equity Investments: </w:t>
      </w:r>
      <w:r>
        <w:rPr>
          <w:rFonts w:ascii="Arial" w:cs="Arial" w:eastAsia="Arial" w:hAnsi="Arial"/>
          <w:sz w:val="18"/>
          <w:szCs w:val="18"/>
          <w:color w:val="auto"/>
        </w:rPr>
        <w:t>We have made and expect to continue to make select equity investments, all of which are subordinated to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addition, when we invest in senior secured debt or 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investments, we may pay taxes at regular corporate tax rates, which will reduce the amount on gains or dividends available for distributions to our stockholders.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1060" w:right="80" w:hanging="316"/>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86" w:lineRule="exact"/>
        <w:rPr>
          <w:rFonts w:ascii="Arial" w:cs="Arial" w:eastAsia="Arial" w:hAnsi="Arial"/>
          <w:sz w:val="18"/>
          <w:szCs w:val="18"/>
          <w:color w:val="auto"/>
        </w:rPr>
      </w:pPr>
    </w:p>
    <w:p>
      <w:pPr>
        <w:ind w:left="1060" w:right="40" w:hanging="316"/>
        <w:spacing w:after="0" w:line="342" w:lineRule="auto"/>
        <w:tabs>
          <w:tab w:leader="none" w:pos="10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1060" w:right="300" w:hanging="316"/>
        <w:spacing w:after="0" w:line="25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3"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refinance their outstanding indebtedness upon maturity.</w:t>
      </w:r>
    </w:p>
    <w:p>
      <w:pPr>
        <w:spacing w:after="0" w:line="279" w:lineRule="exact"/>
        <w:rPr>
          <w:sz w:val="20"/>
          <w:szCs w:val="20"/>
          <w:color w:val="auto"/>
        </w:rPr>
      </w:pPr>
    </w:p>
    <w:p>
      <w:pPr>
        <w:ind w:left="200" w:right="140" w:firstLine="220"/>
        <w:spacing w:after="0" w:line="342" w:lineRule="auto"/>
        <w:rPr>
          <w:sz w:val="20"/>
          <w:szCs w:val="20"/>
          <w:color w:val="auto"/>
        </w:rPr>
      </w:pPr>
      <w:r>
        <w:rPr>
          <w:rFonts w:ascii="Arial" w:cs="Arial" w:eastAsia="Arial" w:hAnsi="Arial"/>
          <w:sz w:val="16"/>
          <w:szCs w:val="16"/>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16"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220"/>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portfolio diversification, and our investments could be concentrated in relatively few portfolio companies or industries.</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65"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312" w:lineRule="auto"/>
        <w:rPr>
          <w:sz w:val="20"/>
          <w:szCs w:val="20"/>
          <w:color w:val="auto"/>
        </w:rPr>
      </w:pPr>
      <w:r>
        <w:rPr>
          <w:rFonts w:ascii="Arial" w:cs="Arial" w:eastAsia="Arial" w:hAnsi="Arial"/>
          <w:sz w:val="16"/>
          <w:szCs w:val="16"/>
          <w:color w:val="auto"/>
        </w:rPr>
        <w:t>opportunity for us to increase our participation in a successful transaction or business.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RIC tax status.</w:t>
      </w:r>
    </w:p>
    <w:p>
      <w:pPr>
        <w:spacing w:after="0" w:line="255" w:lineRule="exact"/>
        <w:rPr>
          <w:sz w:val="20"/>
          <w:szCs w:val="20"/>
          <w:color w:val="auto"/>
        </w:rPr>
      </w:pPr>
    </w:p>
    <w:p>
      <w:pPr>
        <w:ind w:left="200" w:right="340" w:firstLine="220"/>
        <w:spacing w:after="0" w:line="375" w:lineRule="auto"/>
        <w:rPr>
          <w:sz w:val="20"/>
          <w:szCs w:val="20"/>
          <w:color w:val="auto"/>
        </w:rPr>
      </w:pPr>
      <w:r>
        <w:rPr>
          <w:rFonts w:ascii="Arial" w:cs="Arial" w:eastAsia="Arial" w:hAnsi="Arial"/>
          <w:sz w:val="15"/>
          <w:szCs w:val="15"/>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296" w:lineRule="exact"/>
        <w:rPr>
          <w:sz w:val="20"/>
          <w:szCs w:val="20"/>
          <w:color w:val="auto"/>
        </w:rPr>
      </w:pPr>
    </w:p>
    <w:p>
      <w:pPr>
        <w:ind w:left="200" w:firstLine="220"/>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00" w:right="260" w:firstLine="220"/>
        <w:spacing w:after="0" w:line="277" w:lineRule="auto"/>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 and our portfolio companies may be highly leveraged.</w:t>
      </w:r>
    </w:p>
    <w:p>
      <w:pPr>
        <w:spacing w:after="0" w:line="62"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invest primarily in Floating Rate Loans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5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left="200" w:right="540" w:firstLine="220"/>
        <w:spacing w:after="0" w:line="277" w:lineRule="auto"/>
        <w:rPr>
          <w:sz w:val="20"/>
          <w:szCs w:val="20"/>
          <w:color w:val="auto"/>
        </w:rPr>
      </w:pPr>
      <w:r>
        <w:rPr>
          <w:rFonts w:ascii="Arial" w:cs="Arial" w:eastAsia="Arial" w:hAnsi="Arial"/>
          <w:sz w:val="18"/>
          <w:szCs w:val="18"/>
          <w:b w:val="1"/>
          <w:bCs w:val="1"/>
          <w:i w:val="1"/>
          <w:iCs w:val="1"/>
          <w:color w:val="auto"/>
        </w:rPr>
        <w:t>Any investments in distressed debt may not produce income and may require us to bear large expenses in order to protect and recover our investment.</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of companies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24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220"/>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97" w:lineRule="exact"/>
        <w:rPr>
          <w:sz w:val="20"/>
          <w:szCs w:val="20"/>
          <w:color w:val="auto"/>
        </w:rPr>
      </w:pPr>
    </w:p>
    <w:p>
      <w:pPr>
        <w:ind w:left="200" w:right="140" w:firstLine="441"/>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left="200" w:right="380" w:firstLine="220"/>
        <w:spacing w:after="0" w:line="259" w:lineRule="auto"/>
        <w:rPr>
          <w:sz w:val="20"/>
          <w:szCs w:val="20"/>
          <w:color w:val="auto"/>
        </w:rPr>
      </w:pPr>
      <w:r>
        <w:rPr>
          <w:rFonts w:ascii="Arial" w:cs="Arial" w:eastAsia="Arial" w:hAnsi="Arial"/>
          <w:sz w:val="18"/>
          <w:szCs w:val="18"/>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intend to make distributions on a monthly basis to our stockholders out of assets legally available for distribution. We cannot assure you that we will achieve investment results that will allow us to make a specified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level of cash distributions or year-to-year increases in cash distributions. In addition, due to the asset coverage ratio requirements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jc w:val="both"/>
        <w:ind w:left="200" w:firstLine="441"/>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allocate the net proceeds from any offering of our securities in ways with which you may not agree.</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60" w:right="720" w:hanging="316"/>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loss of our BDC or RIC status;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prevailing interest rates;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240" w:top="459" w:right="5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national and international economic trends and other external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price and volume fluctuations in the stock markets, including as a result of short sales;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left="200" w:right="60" w:firstLine="220"/>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left="200" w:right="100" w:firstLine="220"/>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Sarbanes-Oxley Act, and other rules implemented by the SEC and the listing standards of the NASDAQ Stock Market LLC.</w:t>
      </w:r>
    </w:p>
    <w:p>
      <w:pPr>
        <w:spacing w:after="0" w:line="295" w:lineRule="exact"/>
        <w:rPr>
          <w:sz w:val="20"/>
          <w:szCs w:val="20"/>
          <w:color w:val="auto"/>
        </w:rPr>
      </w:pPr>
    </w:p>
    <w:p>
      <w:pPr>
        <w:ind w:left="200" w:right="160" w:firstLine="220"/>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Maryland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Maryland Business Combination Act may discourage third parties from trying to acquire control of us and increase the difficulty of consummating such an offer.</w:t>
      </w:r>
    </w:p>
    <w:p>
      <w:pPr>
        <w:spacing w:after="0" w:line="189"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6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77" w:lineRule="exact"/>
        <w:rPr>
          <w:sz w:val="20"/>
          <w:szCs w:val="20"/>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European sovereign debt,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or through reports that we in the future may file with the SEC, including reports on Form 10-K/Q and current reports on Form 8-K.</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As of September 30, 2016, we had $232.9 million in borrowings outstanding under our $350 million multi-currency Credit Facility. Borrowings under our Credit Facility bear interest at LIBOR plus 200 basis points per annum during the revolving period, and the rate resets to LIBOR plus 425 basis points per annum for the remaining two years. At September 30, 2016, the interest rate was 2.57% exclusive of the fees on the undrawn commitment. The Credit Facility is a revolving facility maturing in August 2020 and is secured by all of the assets held by Funding I. Amounts repaid under our Credit Facility remain available for future borrowings during the revolving period. See “Management’s Discussion and Analysis of Financial Condition and Results of Operations” for more information.</w:t>
      </w:r>
    </w:p>
    <w:p>
      <w:pPr>
        <w:spacing w:after="0" w:line="19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derived the data below from our audited and unaudited financial data. The Consolidated Statement of Operations data, Per share data, Consolidated Statement of Assets and Liabilities data and Total returns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For the years ended September 30,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2"/>
                <w:szCs w:val="12"/>
                <w:color w:val="auto"/>
              </w:rPr>
            </w:pPr>
          </w:p>
        </w:tc>
        <w:tc>
          <w:tcPr>
            <w:tcW w:w="90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8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$ 46,301</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$ 30,355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$ 30,357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$ 18,867</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$ 12,099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18,965</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12,695</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13,721</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8,344</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5,789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16,636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6,153</w:t>
            </w:r>
          </w:p>
        </w:tc>
        <w:tc>
          <w:tcPr>
            <w:tcW w:w="340" w:type="dxa"/>
            <w:vAlign w:val="bottom"/>
          </w:tcPr>
          <w:p>
            <w:pPr>
              <w:spacing w:after="0"/>
              <w:rPr>
                <w:sz w:val="18"/>
                <w:szCs w:val="18"/>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(5,156)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3,878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1,461</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5,651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20,514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 (2)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w w:val="98"/>
              </w:rPr>
              <w:t>Consolidated Statements of Assets and Liabilities data:</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631,420</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416,120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372,874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328,802</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178,367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598,888</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391,312</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348,428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317,804</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171,834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r>
              <w:rPr>
                <w:rFonts w:ascii="Arial" w:cs="Arial" w:eastAsia="Arial" w:hAnsi="Arial"/>
                <w:sz w:val="15"/>
                <w:szCs w:val="15"/>
                <w:color w:val="auto"/>
              </w:rPr>
              <w:t>(3)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232,389</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146,949</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99,600</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75,123</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net asset value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375,907</w:t>
            </w: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372,890</w:t>
            </w: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214,528</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210,066</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95,744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21.77%</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(6.01)%</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8.05%</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17.17%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29.43%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w:t>
            </w:r>
            <w:r>
              <w:rPr>
                <w:rFonts w:ascii="Arial" w:cs="Arial" w:eastAsia="Arial" w:hAnsi="Arial"/>
                <w:sz w:val="15"/>
                <w:szCs w:val="15"/>
                <w:color w:val="auto"/>
              </w:rPr>
              <w:t>(5)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Yield on debt portfolio</w:t>
            </w:r>
            <w:r>
              <w:rPr>
                <w:rFonts w:ascii="Arial" w:cs="Arial" w:eastAsia="Arial" w:hAnsi="Arial"/>
                <w:sz w:val="15"/>
                <w:szCs w:val="15"/>
                <w:color w:val="auto"/>
              </w:rPr>
              <w:t>(5)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7.8%</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7.9%</w:t>
            </w:r>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8.2%</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23"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tax status of our distributions is calculated in accordance with income tax regulations, which may differ from amounts determined under GAAP and is reported on Form 1099-DIV each calendar year.</w:t>
      </w: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640" w:right="320" w:hanging="436"/>
        <w:spacing w:after="0" w:line="250"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Unaudited, at year end.</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15,396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10,803</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11,346</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8,155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6,830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7,265</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5,086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(4,829)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(3,339)</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15,887</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13,419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2,436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13.54</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7,983</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3,639</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4,097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4,456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(2,424)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(5,030)</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1,215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6,124</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14.30</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Q4</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Q3</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5,320</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3,725</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(3,043)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2,278</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4,942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7,237</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6,057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increase in net assets resulting from operations per common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14.40</w:t>
            </w:r>
          </w:p>
        </w:tc>
        <w:tc>
          <w:tcPr>
            <w:tcW w:w="4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14.52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14.46</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5620" w:right="5280" w:hanging="5416"/>
        <w:spacing w:after="0" w:line="536" w:lineRule="auto"/>
        <w:tabs>
          <w:tab w:leader="none" w:pos="4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the weighted average shares outstanding for the respective periods. 39</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94" w:lineRule="exact"/>
        <w:rPr>
          <w:sz w:val="20"/>
          <w:szCs w:val="20"/>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5"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jc w:val="both"/>
        <w:ind w:left="1060" w:right="180" w:hanging="316"/>
        <w:spacing w:after="0" w:line="279"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7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ind w:left="96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5"/>
                <w:szCs w:val="15"/>
                <w:b w:val="1"/>
                <w:bCs w:val="1"/>
                <w:color w:val="auto"/>
                <w:w w:val="91"/>
              </w:rPr>
              <w:t>(1)</w:t>
            </w:r>
            <w:r>
              <w:rPr>
                <w:rFonts w:ascii="Arial" w:cs="Arial" w:eastAsia="Arial" w:hAnsi="Arial"/>
                <w:sz w:val="18"/>
                <w:szCs w:val="18"/>
                <w:b w:val="1"/>
                <w:bCs w:val="1"/>
                <w:color w:val="auto"/>
                <w:w w:val="91"/>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0.90%</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1.09%</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0.62%</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3.61%</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Average total assets attributable to common shares equals average gross assets for the fiscal year ended September 30, 2016.</w:t>
      </w:r>
    </w:p>
    <w:p>
      <w:pPr>
        <w:spacing w:after="0" w:line="23"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Transactions—Investment Management Agreement” for more information.</w:t>
      </w:r>
    </w:p>
    <w:p>
      <w:pPr>
        <w:ind w:left="640" w:hanging="436"/>
        <w:spacing w:after="0" w:line="265"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2016.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2016. For more detailed information about the incentive fee, please see “Certain Relationships and Transactions —Investment Management Agreement” for more information.</w:t>
      </w:r>
    </w:p>
    <w:p>
      <w:pPr>
        <w:spacing w:after="0" w:line="2" w:lineRule="exact"/>
        <w:rPr>
          <w:rFonts w:ascii="Arial" w:cs="Arial" w:eastAsia="Arial" w:hAnsi="Arial"/>
          <w:sz w:val="17"/>
          <w:szCs w:val="17"/>
          <w:color w:val="auto"/>
        </w:rPr>
      </w:pPr>
    </w:p>
    <w:p>
      <w:pPr>
        <w:ind w:left="640" w:right="180" w:hanging="436"/>
        <w:spacing w:after="0" w:line="255"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September 30, 2016, we had $232.9 million in borrowings outstanding under our $350 million Credit Facility. We may use proceeds of an offering of securities under this registration statement to repay outstanding obligations under our Credit Facility. After completing any such offering, we may continue to</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borrow under our Credit Facility to finance our investment objectives. Annual interest expense on borrowed funds represents actual interest expense and amendment costs incurred on our Credit Facility for the fiscal year ended September 30, 2016 and we caution you that our actual interest expense will depend on prevailing interest rates and our rate of borrowing, which may be substantially higher than the amount provided in this table. See “Risk Factors—Risks Relating to our Business and Structure—We currently use borrowed funds to make investments and are exposed to the typical risks associated with leverage” for more information.</w:t>
      </w:r>
    </w:p>
    <w:p>
      <w:pPr>
        <w:spacing w:after="0" w:line="4" w:lineRule="exact"/>
        <w:rPr>
          <w:sz w:val="20"/>
          <w:szCs w:val="20"/>
          <w:color w:val="auto"/>
        </w:rPr>
      </w:pPr>
    </w:p>
    <w:p>
      <w:pPr>
        <w:ind w:left="640" w:right="180" w:hanging="436"/>
        <w:spacing w:after="0" w:line="281" w:lineRule="auto"/>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hanging="436"/>
        <w:spacing w:after="0" w:line="269"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table above is intended to assist you in understanding the various costs and expenses that an investor in shares of our common stock will bear as a percentage of our average gross assets for the fiscal year ended September 30, 2016.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of September 30, 2016, our portfolio totaled $598.9 million and consisted of $548.4 million of senior secured debt, $36.6 million of second lien secured debt and $13.9 million of subordinated debt, preferred and common equity. Our debt portfolio consisted of 99% variable-rate investments (including 94% with a LIBOR or prime floor) and 1% fixed-rate investments. As of September 30, 2016, we had one company on non-accrual, representing 0.2% and 0.1% of our overall portfolio on a cost and fair value basis, respectively. Overall, the portfolio had net unrealized appreciation of $1.0 million. Our overall portfolio consisted of 98 companies with an average investment size of $6.1 million, had a weighted average yield on debt investments of 7.8%, and was invested 92% in senior secured debt, 6% in second lien secured debt and 2% in subordinated debt, preferred and common equity.</w:t>
      </w:r>
    </w:p>
    <w:p>
      <w:pPr>
        <w:spacing w:after="0" w:line="18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18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fiscal year ended September 30, 2016, we invested $364.4 million of investments in 37 new and 25 existing portfolio companies with a weighted average yield on debt investments of 7.8%. Sales and repayments of investments for the year ended September 30, 2016 totaled $164.2 million.</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fiscal year ended September 30, 2015, we invested $224.2 million of investments in 32 new and 34 existing portfolio companies with a weighted average yield on debt investments of 7.7%. Sales and repayments of investments for the year ended September 30, 2015 totaled $195.0 million.</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the fiscal year ended September 30, 2014, we invested $248.1 million of investments in 36 new and 33 existing portfolio companies with a weighted average yield on debt investments of 8.2%. Sales and repayments of investments for the year ended September 30, 2014 totaled $225.6 million.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below.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8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2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60" w:hanging="424"/>
        <w:spacing w:after="0" w:line="279"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200" w:hanging="424"/>
        <w:spacing w:after="0" w:line="312" w:lineRule="auto"/>
        <w:tabs>
          <w:tab w:leader="none" w:pos="10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2120" w:right="1120" w:hanging="1025"/>
        <w:spacing w:after="0" w:line="277" w:lineRule="auto"/>
        <w:tabs>
          <w:tab w:leader="none" w:pos="2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2120" w:right="940" w:hanging="1025"/>
        <w:spacing w:after="0" w:line="312" w:lineRule="auto"/>
        <w:tabs>
          <w:tab w:leader="none" w:pos="2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2120" w:right="1120" w:hanging="1025"/>
        <w:spacing w:after="0" w:line="277" w:lineRule="auto"/>
        <w:tabs>
          <w:tab w:leader="none" w:pos="2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in fair value of the Credit Facility are reported in our Consolidated Statements of Operations. We elected not to apply ASC 825-10 to any other financial assets or liabilities. For the fiscal years ended September 30, 2016, 2015 and 2014, our Credit Facility had a net change in unrealized depreciation (appreciation) of $0.5 million,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 of our portfolio investments and Credit Facility during the reporting period, including any reversal of previously recorded unrealized appreciation or depreciation, when gains or losses are realized.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237" w:lineRule="exact"/>
        <w:rPr>
          <w:sz w:val="20"/>
          <w:szCs w:val="20"/>
          <w:color w:val="auto"/>
        </w:rPr>
      </w:pPr>
    </w:p>
    <w:p>
      <w:pPr>
        <w:ind w:left="1260" w:hanging="175"/>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248" w:lineRule="exact"/>
        <w:rPr>
          <w:rFonts w:ascii="Arial" w:cs="Arial" w:eastAsia="Arial" w:hAnsi="Arial"/>
          <w:sz w:val="16"/>
          <w:szCs w:val="16"/>
          <w:color w:val="auto"/>
        </w:rPr>
      </w:pPr>
    </w:p>
    <w:p>
      <w:pPr>
        <w:ind w:left="1260" w:hanging="175"/>
        <w:spacing w:after="0"/>
        <w:tabs>
          <w:tab w:leader="none" w:pos="1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Purchases and sales of investment securities, income and expenses – at the exchange rates prevailing on the respective dates of such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In order for us to maintain our ability to be treated as a RIC for federal income tax purposes, substantially all of this income must be paid out to stockholders in the form of dividends for U.S. federal income tax purposes, even though we have not collected any cash with respect to interest on PIK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5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for federal income tax purposes, to provide us with additional liquidity.</w:t>
      </w:r>
    </w:p>
    <w:p>
      <w:pPr>
        <w:spacing w:after="0" w:line="166"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Accordingly, the Taxable Subsidiaries will pay income taxes at regular corporate income tax rates. These Taxable Subsidiaries allow us to hold equity securities of certain portfolio companies treated as pass-through entities for U.S. federal income tax purposes while continuing to satisfy the requirements of a RIC under the Code.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are the results of operations for the fiscal years ended September 30, 2016, 2015 and 2014.</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Investment income for the fiscal year ended September 30, 2016 was $46.3 million and was attributable to $36.4 million from senior secured debt, $6.1 million from second lien secured debt and $3.8 million from subordinated debt (including $3.3 million from a litigation settlement related to a former portfolio company of MCG that is not expected to be recurring). The increase in investment income over the prior year was primarily due to the growth of our portfolio.</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Investment income for the fiscal year ended September 30, 2015 was $30.4 million and was attributable to $23.5 million from senior secured debt, $5.7 million from second lien secured debt and $1.2 million from subordinated debt. Investment income was relatively the same compared to the prior year due to investing in debt with lower yields.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Investment income for the fiscal year ended September 30, 2014 was $30.4 million and was attributable to $24.5 million from senior secured debt, $4.2 million from second lien secured debt and $1.7 million from subordinated debt.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Expenses for the fiscal year ended September 30, 2016 totaled $19.0 million. Base management fee for the same period totaled $5.0 million, incentive fee totaled $4.8 million (including $1.1 million on net unrealized gains accrued but not payable), Credit Facility expenses totaled $5.8 million (including $0.9 million of Credit Facility amendment expenses) and general and administrative expenses totaled $3.4 million. The increase in expenses over the prior year was primarily due to increases in base management and incentive fees as a result from the growth of our portfolio.</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Expenses for the fiscal year ended September 30, 2015 totaled $12.7 million. Base management fee for the same period totaled $3.6 million, incentive fee totaled $1.1 million (including $(0.4) million on net realized gains and $(0.7) million on net unrealized gains accrued but not payable), Credit Facility expenses totaled $5.6 million (including $2.3 million of Credit Facility amendment expenses), general and administrative expenses totaled $2.0 million and excise taxes were $0.4 million. The decrease in expenses over the prior year was primarily due to a reduction in the accrual of incentive fees offset by increased Credit Facility amendment costs.</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Expenses for the fiscal year ended September 30, 2014 totaled $13.7 million. Base management fee for the same period totaled $3.7 million, incentive fee totaled $3.5 million (including $0.1 million on net unrealized gains accrued but not payable), Credit Facility expenses totaled $4.2 million (including $0.7 million of Credit Facility amendment expenses), general and administrative expenses totaled $1.8 million and excise taxes were $0.5 million.</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Net investment income totaled $27.3 million or $1.02 per share, $17.7 million or $1.08 per share and $16.6 million or $1.12 per share, for the fiscal years ended September 30, 2016, 2015 and 2014, respectively. Although the net investment income increased, the net investment income per share for fiscal year ended September 30, 2016 decreased compared to the prior year primarily due to the issuance of new shares in connection with our acquisition of MCG in August 2015.</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Sales and repayments of investments for the fiscal years ended September 30, 2016, 2015 and 2014 totaled $164.2 million, $195.0 million and $225.6 million, respectively. Net realized (losses) gains totaled $(1.4) million, $0.4 million and $2.9 million for the same periods, respectively. The decrease in realized gains for fiscal year ended September 30, 2016 compared to the prior year was driven by changes in market conditions for our investments.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For the fiscal years ended September 30, 2016, 2015 and 2014, we reported unrealized appreciation (depreciation) on investments of $7.0 million, $(6.1) million and $1.6 million, respectively. As of September 30, 2016 and 2015, net unrealized appreciation (depreciation) on investments totaled $1.0 million and $(6.0) million, respectively. The net change in unrealized appreciation (depreciation) on our investments for fiscal year ended September 30, 2016 compared to the prior year was driven primarily by changes in the capital market conditions, financial performance of certain portfolio companies, and the reversal of unrealized depreciation (appreciation) of investments sold.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fiscal years ended September 30, 2016, 2015 and 2014, our Credit Facility had a change in unrealized depreciation (appreciation) of $0.5 million, $0.5 million and $(0.5) million, respectively. As of September 30, 2016 and 2015, net unrealized depreciation on our Credit Facility totaled $0.5 million and zero, respectively. The change for fiscal year ended September 30, 2016 compared to the prior year was due to changes in the capital markets.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Change in Net Assets Resulting from Operations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Net change in net assets resulting from operations totaled $33.5 million or $1.25 per share, $12.5 million or $0.77 per share and $20.5 million or $1.38 per share, for the fiscal years ended September 30, 2016, 2015 and 2014, respectively. The increase in the net change in net assets from operations for fiscal year ended September 30, 2016 compared to the prior year reflects the change in portfolio investment valuation during the reporting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fiscal years ended September 30, 2016, 2015 and 2014, inclusive of the fee on the undrawn commitment on the Credit Facility but excluding amendment costs, was 3.51%, 2.62% and 2.35%, respectively. As of September 30, 2016 and 2015, we had $117.1 million and $260.4 million of unused borrowing capacity under our Credit Facility, respectively, subject to the regulatory restrictions.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78"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years ended September 30, 2016, 2015 and 2014, we issued zero, 11.8 million and zero shares, respectively. As a result, we raised approximately zero, $164.7 million and zero dollars in gross proceeds from issuances of our equity capital.</w:t>
      </w:r>
    </w:p>
    <w:p>
      <w:pPr>
        <w:spacing w:after="0" w:line="178"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On September 30, 2016 and 2015, we had cash equivalents of $28.9 million and $21.4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operating activities used cash of $165.5 million for the year ended September 30, 2016, and our financing activities provided cash of $172.8 million for the same period. Our operating activities used cash primarily for our investment activities and our financing activities provided cash primarily from net borrowings under the Credit Facility.</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Our operating activities used cash of $2.2 million for the year ended September 30, 2015, and our financing activities provided cash of $10.5 million for the same period. Our operating activities used cash primarily for our investment activities and our financing activities provided cash primarily from the MCG merger.</w:t>
      </w:r>
    </w:p>
    <w:p>
      <w:pPr>
        <w:spacing w:after="0" w:line="18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Our operating activities used cash of $22.3 million for the year ended September 30, 2014, and our financing activities provided cash of $30.8 million for the same period. Our operating activities used cash primarily for our investment activities and our financing activities provided cash primarily from net draws under the Credit Facility.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2016, including borrowings under our Credit Facility and other contractual obligations, is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Payments due by period (millions)</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5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tcPr>
          <w:p>
            <w:pPr>
              <w:ind w:left="440"/>
              <w:spacing w:after="0" w:line="119" w:lineRule="exact"/>
              <w:rPr>
                <w:sz w:val="20"/>
                <w:szCs w:val="20"/>
                <w:color w:val="auto"/>
              </w:rPr>
            </w:pPr>
            <w:r>
              <w:rPr>
                <w:rFonts w:ascii="Arial" w:cs="Arial" w:eastAsia="Arial" w:hAnsi="Arial"/>
                <w:sz w:val="13"/>
                <w:szCs w:val="13"/>
                <w:b w:val="1"/>
                <w:bCs w:val="1"/>
                <w:color w:val="auto"/>
                <w:w w:val="95"/>
              </w:rPr>
              <w:t>Less than</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94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years</w:t>
            </w:r>
          </w:p>
        </w:tc>
        <w:tc>
          <w:tcPr>
            <w:tcW w:w="4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$232.9</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(1)</w:t>
            </w:r>
          </w:p>
        </w:tc>
        <w:tc>
          <w:tcPr>
            <w:tcW w:w="2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252.9</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hanging="436"/>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Unfunded investments are disclosed in the Consolidated Schedule of Investments and Note 12 of our Consolidated Financial Statements.</w:t>
      </w:r>
    </w:p>
    <w:p>
      <w:pPr>
        <w:spacing w:after="0" w:line="23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9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currently engage in no off-balance sheet arrangements other than our funding requirements for the unfunded investments described above.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In order to be treated as a RIC for federal income tax purposes and to not be subject to corporate-level tax on undistributed income or gains, we are required, under Subchapter M of the Code, to annually distribute to stockholders out of the assets legally available for distribution of an amount generally at least equal to 90% of the sum of our ordinary income and realized net short-term capital gains in excess of realized net long-term capital losses, or investment company taxable income, determined without regard to any deduction for dividends paid.</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to our stockholders in respect of each calendar year an amount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retain such net capital gains or investment company taxable income in the future, subject to maintaining our ability to be treated as a RIC for federal income tax purposes, to provide us with additional liquidity.</w:t>
      </w:r>
    </w:p>
    <w:p>
      <w:pPr>
        <w:spacing w:after="0" w:line="166"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During the years ended September 30, 2016, 2015 and 2014, we declared distributions of $1.14, $1.12 and $1.08 per share, respectively, for total distributions of $30.5 million, $18.9 million and $16.1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We intend to continue to make monthly distributions to our stockholders. Our monthly distributions, if any, are determined by our board of directors quarterly.</w:t>
      </w:r>
    </w:p>
    <w:p>
      <w:pPr>
        <w:spacing w:after="0" w:line="170"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tax status. We cannot assure stockholders that they will receive any distributions at a particular level.</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2016, our debt portfolio consisted of 99% variable-rate investments (including 94%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65"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Assuming that the most recent Consolidated Statement of Assets and Liabilities was to remain constant, and no actions were taken to alter the existing interest rate sensitivity, the following table shows the annualized impact of hypothetical base rate changes in interest rates.</w:t>
      </w:r>
    </w:p>
    <w:p>
      <w:pPr>
        <w:spacing w:after="0" w:line="15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80" w:type="dxa"/>
            <w:vAlign w:val="bottom"/>
            <w:gridSpan w:val="3"/>
          </w:tcPr>
          <w:p>
            <w:pPr>
              <w:jc w:val="center"/>
              <w:ind w:left="3214"/>
              <w:spacing w:after="0"/>
              <w:rPr>
                <w:sz w:val="20"/>
                <w:szCs w:val="20"/>
                <w:color w:val="auto"/>
              </w:rPr>
            </w:pPr>
            <w:r>
              <w:rPr>
                <w:rFonts w:ascii="Arial" w:cs="Arial" w:eastAsia="Arial" w:hAnsi="Arial"/>
                <w:sz w:val="14"/>
                <w:szCs w:val="14"/>
                <w:b w:val="1"/>
                <w:bCs w:val="1"/>
                <w:color w:val="auto"/>
                <w:w w:val="93"/>
              </w:rPr>
              <w:t>Change In Interest</w:t>
            </w:r>
          </w:p>
        </w:tc>
        <w:tc>
          <w:tcPr>
            <w:tcW w:w="23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Change In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Income, Net Of</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Change In Interest Rates</w:t>
            </w:r>
          </w:p>
        </w:tc>
        <w:tc>
          <w:tcPr>
            <w:tcW w:w="33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1140" w:type="dxa"/>
            <w:vAlign w:val="bottom"/>
          </w:tcPr>
          <w:p>
            <w:pPr>
              <w:spacing w:after="0"/>
              <w:rPr>
                <w:sz w:val="12"/>
                <w:szCs w:val="12"/>
                <w:color w:val="auto"/>
              </w:rPr>
            </w:pPr>
          </w:p>
        </w:tc>
        <w:tc>
          <w:tcPr>
            <w:tcW w:w="12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 Expense</w:t>
            </w:r>
          </w:p>
        </w:tc>
        <w:tc>
          <w:tcPr>
            <w:tcW w:w="0" w:type="dxa"/>
            <w:vAlign w:val="bottom"/>
          </w:tcPr>
          <w:p>
            <w:pPr>
              <w:spacing w:after="0"/>
              <w:rPr>
                <w:sz w:val="1"/>
                <w:szCs w:val="1"/>
                <w:color w:val="auto"/>
              </w:rPr>
            </w:pPr>
          </w:p>
        </w:tc>
      </w:tr>
      <w:tr>
        <w:trPr>
          <w:trHeight w:val="171"/>
        </w:trPr>
        <w:tc>
          <w:tcPr>
            <w:tcW w:w="1560" w:type="dxa"/>
            <w:vAlign w:val="bottom"/>
            <w:gridSpan w:val="2"/>
            <w:vMerge w:val="continue"/>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(in thousands)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3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11,156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prospectus, we did not engage in interest rate hedging activities or foreign currency derivatives hedging activities.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Information about our senior securities shown in the following table as of September 30,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7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w w:val="83"/>
              </w:rPr>
              <w:t>Asset</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Amount</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680" w:type="dxa"/>
            <w:vAlign w:val="bottom"/>
            <w:vMerge w:val="restart"/>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36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Coverage</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4680" w:type="dxa"/>
            <w:vAlign w:val="bottom"/>
            <w:tcBorders>
              <w:bottom w:val="single" w:sz="8" w:color="CCEEFF"/>
            </w:tcBorders>
            <w:vMerge w:val="continue"/>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per Unit</w:t>
            </w:r>
            <w:r>
              <w:rPr>
                <w:rFonts w:ascii="Arial" w:cs="Arial" w:eastAsia="Arial" w:hAnsi="Arial"/>
                <w:sz w:val="12"/>
                <w:szCs w:val="12"/>
                <w:b w:val="1"/>
                <w:bCs w:val="1"/>
                <w:color w:val="auto"/>
                <w:w w:val="94"/>
              </w:rPr>
              <w:t>(2)</w:t>
            </w:r>
          </w:p>
        </w:tc>
        <w:tc>
          <w:tcPr>
            <w:tcW w:w="7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232,908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2,618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4"/>
              </w:rPr>
              <w:t>13,598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146,400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2,460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99,600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Fiscal 2012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75,500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2,275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24,650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4,735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240" w:top="459" w:right="6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prices for our common stock, the closing sale prices as a premium or (discount) to our NAV per share and distributions per share since October 1, 2014. On January 13, 2017, the last reported closing price of our common stock was $14.10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w:t>
            </w: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Premium /</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3"/>
            <w:vMerge w:val="restart"/>
          </w:tcPr>
          <w:p>
            <w:pPr>
              <w:jc w:val="right"/>
              <w:ind w:right="88"/>
              <w:spacing w:after="0"/>
              <w:rPr>
                <w:sz w:val="20"/>
                <w:szCs w:val="20"/>
                <w:color w:val="auto"/>
              </w:rPr>
            </w:pPr>
            <w:r>
              <w:rPr>
                <w:rFonts w:ascii="Arial" w:cs="Arial" w:eastAsia="Arial" w:hAnsi="Arial"/>
                <w:sz w:val="14"/>
                <w:szCs w:val="14"/>
                <w:b w:val="1"/>
                <w:bCs w:val="1"/>
                <w:color w:val="auto"/>
                <w:w w:val="98"/>
              </w:rPr>
              <w:t>Closing Sales Price</w:t>
            </w:r>
          </w:p>
        </w:tc>
        <w:tc>
          <w:tcPr>
            <w:tcW w:w="5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(Discount)</w:t>
            </w: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(Discount)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1680" w:type="dxa"/>
            <w:vAlign w:val="bottom"/>
            <w:gridSpan w:val="3"/>
            <w:vMerge w:val="restart"/>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114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4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49"/>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420" w:type="dxa"/>
            <w:vAlign w:val="bottom"/>
          </w:tcPr>
          <w:p>
            <w:pPr>
              <w:spacing w:after="0"/>
              <w:rPr>
                <w:sz w:val="12"/>
                <w:szCs w:val="12"/>
                <w:color w:val="auto"/>
              </w:rPr>
            </w:pP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to</w:t>
            </w: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 to</w:t>
            </w:r>
          </w:p>
        </w:tc>
        <w:tc>
          <w:tcPr>
            <w:tcW w:w="14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4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16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(2)</w:t>
            </w:r>
          </w:p>
        </w:tc>
        <w:tc>
          <w:tcPr>
            <w:tcW w:w="16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4"/>
              </w:rPr>
              <w:t>Fiscal</w:t>
            </w:r>
          </w:p>
        </w:tc>
        <w:tc>
          <w:tcPr>
            <w:tcW w:w="332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Year Ending September 30, 2017</w:t>
            </w:r>
          </w:p>
        </w:tc>
        <w:tc>
          <w:tcPr>
            <w:tcW w:w="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quarter (through January 13, 2017)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$ 14.17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$ 14.04</w:t>
            </w:r>
          </w:p>
        </w:tc>
        <w:tc>
          <w:tcPr>
            <w:tcW w:w="560" w:type="dxa"/>
            <w:vAlign w:val="bottom"/>
          </w:tcPr>
          <w:p>
            <w:pPr>
              <w:spacing w:after="0"/>
              <w:rPr>
                <w:sz w:val="18"/>
                <w:szCs w:val="18"/>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400" w:type="dxa"/>
            <w:vAlign w:val="bottom"/>
            <w:gridSpan w:val="5"/>
          </w:tcPr>
          <w:p>
            <w:pPr>
              <w:ind w:left="460"/>
              <w:spacing w:after="0"/>
              <w:rPr>
                <w:sz w:val="20"/>
                <w:szCs w:val="20"/>
                <w:color w:val="auto"/>
              </w:rPr>
            </w:pPr>
            <w:r>
              <w:rPr>
                <w:rFonts w:ascii="Arial" w:cs="Arial" w:eastAsia="Arial" w:hAnsi="Arial"/>
                <w:sz w:val="18"/>
                <w:szCs w:val="18"/>
                <w:color w:val="auto"/>
              </w:rPr>
              <w:t>N/A%  $   0.0950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11.58</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13.73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12.42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0.2850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13.25</w:t>
            </w:r>
          </w:p>
        </w:tc>
        <w:tc>
          <w:tcPr>
            <w:tcW w:w="168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0.2750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0.2700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60" w:hanging="436"/>
        <w:spacing w:after="0" w:line="258"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a dividend of $0.0950 per share payable on February 1, 2017 to stockholders of record as of January 20, 2017.</w:t>
      </w:r>
    </w:p>
    <w:p>
      <w:pPr>
        <w:spacing w:after="0" w:line="21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$13.23 and $11.94 on September 30, 2016 and 2015, respectively. Our NAV per share was $14.06 and $13.95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January 13, 2017 we had 41 stockholders of record.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4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83" w:lineRule="exact"/>
        <w:rPr>
          <w:sz w:val="20"/>
          <w:szCs w:val="20"/>
          <w:color w:val="auto"/>
        </w:rPr>
      </w:pPr>
    </w:p>
    <w:p>
      <w:pPr>
        <w:ind w:left="200" w:right="6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620" w:right="5140" w:hanging="4876"/>
        <w:spacing w:after="0" w:line="536" w:lineRule="auto"/>
        <w:tabs>
          <w:tab w:leader="none" w:pos="1064"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56</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40" w:hanging="316"/>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1</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center"/>
              <w:ind w:left="342"/>
              <w:spacing w:after="0"/>
              <w:rPr>
                <w:sz w:val="20"/>
                <w:szCs w:val="20"/>
                <w:color w:val="auto"/>
              </w:rPr>
            </w:pPr>
            <w:r>
              <w:rPr>
                <w:rFonts w:ascii="Arial" w:cs="Arial" w:eastAsia="Arial" w:hAnsi="Arial"/>
                <w:sz w:val="14"/>
                <w:szCs w:val="14"/>
                <w:b w:val="1"/>
                <w:bCs w:val="1"/>
                <w:color w:val="auto"/>
                <w:w w:val="95"/>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4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4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NAV per share</w:t>
            </w:r>
          </w:p>
        </w:tc>
        <w:tc>
          <w:tcPr>
            <w:tcW w:w="440" w:type="dxa"/>
            <w:vAlign w:val="bottom"/>
            <w:gridSpan w:val="2"/>
          </w:tcPr>
          <w:p>
            <w:pPr>
              <w:ind w:lef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9.98</w:t>
            </w:r>
          </w:p>
        </w:tc>
        <w:tc>
          <w:tcPr>
            <w:tcW w:w="46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6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0.91%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Total Asset Values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c>
          <w:tcPr>
            <w:tcW w:w="4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4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2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ind w:left="480"/>
              <w:spacing w:after="0"/>
              <w:rPr>
                <w:sz w:val="20"/>
                <w:szCs w:val="20"/>
                <w:color w:val="auto"/>
              </w:rPr>
            </w:pPr>
            <w:r>
              <w:rPr>
                <w:rFonts w:ascii="Arial" w:cs="Arial" w:eastAsia="Arial" w:hAnsi="Arial"/>
                <w:sz w:val="16"/>
                <w:szCs w:val="16"/>
                <w:color w:val="auto"/>
              </w:rPr>
              <w:t>(assumed to be $10.00 per share)</w:t>
            </w:r>
          </w:p>
        </w:tc>
        <w:tc>
          <w:tcPr>
            <w:tcW w:w="440" w:type="dxa"/>
            <w:vAlign w:val="bottom"/>
            <w:gridSpan w:val="2"/>
          </w:tcPr>
          <w:p>
            <w:pPr>
              <w:ind w:left="34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100,000</w:t>
            </w:r>
          </w:p>
        </w:tc>
        <w:tc>
          <w:tcPr>
            <w:tcW w:w="3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100,000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 to stockholder A (total</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NAV less total investment)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(200)</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(900)</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(5,000)</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auto"/>
                <w:w w:val="92"/>
              </w:rPr>
              <w:t>Example 1</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left="263"/>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5% Offering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2"/>
              </w:rPr>
              <w:t>Prior to Sale</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5"/>
              </w:rPr>
              <w:t>at 5% Discount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at 10% Discount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Below NAV</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7"/>
              </w:rPr>
              <w:t>Sale</w:t>
            </w: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Sale</w:t>
            </w:r>
          </w:p>
        </w:tc>
        <w:tc>
          <w:tcPr>
            <w:tcW w:w="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7"/>
              </w:rPr>
              <w:t>Sale</w:t>
            </w: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Per Share Amounts</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jc w:val="center"/>
              <w:ind w:left="99"/>
              <w:spacing w:after="0"/>
              <w:rPr>
                <w:sz w:val="20"/>
                <w:szCs w:val="20"/>
                <w:color w:val="auto"/>
              </w:rPr>
            </w:pPr>
            <w:r>
              <w:rPr>
                <w:rFonts w:ascii="Arial" w:cs="Arial" w:eastAsia="Arial" w:hAnsi="Arial"/>
                <w:sz w:val="16"/>
                <w:szCs w:val="16"/>
                <w:color w:val="auto"/>
                <w:w w:val="99"/>
              </w:rPr>
              <w:t>—</w:t>
            </w:r>
          </w:p>
        </w:tc>
        <w:tc>
          <w:tcPr>
            <w:tcW w:w="6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9.98</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9.91</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per share held by</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(assumed to be $10.00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9"/>
              </w:rPr>
              <w:t>per share on shares held prior to sale)</w:t>
            </w: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4"/>
              </w:rPr>
              <w:t>10.00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80" w:type="dxa"/>
            <w:vAlign w:val="bottom"/>
          </w:tcPr>
          <w:p>
            <w:pPr>
              <w:ind w:left="300"/>
              <w:spacing w:after="0"/>
              <w:rPr>
                <w:sz w:val="20"/>
                <w:szCs w:val="20"/>
                <w:color w:val="auto"/>
              </w:rPr>
            </w:pPr>
            <w:r>
              <w:rPr>
                <w:rFonts w:ascii="Arial" w:cs="Arial" w:eastAsia="Arial" w:hAnsi="Arial"/>
                <w:sz w:val="16"/>
                <w:szCs w:val="16"/>
                <w:color w:val="auto"/>
              </w:rPr>
              <w:t>Dilution per share held by stockholder 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tcPr>
          <w:p>
            <w:pPr>
              <w:ind w:left="480"/>
              <w:spacing w:after="0"/>
              <w:rPr>
                <w:sz w:val="20"/>
                <w:szCs w:val="20"/>
                <w:color w:val="auto"/>
              </w:rPr>
            </w:pPr>
            <w:r>
              <w:rPr>
                <w:rFonts w:ascii="Arial" w:cs="Arial" w:eastAsia="Arial" w:hAnsi="Arial"/>
                <w:sz w:val="16"/>
                <w:szCs w:val="16"/>
                <w:color w:val="auto"/>
              </w:rPr>
              <w:t>(NAV per share less investment per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80" w:type="dxa"/>
            <w:vAlign w:val="bottom"/>
          </w:tcPr>
          <w:p>
            <w:pPr>
              <w:ind w:left="480"/>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center"/>
              <w:ind w:left="99"/>
              <w:spacing w:after="0"/>
              <w:rPr>
                <w:sz w:val="20"/>
                <w:szCs w:val="20"/>
                <w:color w:val="auto"/>
              </w:rPr>
            </w:pPr>
            <w:r>
              <w:rPr>
                <w:rFonts w:ascii="Arial" w:cs="Arial" w:eastAsia="Arial" w:hAnsi="Arial"/>
                <w:sz w:val="16"/>
                <w:szCs w:val="16"/>
                <w:color w:val="auto"/>
                <w:w w:val="99"/>
              </w:rPr>
              <w:t>—</w:t>
            </w:r>
          </w:p>
        </w:tc>
        <w:tc>
          <w:tcPr>
            <w:tcW w:w="6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6"/>
                <w:szCs w:val="16"/>
                <w:color w:val="auto"/>
              </w:rPr>
              <w:t>(0.02)</w:t>
            </w:r>
          </w:p>
        </w:tc>
        <w:tc>
          <w:tcPr>
            <w:tcW w:w="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500"/>
              <w:spacing w:after="0"/>
              <w:rPr>
                <w:sz w:val="20"/>
                <w:szCs w:val="20"/>
                <w:color w:val="auto"/>
              </w:rPr>
            </w:pPr>
            <w:r>
              <w:rPr>
                <w:rFonts w:ascii="Arial" w:cs="Arial" w:eastAsia="Arial" w:hAnsi="Arial"/>
                <w:sz w:val="16"/>
                <w:szCs w:val="16"/>
                <w:color w:val="auto"/>
              </w:rPr>
              <w:t>(0.09)</w:t>
            </w:r>
          </w:p>
        </w:tc>
        <w:tc>
          <w:tcPr>
            <w:tcW w:w="2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Percentage dilution to stockholder A</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(dilution per share divided by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(0.90)%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firstLine="441"/>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Prior to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50% Participation</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w w:val="98"/>
              </w:rPr>
              <w:t>Following</w:t>
            </w:r>
          </w:p>
        </w:tc>
        <w:tc>
          <w:tcPr>
            <w:tcW w:w="72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9"/>
              </w:rPr>
              <w:t>Below NAV</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7.89</w:t>
            </w:r>
          </w:p>
        </w:tc>
        <w:tc>
          <w:tcPr>
            <w:tcW w:w="6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9.50</w:t>
            </w:r>
          </w:p>
        </w:tc>
        <w:tc>
          <w:tcPr>
            <w:tcW w:w="6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36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11,250</w:t>
            </w:r>
          </w:p>
        </w:tc>
        <w:tc>
          <w:tcPr>
            <w:tcW w:w="6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13,750</w:t>
            </w:r>
          </w:p>
        </w:tc>
        <w:tc>
          <w:tcPr>
            <w:tcW w:w="36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106,875</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130,625</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w w:val="93"/>
              </w:rPr>
              <w:t>Total investment by stockholder A (assumed to be $10.00 per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109,863</w:t>
            </w:r>
          </w:p>
        </w:tc>
        <w:tc>
          <w:tcPr>
            <w:tcW w:w="6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129,588</w:t>
            </w:r>
          </w:p>
        </w:tc>
        <w:tc>
          <w:tcPr>
            <w:tcW w:w="36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(dilution)/accretion to stockholder A (total NAV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(2,988)</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w w:val="94"/>
              </w:rPr>
              <w:t>Investment per share held by stockholder A (assumed to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9.77</w:t>
            </w:r>
          </w:p>
        </w:tc>
        <w:tc>
          <w:tcPr>
            <w:tcW w:w="6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9.42</w:t>
            </w:r>
          </w:p>
        </w:tc>
        <w:tc>
          <w:tcPr>
            <w:tcW w:w="36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(Dilution)/accretion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(NAV per share less investment per share)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(0.27)</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340"/>
              <w:spacing w:after="0" w:line="201" w:lineRule="exact"/>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w w:val="98"/>
              </w:rPr>
              <w:t>((dilution)/accretion per share divided by investment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520"/>
              <w:spacing w:after="0"/>
              <w:rPr>
                <w:sz w:val="20"/>
                <w:szCs w:val="20"/>
                <w:color w:val="auto"/>
              </w:rPr>
            </w:pPr>
            <w:r>
              <w:rPr>
                <w:rFonts w:ascii="Arial" w:cs="Arial" w:eastAsia="Arial" w:hAnsi="Arial"/>
                <w:sz w:val="18"/>
                <w:szCs w:val="18"/>
                <w:color w:val="auto"/>
              </w:rPr>
              <w:t>per share)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6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w w:val="92"/>
              </w:rPr>
              <w:t>Example 1</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2"/>
              </w:rPr>
              <w:t>Example 2</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5"/>
              </w:rPr>
              <w:t>Example 3</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left="276"/>
              <w:spacing w:after="0" w:line="149" w:lineRule="exact"/>
              <w:rPr>
                <w:sz w:val="20"/>
                <w:szCs w:val="20"/>
                <w:color w:val="auto"/>
              </w:rPr>
            </w:pPr>
            <w:r>
              <w:rPr>
                <w:rFonts w:ascii="Arial" w:cs="Arial" w:eastAsia="Arial" w:hAnsi="Arial"/>
                <w:sz w:val="14"/>
                <w:szCs w:val="14"/>
                <w:b w:val="1"/>
                <w:bCs w:val="1"/>
                <w:color w:val="auto"/>
                <w:w w:val="99"/>
              </w:rPr>
              <w:t>5% Offering</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6"/>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8"/>
              </w:rPr>
              <w:t>Following</w:t>
            </w:r>
          </w:p>
        </w:tc>
        <w:tc>
          <w:tcPr>
            <w:tcW w:w="52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7.89</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offering proceeds per share to issuer</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Decrease to NAV</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1,050,000</w:t>
            </w: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1,100,000</w:t>
            </w:r>
          </w:p>
        </w:tc>
        <w:tc>
          <w:tcPr>
            <w:tcW w:w="4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1,250,000</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NAV per share</w:t>
            </w:r>
          </w:p>
        </w:tc>
        <w:tc>
          <w:tcPr>
            <w:tcW w:w="18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9.98</w:t>
            </w:r>
          </w:p>
        </w:tc>
        <w:tc>
          <w:tcPr>
            <w:tcW w:w="4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(0.90)%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4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Dilution to Stockholder A</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NAV held by</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stockholder A</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tcPr>
          <w:p>
            <w:pPr>
              <w:ind w:left="340"/>
              <w:spacing w:after="0" w:line="201" w:lineRule="exact"/>
              <w:rPr>
                <w:sz w:val="20"/>
                <w:szCs w:val="20"/>
                <w:color w:val="auto"/>
              </w:rPr>
            </w:pPr>
            <w:r>
              <w:rPr>
                <w:rFonts w:ascii="Arial" w:cs="Arial" w:eastAsia="Arial" w:hAnsi="Arial"/>
                <w:sz w:val="18"/>
                <w:szCs w:val="18"/>
                <w:color w:val="auto"/>
              </w:rPr>
              <w:t>Total investment by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ind w:left="520"/>
              <w:spacing w:after="0"/>
              <w:rPr>
                <w:sz w:val="20"/>
                <w:szCs w:val="20"/>
                <w:color w:val="auto"/>
              </w:rPr>
            </w:pPr>
            <w:r>
              <w:rPr>
                <w:rFonts w:ascii="Arial" w:cs="Arial" w:eastAsia="Arial" w:hAnsi="Arial"/>
                <w:sz w:val="18"/>
                <w:szCs w:val="18"/>
                <w:color w:val="auto"/>
              </w:rPr>
              <w:t>stockholder A</w:t>
            </w:r>
          </w:p>
        </w:tc>
        <w:tc>
          <w:tcPr>
            <w:tcW w:w="18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440" w:type="dxa"/>
            <w:vAlign w:val="bottom"/>
          </w:tcPr>
          <w:p>
            <w:pPr>
              <w:spacing w:after="0"/>
              <w:rPr>
                <w:sz w:val="20"/>
                <w:szCs w:val="2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9,470</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19,725</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(dilution)/accretion to</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stockholder A (total NAV less total</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4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Example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260"/>
              <w:spacing w:after="0"/>
              <w:rPr>
                <w:sz w:val="20"/>
                <w:szCs w:val="20"/>
                <w:color w:val="auto"/>
              </w:rPr>
            </w:pPr>
            <w:r>
              <w:rPr>
                <w:rFonts w:ascii="Arial" w:cs="Arial" w:eastAsia="Arial" w:hAnsi="Arial"/>
                <w:sz w:val="14"/>
                <w:szCs w:val="14"/>
                <w:b w:val="1"/>
                <w:bCs w:val="1"/>
                <w:color w:val="auto"/>
              </w:rPr>
              <w:t>Example 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280"/>
              <w:spacing w:after="0"/>
              <w:rPr>
                <w:sz w:val="20"/>
                <w:szCs w:val="20"/>
                <w:color w:val="auto"/>
              </w:rPr>
            </w:pPr>
            <w:r>
              <w:rPr>
                <w:rFonts w:ascii="Arial" w:cs="Arial" w:eastAsia="Arial" w:hAnsi="Arial"/>
                <w:sz w:val="14"/>
                <w:szCs w:val="14"/>
                <w:b w:val="1"/>
                <w:bCs w:val="1"/>
                <w:color w:val="auto"/>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5% Offering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4"/>
              </w:rPr>
              <w:t>Prior to Sale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at 5% Discount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auto"/>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6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Following</w:t>
            </w:r>
          </w:p>
        </w:tc>
        <w:tc>
          <w:tcPr>
            <w:tcW w:w="860" w:type="dxa"/>
            <w:vAlign w:val="bottom"/>
            <w:tcBorders>
              <w:top w:val="single" w:sz="8" w:color="auto"/>
            </w:tcBorders>
            <w:gridSpan w:val="2"/>
          </w:tcPr>
          <w:p>
            <w:pPr>
              <w:ind w:left="54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Following</w:t>
            </w:r>
          </w:p>
        </w:tc>
        <w:tc>
          <w:tcPr>
            <w:tcW w:w="86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w w:val="99"/>
              </w:rPr>
              <w:t>Below NAV</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Sale</w:t>
            </w: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Sale</w:t>
            </w:r>
          </w:p>
        </w:tc>
        <w:tc>
          <w:tcPr>
            <w:tcW w:w="120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rPr>
              <w:t>Sale</w:t>
            </w:r>
          </w:p>
        </w:tc>
        <w:tc>
          <w:tcPr>
            <w:tcW w:w="1080" w:type="dxa"/>
            <w:vAlign w:val="bottom"/>
            <w:gridSpan w:val="3"/>
          </w:tcPr>
          <w:p>
            <w:pPr>
              <w:jc w:val="center"/>
              <w:ind w:left="84"/>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NAV per share held by stockholder A</w:t>
            </w:r>
          </w:p>
        </w:tc>
        <w:tc>
          <w:tcPr>
            <w:tcW w:w="1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9.91</w:t>
            </w:r>
          </w:p>
        </w:tc>
        <w:tc>
          <w:tcPr>
            <w:tcW w:w="38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9.50</w:t>
            </w:r>
          </w:p>
        </w:tc>
        <w:tc>
          <w:tcPr>
            <w:tcW w:w="40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per share held by stockholder A</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9.47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5"/>
              </w:rPr>
              <w:t>7.89</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ind w:left="340"/>
              <w:spacing w:after="0" w:line="201" w:lineRule="exact"/>
              <w:rPr>
                <w:sz w:val="20"/>
                <w:szCs w:val="20"/>
                <w:color w:val="auto"/>
              </w:rPr>
            </w:pPr>
            <w:r>
              <w:rPr>
                <w:rFonts w:ascii="Arial" w:cs="Arial" w:eastAsia="Arial" w:hAnsi="Arial"/>
                <w:sz w:val="18"/>
                <w:szCs w:val="18"/>
                <w:color w:val="auto"/>
              </w:rPr>
              <w:t>(Dilution)/accretion per share held by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stockholder A (NAV per share less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520"/>
              <w:spacing w:after="0"/>
              <w:rPr>
                <w:sz w:val="20"/>
                <w:szCs w:val="20"/>
                <w:color w:val="auto"/>
              </w:rPr>
            </w:pPr>
            <w:r>
              <w:rPr>
                <w:rFonts w:ascii="Arial" w:cs="Arial" w:eastAsia="Arial" w:hAnsi="Arial"/>
                <w:sz w:val="18"/>
                <w:szCs w:val="18"/>
                <w:color w:val="auto"/>
              </w:rPr>
              <w:t>investment per share)</w:t>
            </w:r>
          </w:p>
        </w:tc>
        <w:tc>
          <w:tcPr>
            <w:tcW w:w="180" w:type="dxa"/>
            <w:vAlign w:val="bottom"/>
          </w:tcPr>
          <w:p>
            <w:pPr>
              <w:spacing w:after="0"/>
              <w:rPr>
                <w:sz w:val="20"/>
                <w:szCs w:val="20"/>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20"/>
                <w:szCs w:val="20"/>
                <w:color w:val="auto"/>
              </w:rPr>
            </w:pPr>
          </w:p>
        </w:tc>
        <w:tc>
          <w:tcPr>
            <w:tcW w:w="8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0.44</w:t>
            </w:r>
          </w:p>
        </w:tc>
        <w:tc>
          <w:tcPr>
            <w:tcW w:w="380" w:type="dxa"/>
            <w:vAlign w:val="bottom"/>
          </w:tcPr>
          <w:p>
            <w:pPr>
              <w:spacing w:after="0"/>
              <w:rPr>
                <w:sz w:val="20"/>
                <w:szCs w:val="20"/>
                <w:color w:val="auto"/>
              </w:rPr>
            </w:pPr>
          </w:p>
        </w:tc>
        <w:tc>
          <w:tcPr>
            <w:tcW w:w="8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ind w:left="160"/>
              <w:spacing w:after="0"/>
              <w:rPr>
                <w:sz w:val="20"/>
                <w:szCs w:val="20"/>
                <w:color w:val="auto"/>
              </w:rPr>
            </w:pPr>
            <w:r>
              <w:rPr>
                <w:rFonts w:ascii="Arial" w:cs="Arial" w:eastAsia="Arial" w:hAnsi="Arial"/>
                <w:sz w:val="18"/>
                <w:szCs w:val="18"/>
                <w:color w:val="auto"/>
                <w:w w:val="85"/>
              </w:rPr>
              <w:t>1.61</w:t>
            </w:r>
          </w:p>
        </w:tc>
        <w:tc>
          <w:tcPr>
            <w:tcW w:w="40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Percentage (dilution)/accretion to stockholder</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A ((dilution)/accretion per share divided by</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investment per share)</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158"/>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per share that we have declared on our common stock since October 1, 2014.</w:t>
      </w:r>
    </w:p>
    <w:p>
      <w:pPr>
        <w:spacing w:after="0" w:line="164"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2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Payment Dates</w:t>
            </w:r>
          </w:p>
        </w:tc>
        <w:tc>
          <w:tcPr>
            <w:tcW w:w="8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2"/>
              </w:rPr>
              <w:t>Distributions</w:t>
            </w:r>
          </w:p>
        </w:tc>
        <w:tc>
          <w:tcPr>
            <w:tcW w:w="0" w:type="dxa"/>
            <w:vAlign w:val="bottom"/>
          </w:tcPr>
          <w:p>
            <w:pPr>
              <w:spacing w:after="0"/>
              <w:rPr>
                <w:sz w:val="1"/>
                <w:szCs w:val="1"/>
                <w:color w:val="auto"/>
              </w:rPr>
            </w:pPr>
          </w:p>
        </w:tc>
      </w:tr>
      <w:tr>
        <w:trPr>
          <w:trHeight w:val="171"/>
        </w:trPr>
        <w:tc>
          <w:tcPr>
            <w:tcW w:w="6980" w:type="dxa"/>
            <w:vAlign w:val="bottom"/>
            <w:gridSpan w:val="2"/>
            <w:vMerge w:val="continue"/>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4"/>
              </w:rPr>
              <w:t>Fiscal Year</w:t>
            </w:r>
          </w:p>
        </w:tc>
        <w:tc>
          <w:tcPr>
            <w:tcW w:w="616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b w:val="1"/>
                <w:bCs w:val="1"/>
                <w:color w:val="auto"/>
              </w:rPr>
              <w:t>Ending September 30, 2017</w:t>
            </w:r>
          </w:p>
        </w:tc>
        <w:tc>
          <w:tcPr>
            <w:tcW w:w="1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January 20, 2017</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February 1, 2017</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22,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January 3, 2017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November 18,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December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20,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November 1, 2016</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2016</w:t>
            </w: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September 21,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October 3, 2016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19,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September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July 20,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August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July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May 20,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June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20,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May 2,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March 18,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April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February 18, 2016</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March 1,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January 20, 2016</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February 1, 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January 4, 2016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November 19,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December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21,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November 2, 2015</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2015</w:t>
            </w:r>
          </w:p>
        </w:tc>
        <w:tc>
          <w:tcPr>
            <w:tcW w:w="1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September 21,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October 1, 2015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August 24,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1"/>
              </w:rPr>
              <w:t>September 1,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July 22,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August 3,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15,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July 1,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May 20,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June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April 20,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May 1,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March 20,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April 1,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February 18, 2015</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March 2,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January 21, 2015</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rPr>
              <w:t>February 2,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19, 2014</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January 2, 2015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360"/>
              <w:spacing w:after="0"/>
              <w:rPr>
                <w:sz w:val="20"/>
                <w:szCs w:val="20"/>
                <w:color w:val="auto"/>
              </w:rPr>
            </w:pPr>
            <w:r>
              <w:rPr>
                <w:rFonts w:ascii="Arial" w:cs="Arial" w:eastAsia="Arial" w:hAnsi="Arial"/>
                <w:sz w:val="18"/>
                <w:szCs w:val="18"/>
                <w:color w:val="auto"/>
              </w:rPr>
              <w:t>November 19, 2014</w:t>
            </w:r>
          </w:p>
        </w:tc>
        <w:tc>
          <w:tcPr>
            <w:tcW w:w="206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December 1, 2014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October 22, 2014</w:t>
            </w:r>
          </w:p>
        </w:tc>
        <w:tc>
          <w:tcPr>
            <w:tcW w:w="2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4"/>
              </w:rPr>
              <w:t>November 3, 2014</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January 2017, a Form 1099-DIV will be sent to stockholders subject to information reporting that will state the amount and composition of distributions and provide information with respect to appropriate tax treatment of our distributions.</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20"/>
          </w:cols>
          <w:pgMar w:left="240" w:top="459" w:right="7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tax characteristics of distributions declared, in accordance with Section 19(a) of the 1940 Act, during the fiscal years ended</w:t>
      </w:r>
    </w:p>
    <w:p>
      <w:pPr>
        <w:spacing w:after="0" w:line="23"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September 30, 2016 and 2015 from ordinary income (including short-term capital gains) totaled $30.5 million and $17.2 million, or $1.14 and $1.06 per share, respectively, based on the weighted average shares outstanding for the respective periods. Additionally, for the fiscal year ended September 30, 2015, we had long-term capital gain distributions of $1.7 million, or $0.10 per share, based on the weighted average shares outstanding.</w:t>
      </w:r>
    </w:p>
    <w:p>
      <w:pPr>
        <w:spacing w:after="0" w:line="15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tax status. We cannot assure stockholders that they will receive any distributions or distributions at a particular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did not engage in any sales of unregistered securities during the fiscal year ended September 30, 2016.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current income and capital appreciation while seeking to preserve capital by investing primarily in Floating Rate Loans and other investments made to U.S. middle-market companies.</w:t>
      </w:r>
    </w:p>
    <w:p>
      <w:pPr>
        <w:spacing w:after="0" w:line="14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instruments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We seek to create a diversified portfolio by generally targeting an investment size between $3 million and $15 million, on average, although we expect that this investment size will vary proportionately with the size of our capital base.</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w:t>
      </w:r>
    </w:p>
    <w:p>
      <w:pPr>
        <w:spacing w:after="0" w:line="170"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Merger Agreement by and among MCG, our Investment Adviser and the Company. As a result of the transactions completed by the Merger Agreement, MCG was ultimately merged with and into PFLT Funding II, LLC with PFLT Funding II, LLC as the surviving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60"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$3.0 billion in debt and equity capital and has invested $5.5 billion in more than 400 companies with over 160 different financial sponsors through its managed funds.</w:t>
      </w:r>
    </w:p>
    <w:p>
      <w:pPr>
        <w:spacing w:after="0" w:line="17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may provide,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hanging="316"/>
        <w:spacing w:after="0" w:line="261"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look to raise funds by issuing high-yield bonds.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5" w:lineRule="exact"/>
        <w:rPr>
          <w:rFonts w:ascii="Arial" w:cs="Arial" w:eastAsia="Arial" w:hAnsi="Arial"/>
          <w:sz w:val="18"/>
          <w:szCs w:val="18"/>
          <w:color w:val="auto"/>
        </w:rPr>
      </w:pPr>
    </w:p>
    <w:p>
      <w:pPr>
        <w:ind w:left="1060" w:right="720" w:hanging="316"/>
        <w:spacing w:after="0" w:line="266"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CLO funds have withdrawn,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jc w:val="both"/>
        <w:ind w:left="1060" w:right="140" w:hanging="316"/>
        <w:spacing w:after="0" w:line="289"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risk-reward on our investments. </w:t>
      </w:r>
      <w:r>
        <w:rPr>
          <w:rFonts w:ascii="Arial" w:cs="Arial" w:eastAsia="Arial" w:hAnsi="Arial"/>
          <w:sz w:val="17"/>
          <w:szCs w:val="17"/>
          <w:color w:val="auto"/>
        </w:rPr>
        <w:t>From time to</w:t>
      </w:r>
      <w:r>
        <w:rPr>
          <w:rFonts w:ascii="Arial" w:cs="Arial" w:eastAsia="Arial" w:hAnsi="Arial"/>
          <w:sz w:val="17"/>
          <w:szCs w:val="17"/>
          <w:b w:val="1"/>
          <w:bCs w:val="1"/>
          <w:color w:val="auto"/>
        </w:rPr>
        <w:t xml:space="preserve"> </w:t>
      </w:r>
      <w:r>
        <w:rPr>
          <w:rFonts w:ascii="Arial" w:cs="Arial" w:eastAsia="Arial" w:hAnsi="Arial"/>
          <w:sz w:val="17"/>
          <w:szCs w:val="17"/>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right="280" w:hanging="316"/>
        <w:spacing w:after="0" w:line="303" w:lineRule="auto"/>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These private equity funds generally seek to leverage their investments by combining their capital with senior secured debt and/or mezzanine debt provided by other sources, and we believe that our capital is well-positioned to partner with such equity investors.</w:t>
      </w:r>
    </w:p>
    <w:p>
      <w:pPr>
        <w:spacing w:after="0" w:line="56" w:lineRule="exact"/>
        <w:rPr>
          <w:rFonts w:ascii="Arial" w:cs="Arial" w:eastAsia="Arial" w:hAnsi="Arial"/>
          <w:sz w:val="16"/>
          <w:szCs w:val="16"/>
          <w:color w:val="auto"/>
        </w:rPr>
      </w:pPr>
    </w:p>
    <w:p>
      <w:pPr>
        <w:ind w:left="1060" w:right="40" w:hanging="316"/>
        <w:spacing w:after="0" w:line="261"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00"/>
        <w:spacing w:after="0" w:line="277" w:lineRule="auto"/>
        <w:rPr>
          <w:sz w:val="20"/>
          <w:szCs w:val="20"/>
          <w:color w:val="auto"/>
        </w:rPr>
      </w:pPr>
      <w:r>
        <w:rPr>
          <w:rFonts w:ascii="Arial" w:cs="Arial" w:eastAsia="Arial" w:hAnsi="Arial"/>
          <w:sz w:val="18"/>
          <w:szCs w:val="18"/>
          <w:color w:val="auto"/>
        </w:rPr>
        <w:t>companies and from time to time the reduced supply of credit described above should increase lending opportunities for us. We believe this supply of opportunities coupled with a lack of demand offers attractive risk-reward to investors.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to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has resulted in a strong reputation across the capital markets.</w:t>
      </w:r>
    </w:p>
    <w:p>
      <w:pPr>
        <w:spacing w:after="0" w:line="15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8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600" w:hanging="176"/>
        <w:spacing w:after="0"/>
        <w:tabs>
          <w:tab w:leader="none" w:pos="600" w:val="left"/>
        </w:tabs>
        <w:numPr>
          <w:ilvl w:val="0"/>
          <w:numId w:val="6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Proactive Research Capability and Established Network</w:t>
      </w:r>
    </w:p>
    <w:p>
      <w:pPr>
        <w:spacing w:after="0" w:line="14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73"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As of September 30, 2016, we maintained a $350 million Credit Facility, which matures in August 2020, with the Lenders. During the Credit Facility’s revolving period, which extends to August 2018, it bears interest at LIBOR plus 200 basis points, and after the revolving period, the rate sets to LIBOR plus 425 basis points for the remaining two years. The Credit Facility is secured by all of the assets held by Funding I, under which we had $232.9 million outstanding. The annualized weighted average cost of debt for the year ended September 30, 2016, inclusive of the fee on the undrawn commitment on the Credit Facility but excluding amendment costs, was 3.51%. As of September 30, 2016 and 2015, we had $117.1 million and $260.4 million of unused borrowing capacity under our Credit Facility, respectively, subject to regulatory restrictions. We believe that our capital resources provide us with the flexibility to take advantage of market opportunities when they arise. Our use of leverage, as calculated under the asset coverage ratio of the 1940 Act, may generally range between 70% and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for more information.</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MCG was a party to certain legal proceedings, including the enforcement of its rights under contracts with its portfolio companies. We inherited this litigation upon the closing of our acquisition of MCG. While the outcome of these and any future legal proceedings cannot be predicted with certainty, we do not expect that these proceedings will have a material effect upon our financial condition or results of operations, although we cannot assure you that amounts received in settlement may not be requested to be returned or that we may not be found liable in any such litigation.</w:t>
      </w:r>
    </w:p>
    <w:p>
      <w:pPr>
        <w:spacing w:after="0" w:line="1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60"/>
          </w:cols>
          <w:pgMar w:left="24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seek to create a diversified portfolio primarily of Floating Rate Loans by generally targeting an investment size of $3 million to $15 million in securities, on average, of middle-market companies. We expect this investment size to vary proportionately with the size of our capital base. We generally expect that senior secured debt,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82"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 See “Regulation—Qualifying Assets” and “Investment Objectives and Policies— Investment Selection Criteria” for more information.</w:t>
      </w:r>
    </w:p>
    <w:p>
      <w:pPr>
        <w:spacing w:after="0" w:line="193"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Secured Debt</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Structurally, senior secured debt (which we define as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Mezzanine Debt</w:t>
      </w:r>
    </w:p>
    <w:p>
      <w:pPr>
        <w:spacing w:after="0" w:line="121" w:lineRule="exact"/>
        <w:rPr>
          <w:sz w:val="20"/>
          <w:szCs w:val="20"/>
          <w:color w:val="auto"/>
        </w:rPr>
      </w:pPr>
    </w:p>
    <w:p>
      <w:pPr>
        <w:jc w:val="both"/>
        <w:ind w:left="200" w:right="20" w:firstLine="441"/>
        <w:spacing w:after="0" w:line="257" w:lineRule="auto"/>
        <w:rPr>
          <w:sz w:val="20"/>
          <w:szCs w:val="20"/>
          <w:color w:val="auto"/>
        </w:rPr>
      </w:pPr>
      <w:r>
        <w:rPr>
          <w:rFonts w:ascii="Arial" w:cs="Arial" w:eastAsia="Arial" w:hAnsi="Arial"/>
          <w:sz w:val="18"/>
          <w:szCs w:val="18"/>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debt, mezzanine debt generally earns a higher return than senior secured debt. In many cases, mezzanine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investors receive opportunities to invest directly in the equity securities of borrowers and from time to time may also receive warrants to purchase equity securities. We evaluate these investment opportunities on a case-by-case basis.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335" w:lineRule="exact"/>
        <w:rPr>
          <w:sz w:val="20"/>
          <w:szCs w:val="20"/>
          <w:color w:val="auto"/>
        </w:rPr>
      </w:pPr>
    </w:p>
    <w:p>
      <w:pPr>
        <w:ind w:left="1060" w:hanging="424"/>
        <w:spacing w:after="0"/>
        <w:tabs>
          <w:tab w:leader="none" w:pos="106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117"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330"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321"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330"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337"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industries and geographies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Due Diligence</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due diligence may include:</w:t>
      </w:r>
    </w:p>
    <w:p>
      <w:pPr>
        <w:spacing w:after="0" w:line="131" w:lineRule="exact"/>
        <w:rPr>
          <w:sz w:val="20"/>
          <w:szCs w:val="20"/>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research relating to the portfolio company’s management, industry, markets, products and services and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Upon the completion of due diligence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Structure</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Typically, our mezzanine debt investments have maturities of three to ten years. Mezzanine debt may take the form of a second priority lien on the assets of a portfolio company and have interest-only payments in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early years with cash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mezzanine debt may be collateralized by a subordinated lien on some or all of the assets of the borrower.</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1060" w:right="60" w:hanging="316"/>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ind w:left="1060" w:right="260" w:hanging="316"/>
        <w:spacing w:after="0" w:line="312" w:lineRule="auto"/>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on preserving capital. Such restrictions may include affirmative and negative covenants, default penalties, lien protection, change of control provisions and board rights, including either observation or participation rights.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of periodic financial statements and financial projections for portfolio companies.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78" w:lineRule="exact"/>
        <w:rPr>
          <w:sz w:val="20"/>
          <w:szCs w:val="20"/>
          <w:color w:val="auto"/>
        </w:rPr>
      </w:pPr>
    </w:p>
    <w:p>
      <w:pPr>
        <w:ind w:left="200" w:right="380" w:firstLine="441"/>
        <w:spacing w:after="0" w:line="312" w:lineRule="auto"/>
        <w:rPr>
          <w:sz w:val="20"/>
          <w:szCs w:val="20"/>
          <w:color w:val="auto"/>
        </w:rPr>
      </w:pPr>
      <w:r>
        <w:rPr>
          <w:rFonts w:ascii="Arial" w:cs="Arial" w:eastAsia="Arial" w:hAnsi="Arial"/>
          <w:sz w:val="16"/>
          <w:szCs w:val="16"/>
          <w:color w:val="auto"/>
        </w:rPr>
        <w:t>Under normal market conditions, we expect that at least 80% of the value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While our investment objectives are to seek high current income and capital appreciation through investments in Floating Rate Loans, we may invest up to 35% of the portfolio in opportunistic investments. These investments may include investments in second-lien, high yield, mezzanine and distressed debt securities and, to a lesser extent equity investments and securities of companies located outside of the United States. We expect that these public foreign companies generally will have debt securities that are non-investment grade.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Portfolio</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20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Aerospace and Defense</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Energy/Utilities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Auto Sector</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Environmental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Beverage, Food and Tobacco</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Financial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Buildings and Real Estate</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Building Materials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High Tech Industries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Business Services</w:t>
            </w:r>
          </w:p>
        </w:tc>
        <w:tc>
          <w:tcPr>
            <w:tcW w:w="4640" w:type="dxa"/>
            <w:vAlign w:val="bottom"/>
            <w:gridSpan w:val="2"/>
          </w:tcPr>
          <w:p>
            <w:pPr>
              <w:ind w:left="1240"/>
              <w:spacing w:after="0"/>
              <w:rPr>
                <w:sz w:val="20"/>
                <w:szCs w:val="20"/>
                <w:color w:val="auto"/>
              </w:rPr>
            </w:pPr>
            <w:r>
              <w:rPr>
                <w:rFonts w:ascii="Arial" w:cs="Arial" w:eastAsia="Arial" w:hAnsi="Arial"/>
                <w:sz w:val="18"/>
                <w:szCs w:val="18"/>
                <w:color w:val="auto"/>
                <w:w w:val="95"/>
              </w:rPr>
              <w:t>• Home &amp; Office Furnishings, Housewares &amp;</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134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Capital Equipment</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Leisure, Amusement, Motion Picture,</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Communications</w:t>
            </w:r>
          </w:p>
        </w:tc>
        <w:tc>
          <w:tcPr>
            <w:tcW w:w="134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Consumer Products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Consumer Services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4640" w:type="dxa"/>
            <w:vAlign w:val="bottom"/>
            <w:gridSpan w:val="2"/>
          </w:tcPr>
          <w:p>
            <w:pPr>
              <w:ind w:left="124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w w:val="91"/>
              </w:rPr>
              <w:t>Mining, Steel, Iron and Non-Precious Metals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w w:val="91"/>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Education</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72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1340" w:type="dxa"/>
            <w:vAlign w:val="bottom"/>
          </w:tcPr>
          <w:p>
            <w:pPr>
              <w:ind w:left="1240"/>
              <w:spacing w:after="0"/>
              <w:rPr>
                <w:sz w:val="20"/>
                <w:szCs w:val="20"/>
                <w:color w:val="auto"/>
              </w:rPr>
            </w:pPr>
            <w:r>
              <w:rPr>
                <w:rFonts w:ascii="Arial" w:cs="Arial" w:eastAsia="Arial" w:hAnsi="Arial"/>
                <w:sz w:val="18"/>
                <w:szCs w:val="18"/>
                <w:color w:val="auto"/>
              </w:rPr>
              <w:t>•</w:t>
            </w:r>
          </w:p>
        </w:tc>
        <w:tc>
          <w:tcPr>
            <w:tcW w:w="3300" w:type="dxa"/>
            <w:vAlign w:val="bottom"/>
          </w:tcPr>
          <w:p>
            <w:pPr>
              <w:ind w:left="60"/>
              <w:spacing w:after="0"/>
              <w:rPr>
                <w:sz w:val="20"/>
                <w:szCs w:val="20"/>
                <w:color w:val="auto"/>
              </w:rPr>
            </w:pPr>
            <w:r>
              <w:rPr>
                <w:rFonts w:ascii="Arial" w:cs="Arial" w:eastAsia="Arial" w:hAnsi="Arial"/>
                <w:sz w:val="18"/>
                <w:szCs w:val="18"/>
                <w:color w:val="auto"/>
              </w:rPr>
              <w:t>Retail</w:t>
            </w:r>
          </w:p>
        </w:tc>
      </w:tr>
      <w:tr>
        <w:trPr>
          <w:trHeight w:val="230"/>
        </w:trPr>
        <w:tc>
          <w:tcPr>
            <w:tcW w:w="1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4640" w:type="dxa"/>
            <w:vAlign w:val="bottom"/>
            <w:gridSpan w:val="2"/>
          </w:tcPr>
          <w:p>
            <w:pPr>
              <w:ind w:left="1240"/>
              <w:spacing w:after="0"/>
              <w:rPr>
                <w:sz w:val="20"/>
                <w:szCs w:val="20"/>
                <w:color w:val="auto"/>
              </w:rPr>
            </w:pPr>
            <w:r>
              <w:rPr>
                <w:rFonts w:ascii="Arial" w:cs="Arial" w:eastAsia="Arial" w:hAnsi="Arial"/>
                <w:sz w:val="18"/>
                <w:szCs w:val="18"/>
                <w:color w:val="auto"/>
              </w:rPr>
              <w:t>• Wholesale</w:t>
            </w: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20" w:type="dxa"/>
            <w:vAlign w:val="bottom"/>
          </w:tcPr>
          <w:p>
            <w:pPr>
              <w:ind w:left="1660"/>
              <w:spacing w:after="0"/>
              <w:rPr>
                <w:sz w:val="20"/>
                <w:szCs w:val="20"/>
                <w:color w:val="auto"/>
              </w:rPr>
            </w:pPr>
            <w:r>
              <w:rPr>
                <w:rFonts w:ascii="Arial" w:cs="Arial" w:eastAsia="Arial" w:hAnsi="Arial"/>
                <w:sz w:val="14"/>
                <w:szCs w:val="14"/>
                <w:b w:val="1"/>
                <w:bCs w:val="1"/>
                <w:color w:val="auto"/>
              </w:rPr>
              <w:t>Portfolio Company</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Marketplace Events LLC</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AKA Diversified Holdings, Inc.</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r>
      <w:tr>
        <w:trPr>
          <w:trHeight w:val="257"/>
        </w:trPr>
        <w:tc>
          <w:tcPr>
            <w:tcW w:w="4600" w:type="dxa"/>
            <w:vAlign w:val="bottom"/>
            <w:gridSpan w:val="3"/>
          </w:tcPr>
          <w:p>
            <w:pPr>
              <w:spacing w:after="0"/>
              <w:rPr>
                <w:sz w:val="20"/>
                <w:szCs w:val="20"/>
                <w:color w:val="auto"/>
              </w:rPr>
            </w:pPr>
            <w:r>
              <w:rPr>
                <w:rFonts w:ascii="Arial" w:cs="Arial" w:eastAsia="Arial" w:hAnsi="Arial"/>
                <w:sz w:val="18"/>
                <w:szCs w:val="18"/>
                <w:color w:val="auto"/>
              </w:rPr>
              <w:t>Advanced Cable Communications, LLC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2"/>
                <w:szCs w:val="22"/>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Bowlmor AMF Corp.</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CRGT Inc.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AMF Bowling Centers,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Howard Berger Co. LLC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CD&amp;R TZ Purchaser, Inc.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Instant Web, LLC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CRGT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Language Line, LLC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Efficient Collaborative Retail Marketing Company,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Novitex Acquisition, LLC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KHC Holdings,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Polyconcept Finance B.V.</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Novitex Acquisition, LLC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23"/>
                <w:szCs w:val="2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Surgical Specialties Corporation (US), Inc.</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3"/>
                <w:szCs w:val="23"/>
                <w:color w:val="auto"/>
              </w:rPr>
            </w:pPr>
          </w:p>
        </w:tc>
      </w:tr>
      <w:tr>
        <w:trPr>
          <w:trHeight w:val="270"/>
        </w:trPr>
        <w:tc>
          <w:tcPr>
            <w:tcW w:w="4600" w:type="dxa"/>
            <w:vAlign w:val="bottom"/>
            <w:gridSpan w:val="3"/>
          </w:tcPr>
          <w:p>
            <w:pPr>
              <w:spacing w:after="0"/>
              <w:rPr>
                <w:sz w:val="20"/>
                <w:szCs w:val="20"/>
                <w:color w:val="auto"/>
              </w:rPr>
            </w:pPr>
            <w:r>
              <w:rPr>
                <w:rFonts w:ascii="Arial" w:cs="Arial" w:eastAsia="Arial" w:hAnsi="Arial"/>
                <w:sz w:val="18"/>
                <w:szCs w:val="18"/>
                <w:color w:val="auto"/>
              </w:rPr>
              <w:t>Triad Manufacturing, Inc.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4640" w:type="dxa"/>
            <w:vAlign w:val="bottom"/>
            <w:gridSpan w:val="2"/>
          </w:tcPr>
          <w:p>
            <w:pPr>
              <w:ind w:left="100"/>
              <w:spacing w:after="0"/>
              <w:rPr>
                <w:sz w:val="20"/>
                <w:szCs w:val="20"/>
                <w:color w:val="auto"/>
              </w:rPr>
            </w:pPr>
            <w:r>
              <w:rPr>
                <w:rFonts w:ascii="Arial" w:cs="Arial" w:eastAsia="Arial" w:hAnsi="Arial"/>
                <w:sz w:val="18"/>
                <w:szCs w:val="18"/>
                <w:color w:val="auto"/>
              </w:rPr>
              <w:t>iEnergizer Limited and Aptara, Inc.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r>
      <w:tr>
        <w:trPr>
          <w:trHeight w:val="60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Industry</w:t>
            </w:r>
          </w:p>
        </w:tc>
        <w:tc>
          <w:tcPr>
            <w:tcW w:w="1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40" w:type="dxa"/>
            <w:vAlign w:val="bottom"/>
          </w:tcPr>
          <w:p>
            <w:pPr>
              <w:ind w:left="2040"/>
              <w:spacing w:after="0"/>
              <w:rPr>
                <w:sz w:val="20"/>
                <w:szCs w:val="20"/>
                <w:color w:val="auto"/>
              </w:rPr>
            </w:pPr>
            <w:r>
              <w:rPr>
                <w:rFonts w:ascii="Arial" w:cs="Arial" w:eastAsia="Arial" w:hAnsi="Arial"/>
                <w:sz w:val="14"/>
                <w:szCs w:val="14"/>
                <w:b w:val="1"/>
                <w:bCs w:val="1"/>
                <w:color w:val="auto"/>
              </w:rPr>
              <w:t>Industry</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1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High Tech Industries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Healthcare and Pharmaceuticals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Business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Consumer Goods: Durable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Consumer Goods: Durable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Construction and Building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Services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Hotel, Gaming and Leisure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3"/>
                <w:szCs w:val="23"/>
                <w:color w:val="auto"/>
              </w:rPr>
            </w:pPr>
          </w:p>
        </w:tc>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Non-Durable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3"/>
                <w:szCs w:val="23"/>
                <w:color w:val="auto"/>
              </w:rPr>
            </w:pPr>
          </w:p>
        </w:tc>
      </w:tr>
      <w:tr>
        <w:trPr>
          <w:trHeight w:val="270"/>
        </w:trPr>
        <w:tc>
          <w:tcPr>
            <w:tcW w:w="378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3"/>
                <w:szCs w:val="23"/>
                <w:color w:val="auto"/>
              </w:rPr>
            </w:pP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rPr>
              <w:t>Media: Advertising, Printing and Publishing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3"/>
                <w:szCs w:val="23"/>
                <w:color w:val="auto"/>
              </w:rPr>
            </w:pPr>
          </w:p>
        </w:tc>
      </w:tr>
    </w:tbl>
    <w:p>
      <w:pPr>
        <w:spacing w:after="0" w:line="20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2016.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elsewhere in this prospectus.</w:t>
      </w:r>
    </w:p>
    <w:p>
      <w:pPr>
        <w:spacing w:after="0" w:line="188"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82"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of September 30, 2016, there was no portfolio company in which we have made an investment that represents greater than 5% of our total assets.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20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Nature of Business</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Type of Investment,</w:t>
            </w:r>
          </w:p>
        </w:tc>
        <w:tc>
          <w:tcPr>
            <w:tcW w:w="1580" w:type="dxa"/>
            <w:vAlign w:val="bottom"/>
            <w:gridSpan w:val="2"/>
          </w:tcPr>
          <w:p>
            <w:pPr>
              <w:jc w:val="center"/>
              <w:ind w:left="376"/>
              <w:spacing w:after="0"/>
              <w:rPr>
                <w:sz w:val="20"/>
                <w:szCs w:val="20"/>
                <w:color w:val="auto"/>
              </w:rPr>
            </w:pPr>
            <w:r>
              <w:rPr>
                <w:rFonts w:ascii="Arial" w:cs="Arial" w:eastAsia="Arial" w:hAnsi="Arial"/>
                <w:sz w:val="14"/>
                <w:szCs w:val="14"/>
                <w:b w:val="1"/>
                <w:bCs w:val="1"/>
                <w:color w:val="auto"/>
                <w:w w:val="91"/>
              </w:rPr>
              <w:t>Voting Percentage</w:t>
            </w:r>
          </w:p>
        </w:tc>
        <w:tc>
          <w:tcPr>
            <w:tcW w:w="4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2020" w:type="dxa"/>
            <w:vAlign w:val="bottom"/>
            <w:gridSpan w:val="2"/>
            <w:vMerge w:val="continue"/>
          </w:tcPr>
          <w:p>
            <w:pPr>
              <w:spacing w:after="0"/>
              <w:rPr>
                <w:sz w:val="15"/>
                <w:szCs w:val="15"/>
                <w:color w:val="auto"/>
              </w:rPr>
            </w:pPr>
          </w:p>
        </w:tc>
        <w:tc>
          <w:tcPr>
            <w:tcW w:w="2040" w:type="dxa"/>
            <w:vAlign w:val="bottom"/>
          </w:tcPr>
          <w:p>
            <w:pPr>
              <w:ind w:left="38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12"/>
                <w:szCs w:val="12"/>
                <w:b w:val="1"/>
                <w:bCs w:val="1"/>
                <w:color w:val="auto"/>
              </w:rPr>
              <w:t>(1)</w:t>
            </w:r>
            <w:r>
              <w:rPr>
                <w:rFonts w:ascii="Arial" w:cs="Arial" w:eastAsia="Arial" w:hAnsi="Arial"/>
                <w:sz w:val="14"/>
                <w:szCs w:val="14"/>
                <w:b w:val="1"/>
                <w:bCs w:val="1"/>
                <w:color w:val="auto"/>
              </w:rPr>
              <w:t>, Maturity</w:t>
            </w:r>
          </w:p>
        </w:tc>
        <w:tc>
          <w:tcPr>
            <w:tcW w:w="4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Ownership</w:t>
            </w:r>
            <w:r>
              <w:rPr>
                <w:rFonts w:ascii="Arial" w:cs="Arial" w:eastAsia="Arial" w:hAnsi="Arial"/>
                <w:sz w:val="12"/>
                <w:szCs w:val="12"/>
                <w:b w:val="1"/>
                <w:bCs w:val="1"/>
                <w:color w:val="auto"/>
                <w:w w:val="96"/>
              </w:rPr>
              <w:t>(2)</w:t>
            </w:r>
          </w:p>
        </w:tc>
        <w:tc>
          <w:tcPr>
            <w:tcW w:w="14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5"/>
              </w:rPr>
              <w:t>Companies Less than 5%</w:t>
            </w:r>
          </w:p>
        </w:tc>
        <w:tc>
          <w:tcPr>
            <w:tcW w:w="20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Owned</w:t>
            </w:r>
          </w:p>
        </w:tc>
        <w:tc>
          <w:tcPr>
            <w:tcW w:w="15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Advanced Cable Communications, LLC</w:t>
            </w:r>
          </w:p>
        </w:tc>
        <w:tc>
          <w:tcPr>
            <w:tcW w:w="2020" w:type="dxa"/>
            <w:vAlign w:val="bottom"/>
            <w:gridSpan w:val="2"/>
          </w:tcPr>
          <w:p>
            <w:pPr>
              <w:jc w:val="center"/>
              <w:ind w:right="440"/>
              <w:spacing w:after="0" w:line="201" w:lineRule="exact"/>
              <w:rPr>
                <w:sz w:val="20"/>
                <w:szCs w:val="20"/>
                <w:color w:val="auto"/>
              </w:rPr>
            </w:pPr>
            <w:r>
              <w:rPr>
                <w:rFonts w:ascii="Arial" w:cs="Arial" w:eastAsia="Arial" w:hAnsi="Arial"/>
                <w:sz w:val="18"/>
                <w:szCs w:val="18"/>
                <w:color w:val="auto"/>
                <w:w w:val="90"/>
              </w:rPr>
              <w:t>Telecommunications</w:t>
            </w:r>
          </w:p>
        </w:tc>
        <w:tc>
          <w:tcPr>
            <w:tcW w:w="2040" w:type="dxa"/>
            <w:vAlign w:val="bottom"/>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1580" w:type="dxa"/>
            <w:vAlign w:val="bottom"/>
            <w:gridSpan w:val="2"/>
          </w:tcPr>
          <w:p>
            <w:pPr>
              <w:jc w:val="right"/>
              <w:ind w:right="214"/>
              <w:spacing w:after="0" w:line="201" w:lineRule="exact"/>
              <w:rPr>
                <w:sz w:val="20"/>
                <w:szCs w:val="20"/>
                <w:color w:val="auto"/>
              </w:rPr>
            </w:pPr>
            <w:r>
              <w:rPr>
                <w:rFonts w:ascii="Arial" w:cs="Arial" w:eastAsia="Arial" w:hAnsi="Arial"/>
                <w:sz w:val="18"/>
                <w:szCs w:val="18"/>
                <w:color w:val="auto"/>
              </w:rPr>
              <w:t>2.2%</w:t>
            </w:r>
          </w:p>
        </w:tc>
        <w:tc>
          <w:tcPr>
            <w:tcW w:w="1360" w:type="dxa"/>
            <w:vAlign w:val="bottom"/>
            <w:gridSpan w:val="2"/>
          </w:tcPr>
          <w:p>
            <w:pPr>
              <w:jc w:val="center"/>
              <w:ind w:left="453"/>
              <w:spacing w:after="0" w:line="201" w:lineRule="exact"/>
              <w:rPr>
                <w:sz w:val="20"/>
                <w:szCs w:val="20"/>
                <w:color w:val="auto"/>
              </w:rPr>
            </w:pPr>
            <w:r>
              <w:rPr>
                <w:rFonts w:ascii="Arial" w:cs="Arial" w:eastAsia="Arial" w:hAnsi="Arial"/>
                <w:sz w:val="18"/>
                <w:szCs w:val="18"/>
                <w:color w:val="auto"/>
                <w:w w:val="89"/>
              </w:rPr>
              <w:t>$12,601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(TPC Broadband Investors, LP)</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L+575, 08/09/2021</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12409 NW 35 Street</w:t>
            </w: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Common Equity</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Coral Springs, FL 33065</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Affinion Group Holdings, Inc.</w:t>
            </w:r>
          </w:p>
        </w:tc>
        <w:tc>
          <w:tcPr>
            <w:tcW w:w="202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90"/>
              </w:rPr>
              <w:t>Consumer Goods:</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Second Lien Secured Debt,</w:t>
            </w:r>
          </w:p>
        </w:tc>
        <w:tc>
          <w:tcPr>
            <w:tcW w:w="1580" w:type="dxa"/>
            <w:vAlign w:val="bottom"/>
            <w:gridSpan w:val="2"/>
            <w:shd w:val="clear" w:color="auto" w:fill="CCEEFF"/>
          </w:tcPr>
          <w:p>
            <w:pPr>
              <w:jc w:val="right"/>
              <w:ind w:right="214"/>
              <w:spacing w:after="0" w:line="201" w:lineRule="exact"/>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center"/>
              <w:ind w:left="433"/>
              <w:spacing w:after="0" w:line="201" w:lineRule="exact"/>
              <w:rPr>
                <w:sz w:val="20"/>
                <w:szCs w:val="20"/>
                <w:color w:val="auto"/>
              </w:rPr>
            </w:pPr>
            <w:r>
              <w:rPr>
                <w:rFonts w:ascii="Arial" w:cs="Arial" w:eastAsia="Arial" w:hAnsi="Arial"/>
                <w:sz w:val="18"/>
                <w:szCs w:val="18"/>
                <w:color w:val="auto"/>
                <w:w w:val="88"/>
              </w:rPr>
              <w:t>5,635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Group, Inc.)</w:t>
            </w:r>
          </w:p>
        </w:tc>
        <w:tc>
          <w:tcPr>
            <w:tcW w:w="2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1"/>
              </w:rPr>
              <w:t>Durable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10/31/2018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(Affinion International Holdings Limited)</w:t>
            </w:r>
            <w:r>
              <w:rPr>
                <w:rFonts w:ascii="Arial" w:cs="Arial" w:eastAsia="Arial" w:hAnsi="Arial"/>
                <w:sz w:val="15"/>
                <w:szCs w:val="15"/>
                <w:color w:val="auto"/>
              </w:rPr>
              <w:t>(3)</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Subordinated Debt, 7.50%</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Connecticut Avenue</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(PIK 4.00%) fixed,</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Norwalk, CT 06850</w:t>
            </w: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07/30/2018</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Common Equity</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980" w:type="dxa"/>
            <w:vAlign w:val="bottom"/>
            <w:gridSpan w:val="3"/>
          </w:tcPr>
          <w:p>
            <w:pPr>
              <w:spacing w:after="0"/>
              <w:rPr>
                <w:sz w:val="20"/>
                <w:szCs w:val="20"/>
                <w:color w:val="auto"/>
              </w:rPr>
            </w:pPr>
            <w:r>
              <w:rPr>
                <w:rFonts w:ascii="Arial" w:cs="Arial" w:eastAsia="Arial" w:hAnsi="Arial"/>
                <w:sz w:val="18"/>
                <w:szCs w:val="18"/>
                <w:color w:val="auto"/>
              </w:rPr>
              <w:t>ALG USA Holdings, LLC</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Hotel, Gaming and</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4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453"/>
              <w:spacing w:after="0"/>
              <w:rPr>
                <w:sz w:val="20"/>
                <w:szCs w:val="20"/>
                <w:color w:val="auto"/>
              </w:rPr>
            </w:pPr>
            <w:r>
              <w:rPr>
                <w:rFonts w:ascii="Arial" w:cs="Arial" w:eastAsia="Arial" w:hAnsi="Arial"/>
                <w:sz w:val="18"/>
                <w:szCs w:val="18"/>
                <w:color w:val="auto"/>
                <w:w w:val="90"/>
              </w:rPr>
              <w:t>12,064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7 Campus Boulevard</w:t>
            </w: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Leisure</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L+575, 02/28/2019</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Newtown Square, PA 19073</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Alvogen Pharma US, Inc.</w:t>
            </w:r>
            <w:r>
              <w:rPr>
                <w:rFonts w:ascii="Arial" w:cs="Arial" w:eastAsia="Arial" w:hAnsi="Arial"/>
                <w:sz w:val="15"/>
                <w:szCs w:val="15"/>
                <w:color w:val="auto"/>
              </w:rPr>
              <w:t>(3)</w:t>
            </w:r>
          </w:p>
        </w:tc>
        <w:tc>
          <w:tcPr>
            <w:tcW w:w="2020" w:type="dxa"/>
            <w:vAlign w:val="bottom"/>
            <w:gridSpan w:val="2"/>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88"/>
              </w:rPr>
              <w:t>Healthcare and</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center"/>
              <w:ind w:left="433"/>
              <w:spacing w:after="0" w:line="201" w:lineRule="exact"/>
              <w:rPr>
                <w:sz w:val="20"/>
                <w:szCs w:val="20"/>
                <w:color w:val="auto"/>
              </w:rPr>
            </w:pPr>
            <w:r>
              <w:rPr>
                <w:rFonts w:ascii="Arial" w:cs="Arial" w:eastAsia="Arial" w:hAnsi="Arial"/>
                <w:sz w:val="18"/>
                <w:szCs w:val="18"/>
                <w:color w:val="auto"/>
                <w:w w:val="88"/>
              </w:rPr>
              <w:t>3,946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 Bloomfield Avenue, Building B</w:t>
            </w:r>
          </w:p>
        </w:tc>
        <w:tc>
          <w:tcPr>
            <w:tcW w:w="20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Pharmaceuticals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L+500, 04/04/2022</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Pine Brook, NJ 07058</w:t>
            </w:r>
          </w:p>
        </w:tc>
        <w:tc>
          <w:tcPr>
            <w:tcW w:w="1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980" w:type="dxa"/>
            <w:vAlign w:val="bottom"/>
            <w:gridSpan w:val="3"/>
          </w:tcPr>
          <w:p>
            <w:pPr>
              <w:spacing w:after="0"/>
              <w:rPr>
                <w:sz w:val="20"/>
                <w:szCs w:val="20"/>
                <w:color w:val="auto"/>
              </w:rPr>
            </w:pPr>
            <w:r>
              <w:rPr>
                <w:rFonts w:ascii="Arial" w:cs="Arial" w:eastAsia="Arial" w:hAnsi="Arial"/>
                <w:sz w:val="18"/>
                <w:szCs w:val="18"/>
                <w:color w:val="auto"/>
              </w:rPr>
              <w:t>American Bath Group, LLC</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Consumer Goods:</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46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433"/>
              <w:spacing w:after="0"/>
              <w:rPr>
                <w:sz w:val="20"/>
                <w:szCs w:val="20"/>
                <w:color w:val="auto"/>
              </w:rPr>
            </w:pPr>
            <w:r>
              <w:rPr>
                <w:rFonts w:ascii="Arial" w:cs="Arial" w:eastAsia="Arial" w:hAnsi="Arial"/>
                <w:sz w:val="18"/>
                <w:szCs w:val="18"/>
                <w:color w:val="auto"/>
                <w:w w:val="88"/>
              </w:rPr>
              <w:t>2,993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435 Industrial Road</w:t>
            </w:r>
          </w:p>
        </w:tc>
        <w:tc>
          <w:tcPr>
            <w:tcW w:w="202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Durable</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L+575, 10/02/2023</w:t>
            </w: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Savannah, TN 38372</w:t>
            </w:r>
          </w:p>
        </w:tc>
        <w:tc>
          <w:tcPr>
            <w:tcW w:w="1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8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6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6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w w:val="91"/>
              </w:rPr>
              <w:t>Voting Percentage</w:t>
            </w:r>
          </w:p>
        </w:tc>
        <w:tc>
          <w:tcPr>
            <w:tcW w:w="6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6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500" w:type="dxa"/>
            <w:vAlign w:val="bottom"/>
            <w:gridSpan w:val="2"/>
          </w:tcPr>
          <w:p>
            <w:pPr>
              <w:jc w:val="center"/>
              <w:ind w:left="49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American Gilsonite Company</w:t>
            </w:r>
          </w:p>
        </w:tc>
        <w:tc>
          <w:tcPr>
            <w:tcW w:w="380" w:type="dxa"/>
            <w:vAlign w:val="bottom"/>
            <w:vMerge w:val="continue"/>
            <w:shd w:val="clear" w:color="auto" w:fill="CCEEFF"/>
          </w:tcPr>
          <w:p>
            <w:pPr>
              <w:spacing w:after="0"/>
              <w:rPr>
                <w:sz w:val="15"/>
                <w:szCs w:val="15"/>
                <w:color w:val="auto"/>
              </w:rPr>
            </w:pPr>
          </w:p>
        </w:tc>
        <w:tc>
          <w:tcPr>
            <w:tcW w:w="14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4"/>
              </w:rPr>
              <w:t>Metals and Mining</w:t>
            </w:r>
          </w:p>
        </w:tc>
        <w:tc>
          <w:tcPr>
            <w:tcW w:w="620" w:type="dxa"/>
            <w:vAlign w:val="bottom"/>
            <w:vMerge w:val="continue"/>
            <w:shd w:val="clear" w:color="auto" w:fill="CCEEFF"/>
          </w:tcPr>
          <w:p>
            <w:pPr>
              <w:spacing w:after="0"/>
              <w:rPr>
                <w:sz w:val="15"/>
                <w:szCs w:val="15"/>
                <w:color w:val="auto"/>
              </w:rPr>
            </w:pPr>
          </w:p>
        </w:tc>
        <w:tc>
          <w:tcPr>
            <w:tcW w:w="19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Second Lien Secured Debt,</w:t>
            </w:r>
          </w:p>
        </w:tc>
        <w:tc>
          <w:tcPr>
            <w:tcW w:w="64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400"/>
              <w:spacing w:after="0" w:line="182" w:lineRule="exact"/>
              <w:rPr>
                <w:sz w:val="20"/>
                <w:szCs w:val="20"/>
                <w:color w:val="auto"/>
              </w:rPr>
            </w:pPr>
            <w:r>
              <w:rPr>
                <w:rFonts w:ascii="Arial" w:cs="Arial" w:eastAsia="Arial" w:hAnsi="Arial"/>
                <w:sz w:val="18"/>
                <w:szCs w:val="18"/>
                <w:color w:val="auto"/>
              </w:rPr>
              <w:t>—</w:t>
            </w:r>
          </w:p>
        </w:tc>
        <w:tc>
          <w:tcPr>
            <w:tcW w:w="62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6"/>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1717 St. James Place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 , 09/01/2017</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77056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American Scaffold</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Aerospace and</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4,888</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3210 Commercial Street</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Defense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L+650, 03/31/2022</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San Diego, CA 92113</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AMF Bowling Centers, Inc.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Retail</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90"/>
              </w:rPr>
              <w:t>14,931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 W. 44</w:t>
            </w:r>
            <w:r>
              <w:rPr>
                <w:rFonts w:ascii="Arial" w:cs="Arial" w:eastAsia="Arial" w:hAnsi="Arial"/>
                <w:sz w:val="15"/>
                <w:szCs w:val="15"/>
                <w:color w:val="auto"/>
              </w:rPr>
              <w:t>th</w:t>
            </w:r>
            <w:r>
              <w:rPr>
                <w:rFonts w:ascii="Arial" w:cs="Arial" w:eastAsia="Arial" w:hAnsi="Arial"/>
                <w:sz w:val="18"/>
                <w:szCs w:val="18"/>
                <w:color w:val="auto"/>
              </w:rPr>
              <w:t xml:space="preserve"> St.</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L+500, 09/19/2023</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AP Gaming I, LLC</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Hotel, Gaming and</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6,220</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6680 Amelia Earhart Court</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Leisure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L+825, 12/21/2020</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Las Vegas, NV 89119</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API Technologies Corp.</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Aerospace and</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4705 S. Apopka Vineland Rd., Suite 210</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Defense</w:t>
            </w: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04/22/2022</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Orlando, FL 32819</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Azure Midstream Energy LLC</w:t>
            </w:r>
          </w:p>
        </w:tc>
        <w:tc>
          <w:tcPr>
            <w:tcW w:w="186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Energy: Oil and Gas</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4,229</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1250 Wood Bridge Branch Park Dr., Ste.</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L+650, 11/15/2018</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180"/>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Houston, TX 77079</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 Bird Body Company</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Automotive</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402 Blue Bird Boulevard</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06/29/2020</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Valley, GA 31030</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Broder Bros., Co.</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4,865</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Six Neshaminy Interplex, 6</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Non-Durable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Tranche A (L+575,</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Trevose, PA 19053</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06/03/2021), Tranche B</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(L+1,225, 06/03/2021)</w:t>
            </w: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Camin Cargo Control, Inc.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Transportation:</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230 Marion Avenue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Cargo</w:t>
            </w: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06/30/2021</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Linden, NJ 07036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CareCentrix, Inc.</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4,863</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20 Church Street</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L+500, 07/08/2021</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Hartford, CT 06103</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CBAC Borrower, LLC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Hotel, Gaming and</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4,851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Caesars Palace Drive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Leisure</w:t>
            </w: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07/02/2020</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NV 89109</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CD&amp;R TZ Purchaser, Inc.</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511"/>
              <w:spacing w:after="0"/>
              <w:rPr>
                <w:sz w:val="20"/>
                <w:szCs w:val="20"/>
                <w:color w:val="auto"/>
              </w:rPr>
            </w:pPr>
            <w:r>
              <w:rPr>
                <w:rFonts w:ascii="Arial" w:cs="Arial" w:eastAsia="Arial" w:hAnsi="Arial"/>
                <w:sz w:val="18"/>
                <w:szCs w:val="18"/>
                <w:color w:val="auto"/>
                <w:w w:val="90"/>
              </w:rPr>
              <w:t>12,344</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2200 Fletcher Avenue</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Durable</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L+600, 07/21/2023</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Fort Lee, NJ 07024</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Charming Charlie LLC</w:t>
            </w: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Retail</w:t>
            </w:r>
          </w:p>
        </w:tc>
        <w:tc>
          <w:tcPr>
            <w:tcW w:w="6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center"/>
              <w:ind w:left="491"/>
              <w:spacing w:after="0" w:line="201" w:lineRule="exact"/>
              <w:rPr>
                <w:sz w:val="20"/>
                <w:szCs w:val="20"/>
                <w:color w:val="auto"/>
              </w:rPr>
            </w:pPr>
            <w:r>
              <w:rPr>
                <w:rFonts w:ascii="Arial" w:cs="Arial" w:eastAsia="Arial" w:hAnsi="Arial"/>
                <w:sz w:val="18"/>
                <w:szCs w:val="18"/>
                <w:color w:val="auto"/>
                <w:w w:val="88"/>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5999 Savoy Drive,</w:t>
            </w: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L+800, 12/24/2019</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77036</w:t>
            </w:r>
          </w:p>
        </w:tc>
        <w:tc>
          <w:tcPr>
            <w:tcW w:w="3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340" w:type="dxa"/>
            <w:vAlign w:val="bottom"/>
            <w:gridSpan w:val="3"/>
          </w:tcPr>
          <w:p>
            <w:pPr>
              <w:spacing w:after="0"/>
              <w:rPr>
                <w:sz w:val="20"/>
                <w:szCs w:val="20"/>
                <w:color w:val="auto"/>
              </w:rPr>
            </w:pPr>
            <w:r>
              <w:rPr>
                <w:rFonts w:ascii="Arial" w:cs="Arial" w:eastAsia="Arial" w:hAnsi="Arial"/>
                <w:sz w:val="18"/>
                <w:szCs w:val="18"/>
                <w:color w:val="auto"/>
              </w:rPr>
              <w:t>Chicken Soup for the Soul Publishing,</w:t>
            </w:r>
          </w:p>
        </w:tc>
        <w:tc>
          <w:tcPr>
            <w:tcW w:w="3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Media: Advertising,</w:t>
            </w:r>
          </w:p>
        </w:tc>
        <w:tc>
          <w:tcPr>
            <w:tcW w:w="62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40" w:type="dxa"/>
            <w:vAlign w:val="bottom"/>
          </w:tcPr>
          <w:p>
            <w:pPr>
              <w:spacing w:after="0"/>
              <w:rPr>
                <w:sz w:val="23"/>
                <w:szCs w:val="23"/>
                <w:color w:val="auto"/>
              </w:rPr>
            </w:pPr>
          </w:p>
        </w:tc>
        <w:tc>
          <w:tcPr>
            <w:tcW w:w="1120" w:type="dxa"/>
            <w:vAlign w:val="bottom"/>
          </w:tcPr>
          <w:p>
            <w:pPr>
              <w:ind w:left="4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491"/>
              <w:spacing w:after="0"/>
              <w:rPr>
                <w:sz w:val="20"/>
                <w:szCs w:val="20"/>
                <w:color w:val="auto"/>
              </w:rPr>
            </w:pPr>
            <w:r>
              <w:rPr>
                <w:rFonts w:ascii="Arial" w:cs="Arial" w:eastAsia="Arial" w:hAnsi="Arial"/>
                <w:sz w:val="18"/>
                <w:szCs w:val="18"/>
                <w:color w:val="auto"/>
                <w:w w:val="88"/>
              </w:rPr>
              <w:t>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LLC</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Printing and</w:t>
            </w:r>
          </w:p>
        </w:tc>
        <w:tc>
          <w:tcPr>
            <w:tcW w:w="6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L+625, 01/08/2019</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21 Hedgerow Lane</w:t>
            </w:r>
          </w:p>
        </w:tc>
        <w:tc>
          <w:tcPr>
            <w:tcW w:w="3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Publishing</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Greenwich, CT 06831</w:t>
            </w: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5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0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4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5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Corfin Industries LLC</w:t>
            </w:r>
          </w:p>
        </w:tc>
        <w:tc>
          <w:tcPr>
            <w:tcW w:w="15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Aerospace and</w:t>
            </w:r>
          </w:p>
        </w:tc>
        <w:tc>
          <w:tcPr>
            <w:tcW w:w="56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2.7%</w:t>
            </w:r>
          </w:p>
        </w:tc>
        <w:tc>
          <w:tcPr>
            <w:tcW w:w="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(Corfin InvestCo, L.P.)</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Defense</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L+975, 11/25/2020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7B Raymond Avenue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Common Equity</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Salem, NH 03079</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Credit Infonet,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258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Subordinated Debt, 13.00%</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1,976</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4540 Honeywell Court</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Industries</w:t>
            </w: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(PIK 1.75%) fixed,</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Dayton, OH 45424</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58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10/26/2018</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CRGT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71"/>
              <w:spacing w:after="0" w:line="201" w:lineRule="exact"/>
              <w:rPr>
                <w:sz w:val="20"/>
                <w:szCs w:val="20"/>
                <w:color w:val="auto"/>
              </w:rPr>
            </w:pPr>
            <w:r>
              <w:rPr>
                <w:rFonts w:ascii="Arial" w:cs="Arial" w:eastAsia="Arial" w:hAnsi="Arial"/>
                <w:sz w:val="18"/>
                <w:szCs w:val="18"/>
                <w:color w:val="auto"/>
                <w:w w:val="90"/>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11921 Freedom Drive, Ste. 1000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Industries</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12/21/2020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Reston, VA 20190</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Curo Health Services Holdings,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1,970</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491 Williamson Road, Suite 204</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L+550, 02/07/2022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Mooresville, NC 28117</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DBI Holding LLC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North Conahan Drive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L+525, 08/02/2021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Hazleton, PA 18201</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DCS Business Services,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Business Services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2,237</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333 North Canyon Parkway, Ste. 100</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L+725, 03/19/2018</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Livermore, CA 94551</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DISA Global Solutions,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4,876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12600 Northborough Drive, Ste. 300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L+450, 12/09/2020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77067</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w w:val="98"/>
              </w:rPr>
              <w:t>Douglas Products and Packaging Company</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L+475, 06/30/2020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1550 East Old 210 Highway</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Second Lien Secured Debt,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Liberty, MO 64068</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L+1,050</w:t>
            </w:r>
            <w:r>
              <w:rPr>
                <w:rFonts w:ascii="Arial" w:cs="Arial" w:eastAsia="Arial" w:hAnsi="Arial"/>
                <w:sz w:val="15"/>
                <w:szCs w:val="15"/>
                <w:color w:val="auto"/>
                <w:w w:val="93"/>
              </w:rPr>
              <w:t>(5)</w:t>
            </w:r>
            <w:r>
              <w:rPr>
                <w:rFonts w:ascii="Arial" w:cs="Arial" w:eastAsia="Arial" w:hAnsi="Arial"/>
                <w:sz w:val="18"/>
                <w:szCs w:val="18"/>
                <w:color w:val="auto"/>
                <w:w w:val="93"/>
              </w:rPr>
              <w:t>, 12/31/2020</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Driven Performance Brands,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Consumer Goods:</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8,507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Stony Point Rd, Suite 125</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Durable</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09/10/2020</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Rosa, CA 95401</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Education Networks of America, Inc.</w:t>
            </w:r>
          </w:p>
        </w:tc>
        <w:tc>
          <w:tcPr>
            <w:tcW w:w="18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Telecommunications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9,033</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618 Grassmere Park Drive,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L+700, 05/06/2021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Suite 12</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Nashville, TN 37211</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Efficient Collaborative Retail Marketing</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Media: Diversified</w:t>
            </w:r>
          </w:p>
        </w:tc>
        <w:tc>
          <w:tcPr>
            <w:tcW w:w="56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 ,</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71"/>
              <w:spacing w:after="0" w:line="201" w:lineRule="exact"/>
              <w:rPr>
                <w:sz w:val="20"/>
                <w:szCs w:val="20"/>
                <w:color w:val="auto"/>
              </w:rPr>
            </w:pPr>
            <w:r>
              <w:rPr>
                <w:rFonts w:ascii="Arial" w:cs="Arial" w:eastAsia="Arial" w:hAnsi="Arial"/>
                <w:sz w:val="18"/>
                <w:szCs w:val="18"/>
                <w:color w:val="auto"/>
                <w:w w:val="90"/>
              </w:rPr>
              <w:t>10,972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Company, LLC</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and Production</w:t>
            </w: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L+675, 06/15/2022</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27070 Miles Road, Suite A</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60" w:type="dxa"/>
            <w:vAlign w:val="bottom"/>
            <w:gridSpan w:val="3"/>
          </w:tcPr>
          <w:p>
            <w:pPr>
              <w:spacing w:after="0"/>
              <w:rPr>
                <w:sz w:val="20"/>
                <w:szCs w:val="20"/>
                <w:color w:val="auto"/>
              </w:rPr>
            </w:pPr>
            <w:r>
              <w:rPr>
                <w:rFonts w:ascii="Arial" w:cs="Arial" w:eastAsia="Arial" w:hAnsi="Arial"/>
                <w:sz w:val="18"/>
                <w:szCs w:val="18"/>
                <w:color w:val="auto"/>
              </w:rPr>
              <w:t>e.l.f. Beauty,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6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Common Equity</w:t>
            </w:r>
          </w:p>
        </w:tc>
        <w:tc>
          <w:tcPr>
            <w:tcW w:w="1700" w:type="dxa"/>
            <w:vAlign w:val="bottom"/>
            <w:gridSpan w:val="2"/>
          </w:tcPr>
          <w:p>
            <w:pPr>
              <w:jc w:val="center"/>
              <w:ind w:left="479"/>
              <w:spacing w:after="0"/>
              <w:rPr>
                <w:sz w:val="20"/>
                <w:szCs w:val="20"/>
                <w:color w:val="auto"/>
              </w:rPr>
            </w:pPr>
            <w:r>
              <w:rPr>
                <w:rFonts w:ascii="Arial" w:cs="Arial" w:eastAsia="Arial" w:hAnsi="Arial"/>
                <w:sz w:val="18"/>
                <w:szCs w:val="18"/>
                <w:color w:val="auto"/>
                <w:w w:val="92"/>
              </w:rPr>
              <w:t>0.2%</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2,958</w:t>
            </w: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(f/k/a J. A. Cosmetics US, Inc.)</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Durable</w:t>
            </w: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3"/>
          </w:tcPr>
          <w:p>
            <w:pPr>
              <w:spacing w:after="0"/>
              <w:rPr>
                <w:sz w:val="20"/>
                <w:szCs w:val="20"/>
                <w:color w:val="auto"/>
              </w:rPr>
            </w:pPr>
            <w:r>
              <w:rPr>
                <w:rFonts w:ascii="Arial" w:cs="Arial" w:eastAsia="Arial" w:hAnsi="Arial"/>
                <w:sz w:val="18"/>
                <w:szCs w:val="18"/>
                <w:color w:val="auto"/>
              </w:rPr>
              <w:t>345 California Street, Ste. 3300</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3"/>
          </w:tcPr>
          <w:p>
            <w:pPr>
              <w:spacing w:after="0"/>
              <w:rPr>
                <w:sz w:val="20"/>
                <w:szCs w:val="20"/>
                <w:color w:val="auto"/>
              </w:rPr>
            </w:pPr>
            <w:r>
              <w:rPr>
                <w:rFonts w:ascii="Arial" w:cs="Arial" w:eastAsia="Arial" w:hAnsi="Arial"/>
                <w:sz w:val="18"/>
                <w:szCs w:val="18"/>
                <w:color w:val="auto"/>
              </w:rPr>
              <w:t>San Francisco, CA 94104</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78</w:t>
            </w:r>
          </w:p>
        </w:tc>
        <w:tc>
          <w:tcPr>
            <w:tcW w:w="2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5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00" w:type="dxa"/>
            <w:vAlign w:val="bottom"/>
            <w:gridSpan w:val="2"/>
          </w:tcPr>
          <w:p>
            <w:pPr>
              <w:ind w:left="560"/>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58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Emerging Markets Communications, LLC</w:t>
            </w:r>
          </w:p>
        </w:tc>
        <w:tc>
          <w:tcPr>
            <w:tcW w:w="380" w:type="dxa"/>
            <w:vAlign w:val="bottom"/>
            <w:vMerge w:val="continue"/>
            <w:shd w:val="clear" w:color="auto" w:fill="CCEEFF"/>
          </w:tcPr>
          <w:p>
            <w:pPr>
              <w:spacing w:after="0"/>
              <w:rPr>
                <w:sz w:val="15"/>
                <w:szCs w:val="15"/>
                <w:color w:val="auto"/>
              </w:rPr>
            </w:pPr>
          </w:p>
        </w:tc>
        <w:tc>
          <w:tcPr>
            <w:tcW w:w="15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Telecommunications</w:t>
            </w:r>
          </w:p>
        </w:tc>
        <w:tc>
          <w:tcPr>
            <w:tcW w:w="580" w:type="dxa"/>
            <w:vAlign w:val="bottom"/>
            <w:vMerge w:val="continue"/>
            <w:shd w:val="clear" w:color="auto" w:fill="CCEEFF"/>
          </w:tcPr>
          <w:p>
            <w:pPr>
              <w:spacing w:after="0"/>
              <w:rPr>
                <w:sz w:val="15"/>
                <w:szCs w:val="15"/>
                <w:color w:val="auto"/>
              </w:rPr>
            </w:pPr>
          </w:p>
        </w:tc>
        <w:tc>
          <w:tcPr>
            <w:tcW w:w="19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First Lien Secured Debt,</w:t>
            </w:r>
          </w:p>
        </w:tc>
        <w:tc>
          <w:tcPr>
            <w:tcW w:w="58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4,703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777 Brickell Avenue Suite 1150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L+575, 07/01/2021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Miami, FL 33131</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FHC Health Systems, Inc.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4,799</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240 Corporate Boulevard</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L+400, 12/23/2021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Norfolk, VA 23502</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GlobalLogic Holdings, Inc.</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1741 Technology Drive, 4th Floor</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L+525, 05/31/2019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95110</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Greenway Health,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6,620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100 Greenway Blvd.</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L+500 , 11/04/2020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Carrollton, GA 30117</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GTCR Valor Companies, Inc.</w:t>
            </w:r>
          </w:p>
        </w:tc>
        <w:tc>
          <w:tcPr>
            <w:tcW w:w="1900" w:type="dxa"/>
            <w:vAlign w:val="bottom"/>
            <w:gridSpan w:val="2"/>
            <w:shd w:val="clear" w:color="auto" w:fill="CCEEFF"/>
          </w:tcPr>
          <w:p>
            <w:pPr>
              <w:jc w:val="center"/>
              <w:ind w:left="270"/>
              <w:spacing w:after="0" w:line="201" w:lineRule="exact"/>
              <w:rPr>
                <w:sz w:val="20"/>
                <w:szCs w:val="20"/>
                <w:color w:val="auto"/>
              </w:rPr>
            </w:pPr>
            <w:r>
              <w:rPr>
                <w:rFonts w:ascii="Arial" w:cs="Arial" w:eastAsia="Arial" w:hAnsi="Arial"/>
                <w:sz w:val="18"/>
                <w:szCs w:val="18"/>
                <w:color w:val="auto"/>
                <w:w w:val="91"/>
              </w:rPr>
              <w:t>Media: Broadcasting</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7,117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 E Randolph St.</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and Subscription</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 06/16/2023</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60601</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Harbortouch Payments,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Banking, Finance,</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7,026</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2202 N. Irving Street</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Insurance and Real</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L+600 , 05/31/2022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Allentown, PA 18109</w:t>
            </w:r>
          </w:p>
        </w:tc>
        <w:tc>
          <w:tcPr>
            <w:tcW w:w="3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Estate</w:t>
            </w: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Highline Aftermarket Acquisition, LLC</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Wholesale</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(f/k/a DYK Prime Acquisition, LLC)</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 04/01/2022</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4635 Willow Drive</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Medina, MN 55340</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Hollander Sleep Products,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1,143</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6501 Congress Avenue, Ste. 300</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Non-Durable</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L+800, 10/21/2020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Boca Raton, FL 33487</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Hostway Corporation</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 N Riverside, Ste. 800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12/13/2019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60606</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Howard Berger Co. LLC</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Wholesale</w:t>
            </w:r>
          </w:p>
        </w:tc>
        <w:tc>
          <w:tcPr>
            <w:tcW w:w="25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Second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324 Half Acre Road #A</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L+1,000, 09/30/2020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Cranbury, NJ 08512</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Hunter Defense Technologies, Inc.</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Aerospace and</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5,506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30500 Aurora Road, Ste. 100</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Defense</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08/05/2019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Solon, OH 44139</w:t>
            </w:r>
          </w:p>
        </w:tc>
        <w:tc>
          <w:tcPr>
            <w:tcW w:w="3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20" w:type="dxa"/>
            <w:vAlign w:val="bottom"/>
            <w:gridSpan w:val="3"/>
          </w:tcPr>
          <w:p>
            <w:pPr>
              <w:spacing w:after="0"/>
              <w:rPr>
                <w:sz w:val="20"/>
                <w:szCs w:val="20"/>
                <w:color w:val="auto"/>
              </w:rPr>
            </w:pPr>
            <w:r>
              <w:rPr>
                <w:rFonts w:ascii="Arial" w:cs="Arial" w:eastAsia="Arial" w:hAnsi="Arial"/>
                <w:sz w:val="18"/>
                <w:szCs w:val="18"/>
                <w:color w:val="auto"/>
              </w:rPr>
              <w:t>Icynene U.S. Acquisition Corp.</w:t>
            </w:r>
            <w:r>
              <w:rPr>
                <w:rFonts w:ascii="Arial" w:cs="Arial" w:eastAsia="Arial" w:hAnsi="Arial"/>
                <w:sz w:val="15"/>
                <w:szCs w:val="15"/>
                <w:color w:val="auto"/>
              </w:rPr>
              <w:t>(3)</w:t>
            </w:r>
          </w:p>
        </w:tc>
        <w:tc>
          <w:tcPr>
            <w:tcW w:w="380" w:type="dxa"/>
            <w:vAlign w:val="bottom"/>
          </w:tcPr>
          <w:p>
            <w:pPr>
              <w:spacing w:after="0"/>
              <w:rPr>
                <w:sz w:val="23"/>
                <w:szCs w:val="23"/>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Construction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6,226</w:t>
            </w: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6747 Campobello Road</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Building</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L+625, 11/04/2020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3"/>
          </w:tcPr>
          <w:p>
            <w:pPr>
              <w:spacing w:after="0"/>
              <w:rPr>
                <w:sz w:val="20"/>
                <w:szCs w:val="20"/>
                <w:color w:val="auto"/>
              </w:rPr>
            </w:pPr>
            <w:r>
              <w:rPr>
                <w:rFonts w:ascii="Arial" w:cs="Arial" w:eastAsia="Arial" w:hAnsi="Arial"/>
                <w:sz w:val="18"/>
                <w:szCs w:val="18"/>
                <w:color w:val="auto"/>
              </w:rPr>
              <w:t>Mississauga ON</w:t>
            </w: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L5N2L7 Canada</w:t>
            </w:r>
          </w:p>
        </w:tc>
        <w:tc>
          <w:tcPr>
            <w:tcW w:w="3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79</w:t>
            </w: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4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6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2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5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Idera, Inc.</w:t>
            </w:r>
          </w:p>
        </w:tc>
        <w:tc>
          <w:tcPr>
            <w:tcW w:w="16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2"/>
              </w:rPr>
              <w:t>High Tech</w:t>
            </w:r>
          </w:p>
        </w:tc>
        <w:tc>
          <w:tcPr>
            <w:tcW w:w="56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First Lien Secured Debt,</w:t>
            </w:r>
          </w:p>
        </w:tc>
        <w:tc>
          <w:tcPr>
            <w:tcW w:w="5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America Tower Heliport</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04/09/2021</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2950 North Loop Freeway West Suite 700</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77092</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iEnergizer Limited and Aptara, Inc.</w:t>
            </w:r>
            <w:r>
              <w:rPr>
                <w:rFonts w:ascii="Arial" w:cs="Arial" w:eastAsia="Arial" w:hAnsi="Arial"/>
                <w:sz w:val="15"/>
                <w:szCs w:val="15"/>
                <w:color w:val="auto"/>
              </w:rPr>
              <w:t>(3)</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Business Services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8,242</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Mont Crevelt House, Bulwer Avenue</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L+600, 05/01/2019</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St. Sampson, Guernsey GY2 4LH</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Imagine! Print Solutions, LLC</w:t>
            </w:r>
          </w:p>
        </w:tc>
        <w:tc>
          <w:tcPr>
            <w:tcW w:w="1880" w:type="dxa"/>
            <w:vAlign w:val="bottom"/>
            <w:gridSpan w:val="2"/>
            <w:shd w:val="clear" w:color="auto" w:fill="CCEEFF"/>
          </w:tcPr>
          <w:p>
            <w:pPr>
              <w:jc w:val="center"/>
              <w:ind w:left="310"/>
              <w:spacing w:after="0" w:line="201" w:lineRule="exact"/>
              <w:rPr>
                <w:sz w:val="20"/>
                <w:szCs w:val="20"/>
                <w:color w:val="auto"/>
              </w:rPr>
            </w:pPr>
            <w:r>
              <w:rPr>
                <w:rFonts w:ascii="Arial" w:cs="Arial" w:eastAsia="Arial" w:hAnsi="Arial"/>
                <w:sz w:val="18"/>
                <w:szCs w:val="18"/>
                <w:color w:val="auto"/>
                <w:w w:val="94"/>
              </w:rPr>
              <w:t>Media: Advertising,</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Valley Park Drive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Printing and</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03/30/2022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Minneapolis, MN 55379</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Publishing</w:t>
            </w: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Instant Web, LLC</w:t>
            </w:r>
          </w:p>
        </w:tc>
        <w:tc>
          <w:tcPr>
            <w:tcW w:w="1880" w:type="dxa"/>
            <w:vAlign w:val="bottom"/>
            <w:gridSpan w:val="2"/>
          </w:tcPr>
          <w:p>
            <w:pPr>
              <w:jc w:val="center"/>
              <w:ind w:left="310"/>
              <w:spacing w:after="0"/>
              <w:rPr>
                <w:sz w:val="20"/>
                <w:szCs w:val="20"/>
                <w:color w:val="auto"/>
              </w:rPr>
            </w:pPr>
            <w:r>
              <w:rPr>
                <w:rFonts w:ascii="Arial" w:cs="Arial" w:eastAsia="Arial" w:hAnsi="Arial"/>
                <w:sz w:val="18"/>
                <w:szCs w:val="18"/>
                <w:color w:val="auto"/>
                <w:w w:val="94"/>
              </w:rPr>
              <w:t>Media: Advertising,</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9,778</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7951 Powers Boulevard</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Printing and</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Term Loan A (L+450,</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Chanhassen, MN 55317</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Publishing</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03/28/2019), Term Loan B</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(L+1,100, 03/28/2019)</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Interior Specialists, Inc.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Construction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1660" w:type="dxa"/>
            <w:vAlign w:val="bottom"/>
            <w:gridSpan w:val="2"/>
            <w:shd w:val="clear" w:color="auto" w:fill="CCEEFF"/>
          </w:tcPr>
          <w:p>
            <w:pPr>
              <w:jc w:val="center"/>
              <w:ind w:left="459"/>
              <w:spacing w:after="0" w:line="201" w:lineRule="exact"/>
              <w:rPr>
                <w:sz w:val="20"/>
                <w:szCs w:val="20"/>
                <w:color w:val="auto"/>
              </w:rPr>
            </w:pPr>
            <w:r>
              <w:rPr>
                <w:rFonts w:ascii="Arial" w:cs="Arial" w:eastAsia="Arial" w:hAnsi="Arial"/>
                <w:sz w:val="18"/>
                <w:szCs w:val="18"/>
                <w:color w:val="auto"/>
                <w:w w:val="87"/>
              </w:rPr>
              <w:t>0.1%</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(Faraday Holdings, LLC)</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Building</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L+800, 06/30/2020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1630 Faraday Avenue</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Common Equity</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Carlsbad, CA 92008</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Inventus Power, Inc.</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4,687</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(f/k/a ICC-Nexergy, Inc.)</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Durable</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L+550, 04/30/2020</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1200 Internationale Parkway</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Woodridge, IL 60517</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Jackson Hewitt Inc.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Consumer Services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4,753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 Sylvan Way</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07/30/2020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Parsippany, NJ 07054</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3,926</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3515 Massillion Road Ste. 290</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L+900, 02/19/2021</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Uniontown, OH 44685</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Kendra Scott, LLC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Retail</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1400 South Congress Avenue, Suite A-170</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L+600, 07/17/2020</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Austin, TX 78704</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KHC Holdings, Inc.</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Wholesale</w:t>
            </w:r>
          </w:p>
        </w:tc>
        <w:tc>
          <w:tcPr>
            <w:tcW w:w="2520" w:type="dxa"/>
            <w:vAlign w:val="bottom"/>
            <w:gridSpan w:val="2"/>
          </w:tcPr>
          <w:p>
            <w:pPr>
              <w:jc w:val="center"/>
              <w:ind w:left="450"/>
              <w:spacing w:after="0"/>
              <w:rPr>
                <w:sz w:val="20"/>
                <w:szCs w:val="20"/>
                <w:color w:val="auto"/>
              </w:rPr>
            </w:pPr>
            <w:r>
              <w:rPr>
                <w:rFonts w:ascii="Arial" w:cs="Arial" w:eastAsia="Arial" w:hAnsi="Arial"/>
                <w:sz w:val="18"/>
                <w:szCs w:val="18"/>
                <w:color w:val="auto"/>
                <w:w w:val="91"/>
              </w:rPr>
              <w:t>First Lien Secured Debt</w:t>
            </w:r>
            <w:r>
              <w:rPr>
                <w:rFonts w:ascii="Arial" w:cs="Arial" w:eastAsia="Arial" w:hAnsi="Arial"/>
                <w:sz w:val="15"/>
                <w:szCs w:val="15"/>
                <w:color w:val="auto"/>
                <w:w w:val="91"/>
              </w:rPr>
              <w:t>(4)</w:t>
            </w:r>
            <w:r>
              <w:rPr>
                <w:rFonts w:ascii="Arial" w:cs="Arial" w:eastAsia="Arial" w:hAnsi="Arial"/>
                <w:sz w:val="18"/>
                <w:szCs w:val="18"/>
                <w:color w:val="auto"/>
                <w:w w:val="91"/>
              </w:rPr>
              <w: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71"/>
              <w:spacing w:after="0"/>
              <w:rPr>
                <w:sz w:val="20"/>
                <w:szCs w:val="20"/>
                <w:color w:val="auto"/>
              </w:rPr>
            </w:pPr>
            <w:r>
              <w:rPr>
                <w:rFonts w:ascii="Arial" w:cs="Arial" w:eastAsia="Arial" w:hAnsi="Arial"/>
                <w:sz w:val="18"/>
                <w:szCs w:val="18"/>
                <w:color w:val="auto"/>
                <w:w w:val="90"/>
              </w:rPr>
              <w:t>12,344</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3300 Brother Boulevard</w:t>
            </w: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L+600, 10/31/2022</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Memphis, TN 38133</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Lago Resort &amp; Casino, LLC</w:t>
            </w:r>
          </w:p>
        </w:tc>
        <w:tc>
          <w:tcPr>
            <w:tcW w:w="4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Hotel, Gaming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1133 Ridge Road (Rt 414)</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Leisure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L+950, 03/07/2022</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Waterloo, NY 13165</w:t>
            </w:r>
          </w:p>
        </w:tc>
        <w:tc>
          <w:tcPr>
            <w:tcW w:w="4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20" w:type="dxa"/>
            <w:vAlign w:val="bottom"/>
            <w:gridSpan w:val="3"/>
          </w:tcPr>
          <w:p>
            <w:pPr>
              <w:spacing w:after="0"/>
              <w:rPr>
                <w:sz w:val="20"/>
                <w:szCs w:val="20"/>
                <w:color w:val="auto"/>
              </w:rPr>
            </w:pPr>
            <w:r>
              <w:rPr>
                <w:rFonts w:ascii="Arial" w:cs="Arial" w:eastAsia="Arial" w:hAnsi="Arial"/>
                <w:sz w:val="18"/>
                <w:szCs w:val="18"/>
                <w:color w:val="auto"/>
              </w:rPr>
              <w:t>Lanyon Solutions, Inc.</w:t>
            </w:r>
          </w:p>
        </w:tc>
        <w:tc>
          <w:tcPr>
            <w:tcW w:w="4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4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1,930</w:t>
            </w:r>
          </w:p>
        </w:tc>
        <w:tc>
          <w:tcPr>
            <w:tcW w:w="0" w:type="dxa"/>
            <w:vAlign w:val="bottom"/>
          </w:tcPr>
          <w:p>
            <w:pPr>
              <w:spacing w:after="0"/>
              <w:rPr>
                <w:sz w:val="1"/>
                <w:szCs w:val="1"/>
                <w:color w:val="auto"/>
              </w:rPr>
            </w:pPr>
          </w:p>
        </w:tc>
      </w:tr>
      <w:tr>
        <w:trPr>
          <w:trHeight w:val="216"/>
        </w:trPr>
        <w:tc>
          <w:tcPr>
            <w:tcW w:w="3520" w:type="dxa"/>
            <w:vAlign w:val="bottom"/>
            <w:gridSpan w:val="3"/>
          </w:tcPr>
          <w:p>
            <w:pPr>
              <w:spacing w:after="0"/>
              <w:rPr>
                <w:sz w:val="20"/>
                <w:szCs w:val="20"/>
                <w:color w:val="auto"/>
              </w:rPr>
            </w:pPr>
            <w:r>
              <w:rPr>
                <w:rFonts w:ascii="Arial" w:cs="Arial" w:eastAsia="Arial" w:hAnsi="Arial"/>
                <w:sz w:val="18"/>
                <w:szCs w:val="18"/>
                <w:color w:val="auto"/>
              </w:rPr>
              <w:t>10182 Telesis Court</w:t>
            </w:r>
          </w:p>
        </w:tc>
        <w:tc>
          <w:tcPr>
            <w:tcW w:w="4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L+450, 11/13/2020</w:t>
            </w: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San Diego, CA 92121</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80</w:t>
            </w:r>
          </w:p>
        </w:tc>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4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Nature of Business</w:t>
            </w:r>
          </w:p>
        </w:tc>
        <w:tc>
          <w:tcPr>
            <w:tcW w:w="62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40" w:type="dxa"/>
            <w:vAlign w:val="bottom"/>
            <w:gridSpan w:val="2"/>
          </w:tcPr>
          <w:p>
            <w:pPr>
              <w:ind w:left="620"/>
              <w:spacing w:after="0"/>
              <w:rPr>
                <w:sz w:val="20"/>
                <w:szCs w:val="20"/>
                <w:color w:val="auto"/>
              </w:rPr>
            </w:pPr>
            <w:r>
              <w:rPr>
                <w:rFonts w:ascii="Arial" w:cs="Arial" w:eastAsia="Arial" w:hAnsi="Arial"/>
                <w:sz w:val="14"/>
                <w:szCs w:val="14"/>
                <w:b w:val="1"/>
                <w:bCs w:val="1"/>
                <w:color w:val="auto"/>
                <w:w w:val="89"/>
              </w:rPr>
              <w:t>Voting Percentage</w:t>
            </w:r>
          </w:p>
        </w:tc>
        <w:tc>
          <w:tcPr>
            <w:tcW w:w="6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6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62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520" w:type="dxa"/>
            <w:vAlign w:val="bottom"/>
            <w:gridSpan w:val="2"/>
          </w:tcPr>
          <w:p>
            <w:pPr>
              <w:jc w:val="center"/>
              <w:ind w:left="51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LifeCare Holdings LLC</w:t>
            </w:r>
          </w:p>
        </w:tc>
        <w:tc>
          <w:tcPr>
            <w:tcW w:w="13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Healthcare and</w:t>
            </w:r>
          </w:p>
        </w:tc>
        <w:tc>
          <w:tcPr>
            <w:tcW w:w="6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First Lien Secured Debt,</w:t>
            </w:r>
          </w:p>
        </w:tc>
        <w:tc>
          <w:tcPr>
            <w:tcW w:w="6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5340 Legacy Drive</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L+525, 11/30/2018</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 150, Building 4</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Plano, TX 75024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Linblad Expeditions, Inc.</w:t>
            </w:r>
            <w:r>
              <w:rPr>
                <w:rFonts w:ascii="Arial" w:cs="Arial" w:eastAsia="Arial" w:hAnsi="Arial"/>
                <w:sz w:val="15"/>
                <w:szCs w:val="15"/>
                <w:color w:val="auto"/>
              </w:rPr>
              <w:t>(3)</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Hotel, Gaming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2,469</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Linblad Maritime Enterprises, Ltd.</w:t>
            </w:r>
            <w:r>
              <w:rPr>
                <w:rFonts w:ascii="Arial" w:cs="Arial" w:eastAsia="Arial" w:hAnsi="Arial"/>
                <w:sz w:val="15"/>
                <w:szCs w:val="15"/>
                <w:color w:val="auto"/>
              </w:rPr>
              <w:t>(3)</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Leisure</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L+450, 05/10/2021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96 Morton Street, 9th Floor</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New York, NY 10014</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Lombart Brothers, Inc.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Capital Equipment</w:t>
            </w:r>
          </w:p>
        </w:tc>
        <w:tc>
          <w:tcPr>
            <w:tcW w:w="6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5358 Robin Hood Road,</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L+675, 04/13/2022</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Norfolk, VA 23513</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Long’s Drugs Incorporated</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4,950</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111 Executive Center Drive, Suite 228</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L+525, 08/19/2021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Columbia, SC 29210</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LSF9 Atlantis Holdings, LLC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Retail</w:t>
            </w:r>
          </w:p>
        </w:tc>
        <w:tc>
          <w:tcPr>
            <w:tcW w:w="6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775 Prairie Center Drive, Suite 420</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L+900, 01/15/2021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Eden Prairie, MN 55344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LTI Holdings, Inc.</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5,255</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600 So McClure Road</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L+425, 04/18/2022</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Modesto, CA 95357</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MailSouth, Inc.</w:t>
            </w:r>
          </w:p>
        </w:tc>
        <w:tc>
          <w:tcPr>
            <w:tcW w:w="1920" w:type="dxa"/>
            <w:vAlign w:val="bottom"/>
            <w:gridSpan w:val="2"/>
            <w:shd w:val="clear" w:color="auto" w:fill="CCEEFF"/>
          </w:tcPr>
          <w:p>
            <w:pPr>
              <w:jc w:val="center"/>
              <w:ind w:left="370"/>
              <w:spacing w:after="0" w:line="201" w:lineRule="exact"/>
              <w:rPr>
                <w:sz w:val="20"/>
                <w:szCs w:val="20"/>
                <w:color w:val="auto"/>
              </w:rPr>
            </w:pPr>
            <w:r>
              <w:rPr>
                <w:rFonts w:ascii="Arial" w:cs="Arial" w:eastAsia="Arial" w:hAnsi="Arial"/>
                <w:sz w:val="18"/>
                <w:szCs w:val="18"/>
                <w:color w:val="auto"/>
                <w:w w:val="95"/>
              </w:rPr>
              <w:t>Media: Advertising,</w:t>
            </w:r>
          </w:p>
        </w:tc>
        <w:tc>
          <w:tcPr>
            <w:tcW w:w="2600" w:type="dxa"/>
            <w:vAlign w:val="bottom"/>
            <w:gridSpan w:val="2"/>
            <w:shd w:val="clear" w:color="auto" w:fill="CCEEFF"/>
          </w:tcPr>
          <w:p>
            <w:pPr>
              <w:jc w:val="center"/>
              <w:ind w:left="510"/>
              <w:spacing w:after="0" w:line="201" w:lineRule="exact"/>
              <w:rPr>
                <w:sz w:val="20"/>
                <w:szCs w:val="20"/>
                <w:color w:val="auto"/>
              </w:rPr>
            </w:pPr>
            <w:r>
              <w:rPr>
                <w:rFonts w:ascii="Arial" w:cs="Arial" w:eastAsia="Arial" w:hAnsi="Arial"/>
                <w:sz w:val="18"/>
                <w:szCs w:val="18"/>
                <w:color w:val="auto"/>
                <w:w w:val="89"/>
              </w:rPr>
              <w:t>Second Lien Secured Debt,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3,775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5901 Highway 52 East</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Printing and</w:t>
            </w: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L+1,050, 10/22/2021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Helena, AL 35080</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Publishing</w:t>
            </w: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Marketplace Events LLC</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Media: Diversified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31"/>
              <w:spacing w:after="0"/>
              <w:rPr>
                <w:sz w:val="20"/>
                <w:szCs w:val="20"/>
                <w:color w:val="auto"/>
              </w:rPr>
            </w:pPr>
            <w:r>
              <w:rPr>
                <w:rFonts w:ascii="Arial" w:cs="Arial" w:eastAsia="Arial" w:hAnsi="Arial"/>
                <w:sz w:val="18"/>
                <w:szCs w:val="18"/>
                <w:color w:val="auto"/>
                <w:w w:val="90"/>
              </w:rPr>
              <w:t>15,510</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31105 Bainbridge Road Suite 3</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and Production</w:t>
            </w:r>
          </w:p>
        </w:tc>
        <w:tc>
          <w:tcPr>
            <w:tcW w:w="260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USD (L+525, 01/27/2021),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Solon, OH 44139</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0" w:type="dxa"/>
            <w:vAlign w:val="bottom"/>
            <w:gridSpan w:val="2"/>
          </w:tcPr>
          <w:p>
            <w:pPr>
              <w:jc w:val="center"/>
              <w:ind w:left="510"/>
              <w:spacing w:after="0"/>
              <w:rPr>
                <w:sz w:val="20"/>
                <w:szCs w:val="20"/>
                <w:color w:val="auto"/>
              </w:rPr>
            </w:pPr>
            <w:r>
              <w:rPr>
                <w:rFonts w:ascii="Arial" w:cs="Arial" w:eastAsia="Arial" w:hAnsi="Arial"/>
                <w:sz w:val="18"/>
                <w:szCs w:val="18"/>
                <w:color w:val="auto"/>
                <w:w w:val="92"/>
              </w:rPr>
              <w:t>CAD (P+275, 01/27/2021),</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Revolver (P+275,</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01/27/2021)</w:t>
            </w: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8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Mission Critical Electronics, Inc.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Capital Equipment</w:t>
            </w:r>
          </w:p>
        </w:tc>
        <w:tc>
          <w:tcPr>
            <w:tcW w:w="62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8"/>
              </w:rPr>
              <w:t>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2911 W. Garry Ave.</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L+500, 09/28/2022</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Santa Ana, CA 92704</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New Trident HoldCorp, Inc.</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8,289</w:t>
            </w: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930 Ridgebrook Road, 3rd Floor</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L+525, 07/31/2019</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Sparks, MD 21152</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Novitex Acquisition, LLC</w:t>
            </w:r>
          </w:p>
        </w:tc>
        <w:tc>
          <w:tcPr>
            <w:tcW w:w="4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2600" w:type="dxa"/>
            <w:vAlign w:val="bottom"/>
            <w:gridSpan w:val="2"/>
            <w:shd w:val="clear" w:color="auto" w:fill="CCEEFF"/>
          </w:tcPr>
          <w:p>
            <w:pPr>
              <w:jc w:val="center"/>
              <w:ind w:left="510"/>
              <w:spacing w:after="0" w:line="201" w:lineRule="exact"/>
              <w:rPr>
                <w:sz w:val="20"/>
                <w:szCs w:val="20"/>
                <w:color w:val="auto"/>
              </w:rPr>
            </w:pPr>
            <w:r>
              <w:rPr>
                <w:rFonts w:ascii="Arial" w:cs="Arial" w:eastAsia="Arial" w:hAnsi="Arial"/>
                <w:sz w:val="18"/>
                <w:szCs w:val="18"/>
                <w:color w:val="auto"/>
                <w:w w:val="89"/>
              </w:rPr>
              <w:t>Second Lien Secured Debt,</w:t>
            </w: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center"/>
              <w:ind w:left="511"/>
              <w:spacing w:after="0" w:line="201" w:lineRule="exact"/>
              <w:rPr>
                <w:sz w:val="20"/>
                <w:szCs w:val="20"/>
                <w:color w:val="auto"/>
              </w:rPr>
            </w:pPr>
            <w:r>
              <w:rPr>
                <w:rFonts w:ascii="Arial" w:cs="Arial" w:eastAsia="Arial" w:hAnsi="Arial"/>
                <w:sz w:val="18"/>
                <w:szCs w:val="18"/>
                <w:color w:val="auto"/>
                <w:w w:val="87"/>
              </w:rPr>
              <w:t>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Elmcroft Road</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L+1,100, 07/07/2021</w:t>
            </w:r>
          </w:p>
        </w:tc>
        <w:tc>
          <w:tcPr>
            <w:tcW w:w="6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CT 06926</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260" w:type="dxa"/>
            <w:vAlign w:val="bottom"/>
            <w:gridSpan w:val="3"/>
          </w:tcPr>
          <w:p>
            <w:pPr>
              <w:spacing w:after="0"/>
              <w:rPr>
                <w:sz w:val="20"/>
                <w:szCs w:val="20"/>
                <w:color w:val="auto"/>
              </w:rPr>
            </w:pPr>
            <w:r>
              <w:rPr>
                <w:rFonts w:ascii="Arial" w:cs="Arial" w:eastAsia="Arial" w:hAnsi="Arial"/>
                <w:sz w:val="18"/>
                <w:szCs w:val="18"/>
                <w:color w:val="auto"/>
              </w:rPr>
              <w:t>Pathway Partners Vet Management</w:t>
            </w:r>
          </w:p>
        </w:tc>
        <w:tc>
          <w:tcPr>
            <w:tcW w:w="46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62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62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511"/>
              <w:spacing w:after="0"/>
              <w:rPr>
                <w:sz w:val="20"/>
                <w:szCs w:val="20"/>
                <w:color w:val="auto"/>
              </w:rPr>
            </w:pPr>
            <w:r>
              <w:rPr>
                <w:rFonts w:ascii="Arial" w:cs="Arial" w:eastAsia="Arial" w:hAnsi="Arial"/>
                <w:sz w:val="18"/>
                <w:szCs w:val="18"/>
                <w:color w:val="auto"/>
                <w:w w:val="88"/>
              </w:rPr>
              <w:t>6,206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Company LLC</w:t>
            </w:r>
          </w:p>
        </w:tc>
        <w:tc>
          <w:tcPr>
            <w:tcW w:w="4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6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L+500, 08/19/2022</w:t>
            </w: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gridSpan w:val="3"/>
          </w:tcPr>
          <w:p>
            <w:pPr>
              <w:spacing w:after="0"/>
              <w:rPr>
                <w:sz w:val="20"/>
                <w:szCs w:val="20"/>
                <w:color w:val="auto"/>
              </w:rPr>
            </w:pPr>
            <w:r>
              <w:rPr>
                <w:rFonts w:ascii="Arial" w:cs="Arial" w:eastAsia="Arial" w:hAnsi="Arial"/>
                <w:sz w:val="18"/>
                <w:szCs w:val="18"/>
                <w:color w:val="auto"/>
              </w:rPr>
              <w:t>3930 Bee Cave Rd. #9</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3"/>
          </w:tcPr>
          <w:p>
            <w:pPr>
              <w:spacing w:after="0"/>
              <w:rPr>
                <w:sz w:val="20"/>
                <w:szCs w:val="20"/>
                <w:color w:val="auto"/>
              </w:rPr>
            </w:pPr>
            <w:r>
              <w:rPr>
                <w:rFonts w:ascii="Arial" w:cs="Arial" w:eastAsia="Arial" w:hAnsi="Arial"/>
                <w:sz w:val="18"/>
                <w:szCs w:val="18"/>
                <w:color w:val="auto"/>
              </w:rPr>
              <w:t>Austin, TX 78746</w:t>
            </w: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4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8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700" w:type="dxa"/>
            <w:vAlign w:val="bottom"/>
            <w:gridSpan w:val="2"/>
          </w:tcPr>
          <w:p>
            <w:pPr>
              <w:ind w:left="560"/>
              <w:spacing w:after="0"/>
              <w:rPr>
                <w:sz w:val="20"/>
                <w:szCs w:val="20"/>
                <w:color w:val="auto"/>
              </w:rPr>
            </w:pPr>
            <w:r>
              <w:rPr>
                <w:rFonts w:ascii="Arial" w:cs="Arial" w:eastAsia="Arial" w:hAnsi="Arial"/>
                <w:sz w:val="14"/>
                <w:szCs w:val="14"/>
                <w:b w:val="1"/>
                <w:bCs w:val="1"/>
                <w:color w:val="auto"/>
                <w:w w:val="91"/>
              </w:rPr>
              <w:t>Voting Percentage</w:t>
            </w:r>
          </w:p>
        </w:tc>
        <w:tc>
          <w:tcPr>
            <w:tcW w:w="5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4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580" w:type="dxa"/>
            <w:vAlign w:val="bottom"/>
          </w:tcPr>
          <w:p>
            <w:pPr>
              <w:spacing w:after="0"/>
              <w:rPr>
                <w:sz w:val="15"/>
                <w:szCs w:val="15"/>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460" w:type="dxa"/>
            <w:vAlign w:val="bottom"/>
            <w:gridSpan w:val="2"/>
          </w:tcPr>
          <w:p>
            <w:pPr>
              <w:jc w:val="center"/>
              <w:ind w:left="45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Patriot National, Inc.</w:t>
            </w:r>
          </w:p>
        </w:tc>
        <w:tc>
          <w:tcPr>
            <w:tcW w:w="15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Banking, Finance,</w:t>
            </w:r>
          </w:p>
        </w:tc>
        <w:tc>
          <w:tcPr>
            <w:tcW w:w="58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Common Equity</w:t>
            </w:r>
          </w:p>
        </w:tc>
        <w:tc>
          <w:tcPr>
            <w:tcW w:w="5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219"/>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401 E. Las Olas Blvd., Ste. 1650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Insurance and Real</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Lauderdale, FL 33301</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Estate</w:t>
            </w: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Penton Media, Inc.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Media: Diversified</w:t>
            </w:r>
          </w:p>
        </w:tc>
        <w:tc>
          <w:tcPr>
            <w:tcW w:w="256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Second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4,854</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249 W. 17th Street, 4th Floor</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and Production</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L+775, 10/02/2020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New York, NY 10011</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Polycom, Inc.</w:t>
            </w:r>
          </w:p>
        </w:tc>
        <w:tc>
          <w:tcPr>
            <w:tcW w:w="1920" w:type="dxa"/>
            <w:vAlign w:val="bottom"/>
            <w:gridSpan w:val="2"/>
            <w:shd w:val="clear" w:color="auto" w:fill="CCEEFF"/>
          </w:tcPr>
          <w:p>
            <w:pPr>
              <w:jc w:val="center"/>
              <w:ind w:left="330"/>
              <w:spacing w:after="0" w:line="201" w:lineRule="exact"/>
              <w:rPr>
                <w:sz w:val="20"/>
                <w:szCs w:val="20"/>
                <w:color w:val="auto"/>
              </w:rPr>
            </w:pPr>
            <w:r>
              <w:rPr>
                <w:rFonts w:ascii="Arial" w:cs="Arial" w:eastAsia="Arial" w:hAnsi="Arial"/>
                <w:sz w:val="18"/>
                <w:szCs w:val="18"/>
                <w:color w:val="auto"/>
                <w:w w:val="90"/>
              </w:rPr>
              <w:t>Telecommunications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6001 America Center Dr,</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09/27/2023</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Jose, CA 95002</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Precyse Acquisition Corp.</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Healthcare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4,015</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200 North Point Center East, Suite 600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Pharmaceuticals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L+550, 10/20/2022</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Alpharetta, GA 30022</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Premier Dental Services, Inc.</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Consumer Services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7,491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530 S Main Street, 6th Floor</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11/01/2018</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Orange, CA 92868</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Profile Products LLC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Environmental</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7,282</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750 Lake Cook Road, Suite 440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L+475, 05/20/2021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Buffalo Grove, IL 60089</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Quick Weight Loss Centers, LLC</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Beverage, Food and</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3161 Mcnab Road</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Tobacco</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L+475, 08/23/2021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Pompano Beach, FL 33069</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Research Now Group, Inc.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6,688</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5800 Tennyson Parkway, Ste. 600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L+450, 03/18/2021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Plano, TX 75024</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Robertshaw US Holding Corp.</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Consumer Goods:</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4,259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 East North Avenue</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Durable</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L+700, 06/18/2019</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Stream, IL 60188</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Ryan, LLC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Business Services</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4,163</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Three Galleria Tower</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L+575, 08/07/2020</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13155 Noel Road, Suite 100</w:t>
            </w: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Dallas, TX 75240</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Sensus USA, Inc.</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Utilities: Water</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71"/>
              <w:spacing w:after="0" w:line="201" w:lineRule="exact"/>
              <w:rPr>
                <w:sz w:val="20"/>
                <w:szCs w:val="20"/>
                <w:color w:val="auto"/>
              </w:rPr>
            </w:pPr>
            <w:r>
              <w:rPr>
                <w:rFonts w:ascii="Arial" w:cs="Arial" w:eastAsia="Arial" w:hAnsi="Arial"/>
                <w:sz w:val="18"/>
                <w:szCs w:val="18"/>
                <w:color w:val="auto"/>
                <w:w w:val="90"/>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8601 Six Forks Road, Suite 700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04/05/2023</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Raleigh, NC 27615</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Snak Club, LLC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Beverage, Food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4,919</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5560 E Slauson Ave</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Tobacco</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L+500, 07/19/2021</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Commerce, CA 90040</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Software Paradigms International Group,</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High Tech</w:t>
            </w:r>
          </w:p>
        </w:tc>
        <w:tc>
          <w:tcPr>
            <w:tcW w:w="580" w:type="dxa"/>
            <w:vAlign w:val="bottom"/>
            <w:shd w:val="clear" w:color="auto" w:fill="CCEEFF"/>
          </w:tcPr>
          <w:p>
            <w:pPr>
              <w:spacing w:after="0"/>
              <w:rPr>
                <w:sz w:val="17"/>
                <w:szCs w:val="17"/>
                <w:color w:val="auto"/>
              </w:rPr>
            </w:pPr>
          </w:p>
        </w:tc>
        <w:tc>
          <w:tcPr>
            <w:tcW w:w="1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451"/>
              <w:spacing w:after="0" w:line="201" w:lineRule="exact"/>
              <w:rPr>
                <w:sz w:val="20"/>
                <w:szCs w:val="20"/>
                <w:color w:val="auto"/>
              </w:rPr>
            </w:pPr>
            <w:r>
              <w:rPr>
                <w:rFonts w:ascii="Arial" w:cs="Arial" w:eastAsia="Arial" w:hAnsi="Arial"/>
                <w:sz w:val="18"/>
                <w:szCs w:val="18"/>
                <w:color w:val="auto"/>
                <w:w w:val="88"/>
              </w:rPr>
              <w:t>9,826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Industries</w:t>
            </w: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05/21/2021</w:t>
            </w: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 Concourse Pkwy., Ste. 500</w:t>
            </w: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Atlanta, GA 30328</w:t>
            </w:r>
          </w:p>
        </w:tc>
        <w:tc>
          <w:tcPr>
            <w:tcW w:w="4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400" w:type="dxa"/>
            <w:vAlign w:val="bottom"/>
            <w:gridSpan w:val="3"/>
          </w:tcPr>
          <w:p>
            <w:pPr>
              <w:spacing w:after="0"/>
              <w:rPr>
                <w:sz w:val="20"/>
                <w:szCs w:val="20"/>
                <w:color w:val="auto"/>
              </w:rPr>
            </w:pPr>
            <w:r>
              <w:rPr>
                <w:rFonts w:ascii="Arial" w:cs="Arial" w:eastAsia="Arial" w:hAnsi="Arial"/>
                <w:sz w:val="18"/>
                <w:szCs w:val="18"/>
                <w:color w:val="auto"/>
              </w:rPr>
              <w:t>Sotera Defense Solutions, Inc.</w:t>
            </w:r>
          </w:p>
        </w:tc>
        <w:tc>
          <w:tcPr>
            <w:tcW w:w="42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Aerospace and</w:t>
            </w:r>
          </w:p>
        </w:tc>
        <w:tc>
          <w:tcPr>
            <w:tcW w:w="58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8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451"/>
              <w:spacing w:after="0"/>
              <w:rPr>
                <w:sz w:val="20"/>
                <w:szCs w:val="20"/>
                <w:color w:val="auto"/>
              </w:rPr>
            </w:pPr>
            <w:r>
              <w:rPr>
                <w:rFonts w:ascii="Arial" w:cs="Arial" w:eastAsia="Arial" w:hAnsi="Arial"/>
                <w:sz w:val="18"/>
                <w:szCs w:val="18"/>
                <w:color w:val="auto"/>
                <w:w w:val="88"/>
              </w:rPr>
              <w:t>5,640</w:t>
            </w:r>
          </w:p>
        </w:tc>
        <w:tc>
          <w:tcPr>
            <w:tcW w:w="0" w:type="dxa"/>
            <w:vAlign w:val="bottom"/>
          </w:tcPr>
          <w:p>
            <w:pPr>
              <w:spacing w:after="0"/>
              <w:rPr>
                <w:sz w:val="1"/>
                <w:szCs w:val="1"/>
                <w:color w:val="auto"/>
              </w:rPr>
            </w:pPr>
          </w:p>
        </w:tc>
      </w:tr>
      <w:tr>
        <w:trPr>
          <w:trHeight w:val="216"/>
        </w:trPr>
        <w:tc>
          <w:tcPr>
            <w:tcW w:w="3400" w:type="dxa"/>
            <w:vAlign w:val="bottom"/>
            <w:gridSpan w:val="3"/>
          </w:tcPr>
          <w:p>
            <w:pPr>
              <w:spacing w:after="0"/>
              <w:rPr>
                <w:sz w:val="20"/>
                <w:szCs w:val="20"/>
                <w:color w:val="auto"/>
              </w:rPr>
            </w:pPr>
            <w:r>
              <w:rPr>
                <w:rFonts w:ascii="Arial" w:cs="Arial" w:eastAsia="Arial" w:hAnsi="Arial"/>
                <w:sz w:val="18"/>
                <w:szCs w:val="18"/>
                <w:color w:val="auto"/>
              </w:rPr>
              <w:t>2121 Cooperative Way, Ste. 400</w:t>
            </w:r>
          </w:p>
        </w:tc>
        <w:tc>
          <w:tcPr>
            <w:tcW w:w="4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Defense</w:t>
            </w:r>
          </w:p>
        </w:tc>
        <w:tc>
          <w:tcPr>
            <w:tcW w:w="5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L+750, 04/21/2017</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3"/>
          </w:tcPr>
          <w:p>
            <w:pPr>
              <w:spacing w:after="0"/>
              <w:rPr>
                <w:sz w:val="20"/>
                <w:szCs w:val="20"/>
                <w:color w:val="auto"/>
              </w:rPr>
            </w:pPr>
            <w:r>
              <w:rPr>
                <w:rFonts w:ascii="Arial" w:cs="Arial" w:eastAsia="Arial" w:hAnsi="Arial"/>
                <w:sz w:val="18"/>
                <w:szCs w:val="18"/>
                <w:color w:val="auto"/>
              </w:rPr>
              <w:t>Herndon, VA 20171</w:t>
            </w: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1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w:t>
            </w:r>
          </w:p>
        </w:tc>
        <w:tc>
          <w:tcPr>
            <w:tcW w:w="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Nature of Business</w:t>
            </w:r>
          </w:p>
        </w:tc>
        <w:tc>
          <w:tcPr>
            <w:tcW w:w="5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6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89"/>
              </w:rPr>
              <w:t>Voting Percentage</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5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4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Sundial Group Holdings LLC</w:t>
            </w:r>
          </w:p>
        </w:tc>
        <w:tc>
          <w:tcPr>
            <w:tcW w:w="340" w:type="dxa"/>
            <w:vAlign w:val="bottom"/>
            <w:vMerge w:val="continue"/>
            <w:shd w:val="clear" w:color="auto" w:fill="CCEEFF"/>
          </w:tcPr>
          <w:p>
            <w:pPr>
              <w:spacing w:after="0"/>
              <w:rPr>
                <w:sz w:val="15"/>
                <w:szCs w:val="15"/>
                <w:color w:val="auto"/>
              </w:rPr>
            </w:pPr>
          </w:p>
        </w:tc>
        <w:tc>
          <w:tcPr>
            <w:tcW w:w="15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Consumer Goods:</w:t>
            </w:r>
          </w:p>
        </w:tc>
        <w:tc>
          <w:tcPr>
            <w:tcW w:w="560" w:type="dxa"/>
            <w:vAlign w:val="bottom"/>
            <w:vMerge w:val="continue"/>
            <w:shd w:val="clear" w:color="auto" w:fill="CCEEFF"/>
          </w:tcPr>
          <w:p>
            <w:pPr>
              <w:spacing w:after="0"/>
              <w:rPr>
                <w:sz w:val="15"/>
                <w:szCs w:val="15"/>
                <w:color w:val="auto"/>
              </w:rPr>
            </w:pPr>
          </w:p>
        </w:tc>
        <w:tc>
          <w:tcPr>
            <w:tcW w:w="19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First Lien Secured Debt,</w:t>
            </w:r>
          </w:p>
        </w:tc>
        <w:tc>
          <w:tcPr>
            <w:tcW w:w="560" w:type="dxa"/>
            <w:vAlign w:val="bottom"/>
            <w:vMerge w:val="continue"/>
            <w:shd w:val="clear" w:color="auto" w:fill="CCEEFF"/>
          </w:tcPr>
          <w:p>
            <w:pPr>
              <w:spacing w:after="0"/>
              <w:rPr>
                <w:sz w:val="15"/>
                <w:szCs w:val="15"/>
                <w:color w:val="auto"/>
              </w:rPr>
            </w:pPr>
          </w:p>
        </w:tc>
        <w:tc>
          <w:tcPr>
            <w:tcW w:w="1120" w:type="dxa"/>
            <w:vAlign w:val="bottom"/>
            <w:shd w:val="clear" w:color="auto" w:fill="CCEEFF"/>
          </w:tcPr>
          <w:p>
            <w:pPr>
              <w:ind w:left="420"/>
              <w:spacing w:after="0" w:line="182" w:lineRule="exact"/>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 Ranick Drive South</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Non-Durable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L+625, 10/19/2021</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Amityville, NY 11701</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Sunshine Oilsands Ltd.</w:t>
            </w:r>
            <w:r>
              <w:rPr>
                <w:rFonts w:ascii="Arial" w:cs="Arial" w:eastAsia="Arial" w:hAnsi="Arial"/>
                <w:sz w:val="15"/>
                <w:szCs w:val="15"/>
                <w:color w:val="auto"/>
              </w:rPr>
              <w:t>(3)</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Energy: Oil and Gas</w:t>
            </w:r>
          </w:p>
        </w:tc>
        <w:tc>
          <w:tcPr>
            <w:tcW w:w="252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Second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1,631</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1020, 903 - 8 Avenue S.W.</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12.50% fixed, 08/01/2017</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Calgary, Alberta, Canada T2P 0P7</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Survey Sampling International, LLC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Business Services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Research Drive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L+500, 12/16/2020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Shelton, CT 06484</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w w:val="99"/>
              </w:rPr>
              <w:t>Systems Maintenance Services Holding,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High Tech</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5,733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10420 Harris Oaks Blvd, Ste. C</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Industries</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L+400, 10/18/2019</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Charlotte, NC 28269</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Tensar Corporation</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Construction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2500 Northwinds Parkway, Ste. 500</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Buildings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L+475, 07/09/2021</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Alpharetta, GA 30009</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The Original Cakerie, Co.</w:t>
            </w:r>
            <w:r>
              <w:rPr>
                <w:rFonts w:ascii="Arial" w:cs="Arial" w:eastAsia="Arial" w:hAnsi="Arial"/>
                <w:sz w:val="15"/>
                <w:szCs w:val="15"/>
                <w:color w:val="auto"/>
              </w:rPr>
              <w:t>(3)</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Consumer Goods: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r>
              <w:rPr>
                <w:rFonts w:ascii="Arial" w:cs="Arial" w:eastAsia="Arial" w:hAnsi="Arial"/>
                <w:sz w:val="15"/>
                <w:szCs w:val="15"/>
                <w:color w:val="auto"/>
                <w:w w:val="91"/>
              </w:rPr>
              <w:t>(4)</w:t>
            </w:r>
            <w:r>
              <w:rPr>
                <w:rFonts w:ascii="Arial" w:cs="Arial" w:eastAsia="Arial" w:hAnsi="Arial"/>
                <w:sz w:val="18"/>
                <w:szCs w:val="18"/>
                <w:color w:val="auto"/>
                <w:w w:val="91"/>
              </w:rPr>
              <w: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8,980</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The Original Cakerie Ltd.</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Non-Durable</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The Original Cakerie, Co.</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1345 Cliveden Ave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3"/>
              </w:rPr>
              <w:t>(L+550, 07/20/2021),</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Delta, BC V3M 6C7, Canada</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The Original Cakerie, Ltd.</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(L+500, 07/20/2021)</w:t>
            </w: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TOMS Shoes, LLC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Consumer Goods: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5404 Jandy Place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Non-Durable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L+550, 11/02/2020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 90066</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Triad Manufacturing, Inc.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Capital Equipment</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52"/>
              <w:spacing w:after="0"/>
              <w:rPr>
                <w:sz w:val="20"/>
                <w:szCs w:val="20"/>
                <w:color w:val="auto"/>
              </w:rPr>
            </w:pPr>
            <w:r>
              <w:rPr>
                <w:rFonts w:ascii="Arial" w:cs="Arial" w:eastAsia="Arial" w:hAnsi="Arial"/>
                <w:sz w:val="18"/>
                <w:szCs w:val="18"/>
                <w:color w:val="auto"/>
                <w:w w:val="90"/>
              </w:rPr>
              <w:t>10,307</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4321 Semple Avenue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L+1,075</w:t>
            </w:r>
            <w:r>
              <w:rPr>
                <w:rFonts w:ascii="Arial" w:cs="Arial" w:eastAsia="Arial" w:hAnsi="Arial"/>
                <w:sz w:val="15"/>
                <w:szCs w:val="15"/>
                <w:color w:val="auto"/>
                <w:w w:val="92"/>
              </w:rPr>
              <w:t>(5)</w:t>
            </w:r>
            <w:r>
              <w:rPr>
                <w:rFonts w:ascii="Arial" w:cs="Arial" w:eastAsia="Arial" w:hAnsi="Arial"/>
                <w:sz w:val="18"/>
                <w:szCs w:val="18"/>
                <w:color w:val="auto"/>
                <w:w w:val="92"/>
              </w:rPr>
              <w:t>, 12/28/2020</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St. Louis, MO 63120</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UniTek Global Services, Inc.</w:t>
            </w:r>
          </w:p>
        </w:tc>
        <w:tc>
          <w:tcPr>
            <w:tcW w:w="1840" w:type="dxa"/>
            <w:vAlign w:val="bottom"/>
            <w:gridSpan w:val="2"/>
            <w:shd w:val="clear" w:color="auto" w:fill="CCEEFF"/>
          </w:tcPr>
          <w:p>
            <w:pPr>
              <w:jc w:val="center"/>
              <w:ind w:left="250"/>
              <w:spacing w:after="0" w:line="201" w:lineRule="exact"/>
              <w:rPr>
                <w:sz w:val="20"/>
                <w:szCs w:val="20"/>
                <w:color w:val="auto"/>
              </w:rPr>
            </w:pPr>
            <w:r>
              <w:rPr>
                <w:rFonts w:ascii="Arial" w:cs="Arial" w:eastAsia="Arial" w:hAnsi="Arial"/>
                <w:sz w:val="18"/>
                <w:szCs w:val="18"/>
                <w:color w:val="auto"/>
                <w:w w:val="90"/>
              </w:rPr>
              <w:t>Telecommunications</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r>
              <w:rPr>
                <w:rFonts w:ascii="Arial" w:cs="Arial" w:eastAsia="Arial" w:hAnsi="Arial"/>
                <w:sz w:val="15"/>
                <w:szCs w:val="15"/>
                <w:color w:val="auto"/>
                <w:w w:val="91"/>
              </w:rPr>
              <w:t>(4)</w:t>
            </w:r>
            <w:r>
              <w:rPr>
                <w:rFonts w:ascii="Arial" w:cs="Arial" w:eastAsia="Arial" w:hAnsi="Arial"/>
                <w:sz w:val="18"/>
                <w:szCs w:val="18"/>
                <w:color w:val="auto"/>
                <w:w w:val="91"/>
              </w:rPr>
              <w:t>,</w:t>
            </w:r>
          </w:p>
        </w:tc>
        <w:tc>
          <w:tcPr>
            <w:tcW w:w="1680" w:type="dxa"/>
            <w:vAlign w:val="bottom"/>
            <w:gridSpan w:val="2"/>
            <w:shd w:val="clear" w:color="auto" w:fill="CCEEFF"/>
          </w:tcPr>
          <w:p>
            <w:pPr>
              <w:jc w:val="center"/>
              <w:ind w:left="459"/>
              <w:spacing w:after="0" w:line="201" w:lineRule="exact"/>
              <w:rPr>
                <w:sz w:val="20"/>
                <w:szCs w:val="20"/>
                <w:color w:val="auto"/>
              </w:rPr>
            </w:pPr>
            <w:r>
              <w:rPr>
                <w:rFonts w:ascii="Arial" w:cs="Arial" w:eastAsia="Arial" w:hAnsi="Arial"/>
                <w:sz w:val="18"/>
                <w:szCs w:val="18"/>
                <w:color w:val="auto"/>
                <w:w w:val="92"/>
              </w:rPr>
              <w:t>1.5%</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1777 Sentry Parkway West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(L+850 (PIK 100),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Gwynedd Hall, Ste. 202</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01/14/2019), (L+750,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Bell, PA 19422</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1"/>
              </w:rPr>
              <w:t>01/14/2019)</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Subordinated Debt,</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15.00% (PIK 15.00%)</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fixed, 07/15/2019</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Preferred Equity</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Common Equity</w:t>
            </w: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560" w:type="dxa"/>
            <w:vAlign w:val="bottom"/>
            <w:gridSpan w:val="3"/>
          </w:tcPr>
          <w:p>
            <w:pPr>
              <w:spacing w:after="0"/>
              <w:rPr>
                <w:sz w:val="20"/>
                <w:szCs w:val="20"/>
                <w:color w:val="auto"/>
              </w:rPr>
            </w:pPr>
            <w:r>
              <w:rPr>
                <w:rFonts w:ascii="Arial" w:cs="Arial" w:eastAsia="Arial" w:hAnsi="Arial"/>
                <w:sz w:val="18"/>
                <w:szCs w:val="18"/>
                <w:color w:val="auto"/>
              </w:rPr>
              <w:t>Universal Fiber Systems, LLC</w:t>
            </w:r>
          </w:p>
        </w:tc>
        <w:tc>
          <w:tcPr>
            <w:tcW w:w="34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Chemicals, Plastics</w:t>
            </w:r>
          </w:p>
        </w:tc>
        <w:tc>
          <w:tcPr>
            <w:tcW w:w="56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First Lien Secured Debt,</w:t>
            </w:r>
          </w:p>
        </w:tc>
        <w:tc>
          <w:tcPr>
            <w:tcW w:w="560" w:type="dxa"/>
            <w:vAlign w:val="bottom"/>
          </w:tcPr>
          <w:p>
            <w:pPr>
              <w:spacing w:after="0"/>
              <w:rPr>
                <w:sz w:val="23"/>
                <w:szCs w:val="23"/>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432"/>
              <w:spacing w:after="0"/>
              <w:rPr>
                <w:sz w:val="20"/>
                <w:szCs w:val="20"/>
                <w:color w:val="auto"/>
              </w:rPr>
            </w:pPr>
            <w:r>
              <w:rPr>
                <w:rFonts w:ascii="Arial" w:cs="Arial" w:eastAsia="Arial" w:hAnsi="Arial"/>
                <w:sz w:val="18"/>
                <w:szCs w:val="18"/>
                <w:color w:val="auto"/>
                <w:w w:val="88"/>
              </w:rPr>
              <w:t>4,938</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14401 Industrial Park Road</w:t>
            </w:r>
          </w:p>
        </w:tc>
        <w:tc>
          <w:tcPr>
            <w:tcW w:w="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and Rubber</w:t>
            </w:r>
          </w:p>
        </w:tc>
        <w:tc>
          <w:tcPr>
            <w:tcW w:w="56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L+550, 10/04/2021</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Bristol, VA 24202</w:t>
            </w: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8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Anesthesia Partners, Inc.</w:t>
            </w: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Healthcare and</w:t>
            </w:r>
          </w:p>
        </w:tc>
        <w:tc>
          <w:tcPr>
            <w:tcW w:w="56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First Lien Secured Debt,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center"/>
              <w:ind w:left="432"/>
              <w:spacing w:after="0" w:line="201" w:lineRule="exact"/>
              <w:rPr>
                <w:sz w:val="20"/>
                <w:szCs w:val="20"/>
                <w:color w:val="auto"/>
              </w:rPr>
            </w:pPr>
            <w:r>
              <w:rPr>
                <w:rFonts w:ascii="Arial" w:cs="Arial" w:eastAsia="Arial" w:hAnsi="Arial"/>
                <w:sz w:val="18"/>
                <w:szCs w:val="18"/>
                <w:color w:val="auto"/>
                <w:w w:val="88"/>
              </w:rPr>
              <w:t>9,851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2475 Eagle Run</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Pharmaceuticals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L+500, 12/31/2019</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Weston, FL 33327</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jc w:val="right"/>
              <w:ind w:right="270"/>
              <w:spacing w:after="0"/>
              <w:rPr>
                <w:sz w:val="20"/>
                <w:szCs w:val="20"/>
                <w:color w:val="auto"/>
              </w:rPr>
            </w:pPr>
            <w:r>
              <w:rPr>
                <w:rFonts w:ascii="Arial" w:cs="Arial" w:eastAsia="Arial" w:hAnsi="Arial"/>
                <w:sz w:val="18"/>
                <w:szCs w:val="18"/>
                <w:color w:val="auto"/>
                <w:w w:val="89"/>
              </w:rPr>
              <w:t>83</w:t>
            </w: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Portfolio</w:t>
            </w:r>
          </w:p>
        </w:tc>
        <w:tc>
          <w:tcPr>
            <w:tcW w:w="2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Nature of Business</w:t>
            </w:r>
          </w:p>
        </w:tc>
        <w:tc>
          <w:tcPr>
            <w:tcW w:w="2040" w:type="dxa"/>
            <w:vAlign w:val="bottom"/>
          </w:tcPr>
          <w:p>
            <w:pPr>
              <w:ind w:left="400"/>
              <w:spacing w:after="0"/>
              <w:rPr>
                <w:sz w:val="20"/>
                <w:szCs w:val="20"/>
                <w:color w:val="auto"/>
              </w:rPr>
            </w:pPr>
            <w:r>
              <w:rPr>
                <w:rFonts w:ascii="Arial" w:cs="Arial" w:eastAsia="Arial" w:hAnsi="Arial"/>
                <w:sz w:val="14"/>
                <w:szCs w:val="14"/>
                <w:b w:val="1"/>
                <w:bCs w:val="1"/>
                <w:color w:val="auto"/>
              </w:rPr>
              <w:t>Type of Investment,</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Voting Percentage</w:t>
            </w:r>
          </w:p>
        </w:tc>
        <w:tc>
          <w:tcPr>
            <w:tcW w:w="5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6"/>
        </w:trPr>
        <w:tc>
          <w:tcPr>
            <w:tcW w:w="384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2080" w:type="dxa"/>
            <w:vAlign w:val="bottom"/>
            <w:gridSpan w:val="2"/>
            <w:vMerge w:val="continue"/>
          </w:tcPr>
          <w:p>
            <w:pPr>
              <w:spacing w:after="0"/>
              <w:rPr>
                <w:sz w:val="15"/>
                <w:szCs w:val="15"/>
                <w:color w:val="auto"/>
              </w:rPr>
            </w:pPr>
          </w:p>
        </w:tc>
        <w:tc>
          <w:tcPr>
            <w:tcW w:w="2040" w:type="dxa"/>
            <w:vAlign w:val="bottom"/>
          </w:tcPr>
          <w:p>
            <w:pPr>
              <w:ind w:left="380"/>
              <w:spacing w:after="0"/>
              <w:rPr>
                <w:sz w:val="20"/>
                <w:szCs w:val="20"/>
                <w:color w:val="auto"/>
              </w:rPr>
            </w:pPr>
            <w:r>
              <w:rPr>
                <w:rFonts w:ascii="Arial" w:cs="Arial" w:eastAsia="Arial" w:hAnsi="Arial"/>
                <w:sz w:val="14"/>
                <w:szCs w:val="14"/>
                <w:b w:val="1"/>
                <w:bCs w:val="1"/>
                <w:color w:val="auto"/>
              </w:rPr>
              <w:t>Interest</w:t>
            </w:r>
            <w:r>
              <w:rPr>
                <w:rFonts w:ascii="Arial" w:cs="Arial" w:eastAsia="Arial" w:hAnsi="Arial"/>
                <w:sz w:val="12"/>
                <w:szCs w:val="12"/>
                <w:b w:val="1"/>
                <w:bCs w:val="1"/>
                <w:color w:val="auto"/>
              </w:rPr>
              <w:t>(1)</w:t>
            </w:r>
            <w:r>
              <w:rPr>
                <w:rFonts w:ascii="Arial" w:cs="Arial" w:eastAsia="Arial" w:hAnsi="Arial"/>
                <w:sz w:val="14"/>
                <w:szCs w:val="14"/>
                <w:b w:val="1"/>
                <w:bCs w:val="1"/>
                <w:color w:val="auto"/>
              </w:rPr>
              <w:t>, Maturity</w:t>
            </w:r>
          </w:p>
        </w:tc>
        <w:tc>
          <w:tcPr>
            <w:tcW w:w="5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46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88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US Med Acquisition, Inc.</w:t>
            </w:r>
          </w:p>
        </w:tc>
        <w:tc>
          <w:tcPr>
            <w:tcW w:w="194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Healthcare and</w:t>
            </w:r>
          </w:p>
        </w:tc>
        <w:tc>
          <w:tcPr>
            <w:tcW w:w="500" w:type="dxa"/>
            <w:vAlign w:val="bottom"/>
            <w:tcBorders>
              <w:top w:val="single" w:sz="8" w:color="CCEEFF"/>
            </w:tcBorders>
            <w:shd w:val="clear" w:color="auto" w:fill="CCEEFF"/>
          </w:tcPr>
          <w:p>
            <w:pPr>
              <w:spacing w:after="0"/>
              <w:rPr>
                <w:sz w:val="15"/>
                <w:szCs w:val="15"/>
                <w:color w:val="auto"/>
              </w:rPr>
            </w:pPr>
          </w:p>
        </w:tc>
        <w:tc>
          <w:tcPr>
            <w:tcW w:w="20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0"/>
              </w:rPr>
              <w:t>First Lien Secured Debt,</w:t>
            </w:r>
          </w:p>
        </w:tc>
        <w:tc>
          <w:tcPr>
            <w:tcW w:w="5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3,090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8260 NW 27th Street, Suite 401</w:t>
            </w:r>
          </w:p>
        </w:tc>
        <w:tc>
          <w:tcPr>
            <w:tcW w:w="2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8"/>
              </w:rPr>
              <w:t>Pharmaceuticals</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L+900, 08/13/2021</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Doral, FL 33122</w:t>
            </w: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40" w:type="dxa"/>
            <w:vAlign w:val="bottom"/>
            <w:gridSpan w:val="4"/>
          </w:tcPr>
          <w:p>
            <w:pPr>
              <w:spacing w:after="0"/>
              <w:rPr>
                <w:sz w:val="20"/>
                <w:szCs w:val="20"/>
                <w:color w:val="auto"/>
              </w:rPr>
            </w:pPr>
            <w:r>
              <w:rPr>
                <w:rFonts w:ascii="Arial" w:cs="Arial" w:eastAsia="Arial" w:hAnsi="Arial"/>
                <w:sz w:val="18"/>
                <w:szCs w:val="18"/>
                <w:color w:val="auto"/>
              </w:rPr>
              <w:t>Vestcom Parent Holdings, Inc.</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Media: Advertising,</w:t>
            </w:r>
          </w:p>
        </w:tc>
        <w:tc>
          <w:tcPr>
            <w:tcW w:w="2040" w:type="dxa"/>
            <w:vAlign w:val="bottom"/>
          </w:tcPr>
          <w:p>
            <w:pPr>
              <w:jc w:val="center"/>
              <w:spacing w:after="0"/>
              <w:rPr>
                <w:sz w:val="20"/>
                <w:szCs w:val="20"/>
                <w:color w:val="auto"/>
              </w:rPr>
            </w:pPr>
            <w:r>
              <w:rPr>
                <w:rFonts w:ascii="Arial" w:cs="Arial" w:eastAsia="Arial" w:hAnsi="Arial"/>
                <w:sz w:val="18"/>
                <w:szCs w:val="18"/>
                <w:color w:val="auto"/>
                <w:w w:val="93"/>
              </w:rPr>
              <w:t>Common Equity</w:t>
            </w:r>
          </w:p>
        </w:tc>
        <w:tc>
          <w:tcPr>
            <w:tcW w:w="1620" w:type="dxa"/>
            <w:vAlign w:val="bottom"/>
            <w:gridSpan w:val="2"/>
          </w:tcPr>
          <w:p>
            <w:pPr>
              <w:jc w:val="right"/>
              <w:ind w:right="213"/>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center"/>
              <w:ind w:left="533"/>
              <w:spacing w:after="0"/>
              <w:rPr>
                <w:sz w:val="20"/>
                <w:szCs w:val="20"/>
                <w:color w:val="auto"/>
              </w:rPr>
            </w:pPr>
            <w:r>
              <w:rPr>
                <w:rFonts w:ascii="Arial" w:cs="Arial" w:eastAsia="Arial" w:hAnsi="Arial"/>
                <w:sz w:val="18"/>
                <w:szCs w:val="18"/>
                <w:color w:val="auto"/>
                <w:w w:val="86"/>
              </w:rPr>
              <w:t>577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7302 Kanis Road</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Printing and</w:t>
            </w:r>
          </w:p>
        </w:tc>
        <w:tc>
          <w:tcPr>
            <w:tcW w:w="2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Little Rock, AR 72204</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Publishing</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Vistage Worldwide, Inc.</w:t>
            </w:r>
          </w:p>
        </w:tc>
        <w:tc>
          <w:tcPr>
            <w:tcW w:w="2080" w:type="dxa"/>
            <w:vAlign w:val="bottom"/>
            <w:gridSpan w:val="2"/>
            <w:shd w:val="clear" w:color="auto" w:fill="CCEEFF"/>
          </w:tcPr>
          <w:p>
            <w:pPr>
              <w:jc w:val="center"/>
              <w:ind w:right="460"/>
              <w:spacing w:after="0" w:line="201" w:lineRule="exact"/>
              <w:rPr>
                <w:sz w:val="20"/>
                <w:szCs w:val="20"/>
                <w:color w:val="auto"/>
              </w:rPr>
            </w:pPr>
            <w:r>
              <w:rPr>
                <w:rFonts w:ascii="Arial" w:cs="Arial" w:eastAsia="Arial" w:hAnsi="Arial"/>
                <w:sz w:val="18"/>
                <w:szCs w:val="18"/>
                <w:color w:val="auto"/>
                <w:w w:val="91"/>
              </w:rPr>
              <w:t>Media: Broadcasting</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First Lien Secured Debt,</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center"/>
              <w:ind w:left="513"/>
              <w:spacing w:after="0" w:line="201" w:lineRule="exact"/>
              <w:rPr>
                <w:sz w:val="20"/>
                <w:szCs w:val="20"/>
                <w:color w:val="auto"/>
              </w:rPr>
            </w:pPr>
            <w:r>
              <w:rPr>
                <w:rFonts w:ascii="Arial" w:cs="Arial" w:eastAsia="Arial" w:hAnsi="Arial"/>
                <w:sz w:val="18"/>
                <w:szCs w:val="18"/>
                <w:color w:val="auto"/>
                <w:w w:val="88"/>
              </w:rPr>
              <w:t>4,793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11452 El Camino Real, Suite 400</w:t>
            </w:r>
          </w:p>
        </w:tc>
        <w:tc>
          <w:tcPr>
            <w:tcW w:w="2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0"/>
              </w:rPr>
              <w:t>and Subscription</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L+550, 08/19/2021</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San Diego, CA 92130</w:t>
            </w: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40" w:type="dxa"/>
            <w:vAlign w:val="bottom"/>
            <w:gridSpan w:val="4"/>
          </w:tcPr>
          <w:p>
            <w:pPr>
              <w:spacing w:after="0"/>
              <w:rPr>
                <w:sz w:val="20"/>
                <w:szCs w:val="20"/>
                <w:color w:val="auto"/>
              </w:rPr>
            </w:pPr>
            <w:r>
              <w:rPr>
                <w:rFonts w:ascii="Arial" w:cs="Arial" w:eastAsia="Arial" w:hAnsi="Arial"/>
                <w:sz w:val="18"/>
                <w:szCs w:val="18"/>
                <w:color w:val="auto"/>
              </w:rPr>
              <w:t>VT Buyer Acquisition Corp.</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Business Services</w:t>
            </w: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Second Lien Secured Debt,</w:t>
            </w:r>
          </w:p>
        </w:tc>
        <w:tc>
          <w:tcPr>
            <w:tcW w:w="5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center"/>
              <w:ind w:left="513"/>
              <w:spacing w:after="0"/>
              <w:rPr>
                <w:sz w:val="20"/>
                <w:szCs w:val="20"/>
                <w:color w:val="auto"/>
              </w:rPr>
            </w:pPr>
            <w:r>
              <w:rPr>
                <w:rFonts w:ascii="Arial" w:cs="Arial" w:eastAsia="Arial" w:hAnsi="Arial"/>
                <w:sz w:val="18"/>
                <w:szCs w:val="18"/>
                <w:color w:val="auto"/>
                <w:w w:val="88"/>
              </w:rPr>
              <w:t>1,838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290 West Mount Pleasant Avenue, Suite 3200</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L+975, 01/30/2023</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4"/>
          </w:tcPr>
          <w:p>
            <w:pPr>
              <w:spacing w:after="0"/>
              <w:rPr>
                <w:sz w:val="20"/>
                <w:szCs w:val="20"/>
                <w:color w:val="auto"/>
              </w:rPr>
            </w:pPr>
            <w:r>
              <w:rPr>
                <w:rFonts w:ascii="Arial" w:cs="Arial" w:eastAsia="Arial" w:hAnsi="Arial"/>
                <w:sz w:val="18"/>
                <w:szCs w:val="18"/>
                <w:color w:val="auto"/>
              </w:rPr>
              <w:t>Livingston, NJ 07039</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Winchester Electronics Corporation</w:t>
            </w:r>
          </w:p>
        </w:tc>
        <w:tc>
          <w:tcPr>
            <w:tcW w:w="2080" w:type="dxa"/>
            <w:vAlign w:val="bottom"/>
            <w:gridSpan w:val="2"/>
            <w:shd w:val="clear" w:color="auto" w:fill="CCEEFF"/>
          </w:tcPr>
          <w:p>
            <w:pPr>
              <w:jc w:val="center"/>
              <w:ind w:right="460"/>
              <w:spacing w:after="0" w:line="201" w:lineRule="exact"/>
              <w:rPr>
                <w:sz w:val="20"/>
                <w:szCs w:val="20"/>
                <w:color w:val="auto"/>
              </w:rPr>
            </w:pPr>
            <w:r>
              <w:rPr>
                <w:rFonts w:ascii="Arial" w:cs="Arial" w:eastAsia="Arial" w:hAnsi="Arial"/>
                <w:sz w:val="18"/>
                <w:szCs w:val="18"/>
                <w:color w:val="auto"/>
                <w:w w:val="91"/>
              </w:rPr>
              <w:t>Capital Equipment</w:t>
            </w:r>
          </w:p>
        </w:tc>
        <w:tc>
          <w:tcPr>
            <w:tcW w:w="2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First Lien Secured Debt</w:t>
            </w:r>
            <w:r>
              <w:rPr>
                <w:rFonts w:ascii="Arial" w:cs="Arial" w:eastAsia="Arial" w:hAnsi="Arial"/>
                <w:sz w:val="15"/>
                <w:szCs w:val="15"/>
                <w:color w:val="auto"/>
                <w:w w:val="92"/>
              </w:rPr>
              <w:t>(4)</w:t>
            </w:r>
            <w:r>
              <w:rPr>
                <w:rFonts w:ascii="Arial" w:cs="Arial" w:eastAsia="Arial" w:hAnsi="Arial"/>
                <w:sz w:val="18"/>
                <w:szCs w:val="18"/>
                <w:color w:val="auto"/>
                <w:w w:val="92"/>
              </w:rPr>
              <w:t>,</w:t>
            </w: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center"/>
              <w:ind w:left="513"/>
              <w:spacing w:after="0" w:line="201" w:lineRule="exact"/>
              <w:rPr>
                <w:sz w:val="20"/>
                <w:szCs w:val="20"/>
                <w:color w:val="auto"/>
              </w:rPr>
            </w:pPr>
            <w:r>
              <w:rPr>
                <w:rFonts w:ascii="Arial" w:cs="Arial" w:eastAsia="Arial" w:hAnsi="Arial"/>
                <w:sz w:val="18"/>
                <w:szCs w:val="18"/>
                <w:color w:val="auto"/>
                <w:w w:val="88"/>
              </w:rPr>
              <w:t>7,659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68 Water Street</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L+650, 06/30/2022</w:t>
            </w: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Norwalk, CT 06854</w:t>
            </w:r>
          </w:p>
        </w:tc>
        <w:tc>
          <w:tcPr>
            <w:tcW w:w="15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40" w:type="dxa"/>
            <w:vAlign w:val="bottom"/>
            <w:gridSpan w:val="4"/>
          </w:tcPr>
          <w:p>
            <w:pPr>
              <w:spacing w:after="0"/>
              <w:rPr>
                <w:sz w:val="20"/>
                <w:szCs w:val="20"/>
                <w:color w:val="auto"/>
              </w:rPr>
            </w:pPr>
            <w:r>
              <w:rPr>
                <w:rFonts w:ascii="Arial" w:cs="Arial" w:eastAsia="Arial" w:hAnsi="Arial"/>
                <w:sz w:val="18"/>
                <w:szCs w:val="18"/>
                <w:color w:val="auto"/>
              </w:rPr>
              <w:t>Worley Claims Services, LLC</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Banking, Finance,</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First Lien Secured Debt,</w:t>
            </w:r>
          </w:p>
        </w:tc>
        <w:tc>
          <w:tcPr>
            <w:tcW w:w="5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center"/>
              <w:ind w:left="513"/>
              <w:spacing w:after="0"/>
              <w:rPr>
                <w:sz w:val="20"/>
                <w:szCs w:val="20"/>
                <w:color w:val="auto"/>
              </w:rPr>
            </w:pPr>
            <w:r>
              <w:rPr>
                <w:rFonts w:ascii="Arial" w:cs="Arial" w:eastAsia="Arial" w:hAnsi="Arial"/>
                <w:sz w:val="18"/>
                <w:szCs w:val="18"/>
                <w:color w:val="auto"/>
                <w:w w:val="88"/>
              </w:rPr>
              <w:t>7,316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840" w:type="dxa"/>
            <w:vAlign w:val="bottom"/>
            <w:gridSpan w:val="4"/>
          </w:tcPr>
          <w:p>
            <w:pPr>
              <w:spacing w:after="0"/>
              <w:rPr>
                <w:sz w:val="20"/>
                <w:szCs w:val="20"/>
                <w:color w:val="auto"/>
              </w:rPr>
            </w:pPr>
            <w:r>
              <w:rPr>
                <w:rFonts w:ascii="Arial" w:cs="Arial" w:eastAsia="Arial" w:hAnsi="Arial"/>
                <w:sz w:val="18"/>
                <w:szCs w:val="18"/>
                <w:color w:val="auto"/>
              </w:rPr>
              <w:t>303 Timber Creek</w:t>
            </w:r>
          </w:p>
        </w:tc>
        <w:tc>
          <w:tcPr>
            <w:tcW w:w="208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Insurance and Real</w:t>
            </w: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L+800, 10/30/2020</w:t>
            </w: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gridSpan w:val="4"/>
          </w:tcPr>
          <w:p>
            <w:pPr>
              <w:spacing w:after="0"/>
              <w:rPr>
                <w:sz w:val="20"/>
                <w:szCs w:val="20"/>
                <w:color w:val="auto"/>
              </w:rPr>
            </w:pPr>
            <w:r>
              <w:rPr>
                <w:rFonts w:ascii="Arial" w:cs="Arial" w:eastAsia="Arial" w:hAnsi="Arial"/>
                <w:sz w:val="18"/>
                <w:szCs w:val="18"/>
                <w:color w:val="auto"/>
              </w:rPr>
              <w:t>Hammond, LA 70403</w:t>
            </w:r>
          </w:p>
        </w:tc>
        <w:tc>
          <w:tcPr>
            <w:tcW w:w="208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Estate</w:t>
            </w:r>
          </w:p>
        </w:tc>
        <w:tc>
          <w:tcPr>
            <w:tcW w:w="2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rPr>
              <w:t>$  598,888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80" w:hanging="436"/>
        <w:spacing w:after="0" w:line="254"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basis point spread above index for floating rate instruments, or fixed rate for instruments if no index is indicated,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Voting ownership percentage refers only to common equity, preferred equity and warrants held, if any, were we to have voting rights.</w:t>
      </w:r>
    </w:p>
    <w:p>
      <w:pPr>
        <w:spacing w:after="0" w:line="9" w:lineRule="exact"/>
        <w:rPr>
          <w:rFonts w:ascii="Arial" w:cs="Arial" w:eastAsia="Arial" w:hAnsi="Arial"/>
          <w:sz w:val="18"/>
          <w:szCs w:val="18"/>
          <w:color w:val="auto"/>
        </w:rPr>
      </w:pPr>
    </w:p>
    <w:p>
      <w:pPr>
        <w:ind w:left="640" w:right="620" w:hanging="436"/>
        <w:spacing w:after="0" w:line="265"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640" w:right="2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Coupon is not subject to a LIBOR or Prime rate floor.</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60" w:right="4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72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660" w:type="dxa"/>
            <w:vAlign w:val="bottom"/>
            <w:gridSpan w:val="3"/>
            <w:vMerge w:val="continue"/>
          </w:tcPr>
          <w:p>
            <w:pPr>
              <w:spacing w:after="0"/>
              <w:rPr>
                <w:sz w:val="12"/>
                <w:szCs w:val="12"/>
                <w:color w:val="auto"/>
              </w:rPr>
            </w:pPr>
          </w:p>
        </w:tc>
        <w:tc>
          <w:tcPr>
            <w:tcW w:w="27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27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2260" w:type="dxa"/>
            <w:vAlign w:val="bottom"/>
            <w:vMerge w:val="continue"/>
            <w:shd w:val="clear" w:color="auto" w:fill="CCEEFF"/>
          </w:tcPr>
          <w:p>
            <w:pPr>
              <w:spacing w:after="0"/>
              <w:rPr>
                <w:sz w:val="18"/>
                <w:szCs w:val="18"/>
                <w:color w:val="auto"/>
              </w:rPr>
            </w:pPr>
          </w:p>
        </w:tc>
        <w:tc>
          <w:tcPr>
            <w:tcW w:w="27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7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3"/>
          </w:tcPr>
          <w:p>
            <w:pPr>
              <w:spacing w:after="0"/>
              <w:rPr>
                <w:sz w:val="20"/>
                <w:szCs w:val="20"/>
                <w:color w:val="auto"/>
              </w:rPr>
            </w:pPr>
            <w:r>
              <w:rPr>
                <w:rFonts w:ascii="Arial" w:cs="Arial" w:eastAsia="Arial" w:hAnsi="Arial"/>
                <w:sz w:val="18"/>
                <w:szCs w:val="18"/>
                <w:color w:val="auto"/>
              </w:rPr>
              <w:t>Total</w:t>
            </w:r>
          </w:p>
        </w:tc>
        <w:tc>
          <w:tcPr>
            <w:tcW w:w="2720" w:type="dxa"/>
            <w:vAlign w:val="bottom"/>
          </w:tcPr>
          <w:p>
            <w:pPr>
              <w:spacing w:after="0"/>
              <w:rPr>
                <w:sz w:val="19"/>
                <w:szCs w:val="19"/>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720" w:type="dxa"/>
            <w:vAlign w:val="bottom"/>
            <w:vMerge w:val="restart"/>
          </w:tcPr>
          <w:p>
            <w:pPr>
              <w:jc w:val="right"/>
              <w:ind w:right="2010"/>
              <w:spacing w:after="0"/>
              <w:rPr>
                <w:sz w:val="20"/>
                <w:szCs w:val="20"/>
                <w:color w:val="auto"/>
              </w:rPr>
            </w:pPr>
            <w:r>
              <w:rPr>
                <w:rFonts w:ascii="Arial" w:cs="Arial" w:eastAsia="Arial" w:hAnsi="Arial"/>
                <w:sz w:val="18"/>
                <w:szCs w:val="18"/>
                <w:color w:val="auto"/>
              </w:rPr>
              <w:t>85</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business and affairs are managed under the direction of our board of directors. The board of directors currently consists of five members, or directors,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Under our charter, our directors are divided into three classes and are elected for staggered terms of three years each, with a term of office of one of the three classes of directors expiring each year. Each director holds office for the term to which he or she is elected and until his or her successor is duly elected and qualifies.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Age</w:t>
            </w:r>
          </w:p>
        </w:tc>
        <w:tc>
          <w:tcPr>
            <w:tcW w:w="4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Position</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Director</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36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48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Since</w:t>
            </w:r>
          </w:p>
        </w:tc>
        <w:tc>
          <w:tcPr>
            <w:tcW w:w="3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Adam K. Bernstein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Jeffrey Flug</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Chairman of the Board and Chief Executive Officer</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Position</w:t>
            </w:r>
          </w:p>
        </w:tc>
      </w:tr>
      <w:tr>
        <w:trPr>
          <w:trHeight w:val="223"/>
        </w:trPr>
        <w:tc>
          <w:tcPr>
            <w:tcW w:w="20" w:type="dxa"/>
            <w:vAlign w:val="bottom"/>
          </w:tcPr>
          <w:p>
            <w:pPr>
              <w:spacing w:after="0"/>
              <w:rPr>
                <w:sz w:val="19"/>
                <w:szCs w:val="19"/>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2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address for each director and executive officer is c/o PennantPark Floating Rate Capital Ltd., 590 Madison Avenue, 15th Floor, New York, New York 10022.</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greater efficiencies in managing us by eliminating the need to transfer substantial information quickly and repeatedly between the Chief Executive Officer and the Chairman and by offering the ability to capitalize on</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79"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ratio set forth in the 1940 Act (including any relief thereto provided by the SEC),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able to exercise their oversight responsibilities without any conflict of interest that might discourage critical questioning and review. Through regular executive session meetings with our independent public accounting firm,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specific experiences, qualifications, attributes and/or skills that each director possesses and, which the board of directors considered to be an effective director. Our directors have been divided into two groups-interested directors and Independent Directors. Interested directors are “interested persons” as defined in the 1940 Act.</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Adam K. Bernstein (53), Director. Mr. Bernstein became a Director of PennantPark Floating Rate Capital Ltd. and PennantPark Investment Corporation in October 2010 and February 2007, respectively.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9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Marshall Brozost (49), Director. Mr. Brozost became a Director of PennantPark Floating Rate Capital Ltd. and PennantPark Investment Corporation in October 2010 and February 2007, respectively. Since July 2016, Mr. Brozost has been a Partner at Orrick, Herrington &amp; Sutcliffe LLP, where he practices in the real estate and private equity groups. Prior to Orrick, Herrington &amp; Sutcliffe LLP, Mr. Brozost practiced law at O’Melveny &amp; Myers LLP from 2001 to 2004; Solomon &amp; Weinberg LLP from 2004 to 2005; Dewey &amp; LeBoeuf LLP from 2005 to 2012; Schulte Roth &amp; Zabel, LLP from 2012 to 2016. Mr. Brozost also served as a Vice President of Nomura Asset Capital Corporation from 1997 through 2000.</w:t>
      </w:r>
    </w:p>
    <w:p>
      <w:pPr>
        <w:spacing w:after="0" w:line="15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Jeffrey Flug (54), Director. Mr. Flug became a Director of PennantPark Floating Rate Capital Ltd. and PennantPark Investment Corporation in October 2010 and February 2007, respectively.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6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Samuel L. Katz (51), Director. Mr. Katz became a Director of PennantPark Floating Rate Capital Ltd. and PennantPark Investment Corporation in October 2010 and February 2007, respectively. Mr. Katz is the Managing</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60"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Arthur H. Penn (53), Founder, Chief Executive Officer and Chairman of the board of directors. Mr. Penn became the Chief Executive Officer and a Director of PennantPark Floating Rate Capital Ltd. and PennantPark Investment Corporation at their inception in 2010 and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Aviv Efrat (52),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Guy F. Talarico (61), Chief Compliance Officer. Mr. Talarico became the Chief Compliance Officer of PennantPark Floating Rate Capital Ltd. and PennantPark Investment Corporation in March 2011 and May 2008, respectively. Mr. Talarico has held the position of Chief Compliance Officer for a number of investment advisers, private funds and investment companies from 2004 when he founded Alaric Compliance Services, LLC.</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the fiscal year ended September 30, 2016, we held five board of directors’ meetings, four Audit Committee meetings, one Nominating and Corporate Governance Committee Meeting and one Compensation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stockholders’ meeting. For the fiscal year ended September 30, 2016, four of the directors attended the annual stockholders’ meeting.</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our board of directors in fair valuing our portfolio securities that are not publicly traded or for which current market values are not readily available.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w:t>
      </w:r>
    </w:p>
    <w:p>
      <w:pPr>
        <w:ind w:left="200" w:right="60"/>
        <w:spacing w:after="0" w:line="252" w:lineRule="auto"/>
        <w:rPr>
          <w:sz w:val="20"/>
          <w:szCs w:val="20"/>
          <w:color w:val="auto"/>
        </w:rPr>
      </w:pPr>
      <w:r>
        <w:rPr>
          <w:rFonts w:ascii="Arial" w:cs="Arial" w:eastAsia="Arial" w:hAnsi="Arial"/>
          <w:sz w:val="18"/>
          <w:szCs w:val="18"/>
          <w:color w:val="auto"/>
        </w:rPr>
        <w:t>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94"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of the Company, taking into account our needs and such factors as the individual’s experience, perspective, skills and knowledge of the industry in which we operate. The Nominating and Corporate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independent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2016. No compensation is paid directly by us to any interested director or executive officer of the Company.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6"/>
              </w:rPr>
              <w:t>PennantPark Floating Rate Capital Ltd.</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w w:val="94"/>
              </w:rPr>
              <w:t>PennantPark Investment Corporation</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89"/>
              </w:rPr>
              <w:t>Aggregate</w:t>
            </w:r>
          </w:p>
        </w:tc>
        <w:tc>
          <w:tcPr>
            <w:tcW w:w="3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Pension or</w:t>
            </w: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2"/>
              </w:rPr>
              <w:t>Aggregate</w:t>
            </w:r>
          </w:p>
        </w:tc>
        <w:tc>
          <w:tcPr>
            <w:tcW w:w="38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Pension or</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700" w:type="dxa"/>
            <w:vAlign w:val="bottom"/>
            <w:gridSpan w:val="3"/>
          </w:tcPr>
          <w:p>
            <w:pPr>
              <w:ind w:left="84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360" w:type="dxa"/>
            <w:vAlign w:val="bottom"/>
          </w:tcPr>
          <w:p>
            <w:pPr>
              <w:spacing w:after="0"/>
              <w:rPr>
                <w:sz w:val="12"/>
                <w:szCs w:val="12"/>
                <w:color w:val="auto"/>
              </w:rPr>
            </w:pPr>
          </w:p>
        </w:tc>
        <w:tc>
          <w:tcPr>
            <w:tcW w:w="9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Total paid to</w:t>
            </w:r>
          </w:p>
        </w:tc>
        <w:tc>
          <w:tcPr>
            <w:tcW w:w="120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380" w:type="dxa"/>
            <w:vAlign w:val="bottom"/>
          </w:tcPr>
          <w:p>
            <w:pPr>
              <w:spacing w:after="0"/>
              <w:rPr>
                <w:sz w:val="12"/>
                <w:szCs w:val="12"/>
                <w:color w:val="auto"/>
              </w:rPr>
            </w:pPr>
          </w:p>
        </w:tc>
        <w:tc>
          <w:tcPr>
            <w:tcW w:w="10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8"/>
              </w:rPr>
              <w:t>Total paid to</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from the</w:t>
            </w:r>
          </w:p>
        </w:tc>
        <w:tc>
          <w:tcPr>
            <w:tcW w:w="3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accrued as part</w:t>
            </w:r>
          </w:p>
        </w:tc>
        <w:tc>
          <w:tcPr>
            <w:tcW w:w="3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from the</w:t>
            </w:r>
          </w:p>
        </w:tc>
        <w:tc>
          <w:tcPr>
            <w:tcW w:w="3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accrued as part</w:t>
            </w: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Company</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320" w:type="dxa"/>
            <w:vAlign w:val="bottom"/>
            <w:gridSpan w:val="3"/>
          </w:tcPr>
          <w:p>
            <w:pPr>
              <w:ind w:left="360"/>
              <w:spacing w:after="0"/>
              <w:rPr>
                <w:sz w:val="20"/>
                <w:szCs w:val="20"/>
                <w:color w:val="auto"/>
              </w:rPr>
            </w:pPr>
            <w:r>
              <w:rPr>
                <w:rFonts w:ascii="Arial" w:cs="Arial" w:eastAsia="Arial" w:hAnsi="Arial"/>
                <w:sz w:val="14"/>
                <w:szCs w:val="14"/>
                <w:b w:val="1"/>
                <w:bCs w:val="1"/>
                <w:color w:val="auto"/>
                <w:w w:val="95"/>
              </w:rPr>
              <w:t>director/officer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Company</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our expense</w:t>
            </w:r>
            <w:r>
              <w:rPr>
                <w:rFonts w:ascii="Arial" w:cs="Arial" w:eastAsia="Arial" w:hAnsi="Arial"/>
                <w:sz w:val="12"/>
                <w:szCs w:val="12"/>
                <w:b w:val="1"/>
                <w:bCs w:val="1"/>
                <w:color w:val="auto"/>
              </w:rPr>
              <w:t>(1)</w:t>
            </w:r>
          </w:p>
        </w:tc>
        <w:tc>
          <w:tcPr>
            <w:tcW w:w="1380" w:type="dxa"/>
            <w:vAlign w:val="bottom"/>
            <w:gridSpan w:val="3"/>
          </w:tcPr>
          <w:p>
            <w:pPr>
              <w:ind w:left="380"/>
              <w:spacing w:after="0"/>
              <w:rPr>
                <w:sz w:val="20"/>
                <w:szCs w:val="20"/>
                <w:color w:val="auto"/>
              </w:rPr>
            </w:pPr>
            <w:r>
              <w:rPr>
                <w:rFonts w:ascii="Arial" w:cs="Arial" w:eastAsia="Arial" w:hAnsi="Arial"/>
                <w:sz w:val="14"/>
                <w:szCs w:val="14"/>
                <w:b w:val="1"/>
                <w:bCs w:val="1"/>
                <w:color w:val="auto"/>
                <w:w w:val="97"/>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Adam K. Bernstein</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61,250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61,250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122,500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61,250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63,750</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63,750</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132,500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63,750</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$2,500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liability insurance on behalf of our directors and officers and indemnify such persons against certain losses.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2016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Entity</w:t>
            </w:r>
          </w:p>
        </w:tc>
        <w:tc>
          <w:tcPr>
            <w:tcW w:w="40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Investment Focus</w:t>
            </w:r>
          </w:p>
        </w:tc>
        <w:tc>
          <w:tcPr>
            <w:tcW w:w="3060" w:type="dxa"/>
            <w:vAlign w:val="bottom"/>
          </w:tcPr>
          <w:p>
            <w:pPr>
              <w:ind w:left="2220"/>
              <w:spacing w:after="0"/>
              <w:rPr>
                <w:sz w:val="20"/>
                <w:szCs w:val="20"/>
                <w:color w:val="auto"/>
              </w:rPr>
            </w:pPr>
            <w:r>
              <w:rPr>
                <w:rFonts w:ascii="Arial" w:cs="Arial" w:eastAsia="Arial" w:hAnsi="Arial"/>
                <w:sz w:val="14"/>
                <w:szCs w:val="14"/>
                <w:b w:val="1"/>
                <w:bCs w:val="1"/>
                <w:color w:val="auto"/>
                <w:w w:val="90"/>
              </w:rPr>
              <w:t>Gross Assets</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4080" w:type="dxa"/>
            <w:vAlign w:val="bottom"/>
            <w:vMerge w:val="continue"/>
          </w:tcPr>
          <w:p>
            <w:pPr>
              <w:spacing w:after="0"/>
              <w:rPr>
                <w:sz w:val="14"/>
                <w:szCs w:val="14"/>
                <w:color w:val="auto"/>
              </w:rPr>
            </w:pPr>
          </w:p>
        </w:tc>
        <w:tc>
          <w:tcPr>
            <w:tcW w:w="3060" w:type="dxa"/>
            <w:vAlign w:val="bottom"/>
          </w:tcPr>
          <w:p>
            <w:pPr>
              <w:ind w:left="222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6997700" cy="291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7700" cy="291465"/>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175"/>
        </w:trPr>
        <w:tc>
          <w:tcPr>
            <w:tcW w:w="2640" w:type="dxa"/>
            <w:vAlign w:val="bottom"/>
            <w:gridSpan w:val="3"/>
          </w:tcPr>
          <w:p>
            <w:pPr>
              <w:spacing w:after="0" w:line="176" w:lineRule="exact"/>
              <w:rPr>
                <w:sz w:val="20"/>
                <w:szCs w:val="20"/>
                <w:color w:val="auto"/>
              </w:rPr>
            </w:pPr>
            <w:r>
              <w:rPr>
                <w:rFonts w:ascii="Arial" w:cs="Arial" w:eastAsia="Arial" w:hAnsi="Arial"/>
                <w:sz w:val="18"/>
                <w:szCs w:val="18"/>
                <w:color w:val="auto"/>
              </w:rPr>
              <w:t>PennantPark Investment</w:t>
            </w:r>
          </w:p>
        </w:tc>
        <w:tc>
          <w:tcPr>
            <w:tcW w:w="1640" w:type="dxa"/>
            <w:vAlign w:val="bottom"/>
          </w:tcPr>
          <w:p>
            <w:pPr>
              <w:spacing w:after="0" w:line="176" w:lineRule="exact"/>
              <w:rPr>
                <w:sz w:val="20"/>
                <w:szCs w:val="20"/>
                <w:color w:val="auto"/>
              </w:rPr>
            </w:pPr>
            <w:r>
              <w:rPr>
                <w:rFonts w:ascii="Arial" w:cs="Arial" w:eastAsia="Arial" w:hAnsi="Arial"/>
                <w:sz w:val="18"/>
                <w:szCs w:val="18"/>
                <w:color w:val="auto"/>
                <w:w w:val="89"/>
              </w:rPr>
              <w:t>Business development</w:t>
            </w:r>
          </w:p>
        </w:tc>
      </w:tr>
      <w:tr>
        <w:trPr>
          <w:trHeight w:val="230"/>
        </w:trPr>
        <w:tc>
          <w:tcPr>
            <w:tcW w:w="20" w:type="dxa"/>
            <w:vAlign w:val="bottom"/>
          </w:tcPr>
          <w:p>
            <w:pPr>
              <w:spacing w:after="0"/>
              <w:rPr>
                <w:sz w:val="19"/>
                <w:szCs w:val="19"/>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Corporation</w:t>
            </w:r>
          </w:p>
        </w:tc>
        <w:tc>
          <w:tcPr>
            <w:tcW w:w="1640" w:type="dxa"/>
            <w:vAlign w:val="bottom"/>
          </w:tcPr>
          <w:p>
            <w:pPr>
              <w:spacing w:after="0"/>
              <w:rPr>
                <w:sz w:val="20"/>
                <w:szCs w:val="20"/>
                <w:color w:val="auto"/>
              </w:rPr>
            </w:pPr>
            <w:r>
              <w:rPr>
                <w:rFonts w:ascii="Arial" w:cs="Arial" w:eastAsia="Arial" w:hAnsi="Arial"/>
                <w:sz w:val="18"/>
                <w:szCs w:val="18"/>
                <w:color w:val="auto"/>
              </w:rPr>
              <w:t>company</w:t>
            </w: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Other Managed Fund</w:t>
            </w:r>
          </w:p>
        </w:tc>
        <w:tc>
          <w:tcPr>
            <w:tcW w:w="1640" w:type="dxa"/>
            <w:vAlign w:val="bottom"/>
          </w:tcPr>
          <w:p>
            <w:pPr>
              <w:spacing w:after="0"/>
              <w:rPr>
                <w:sz w:val="20"/>
                <w:szCs w:val="20"/>
                <w:color w:val="auto"/>
              </w:rPr>
            </w:pPr>
            <w:r>
              <w:rPr>
                <w:rFonts w:ascii="Arial" w:cs="Arial" w:eastAsia="Arial" w:hAnsi="Arial"/>
                <w:sz w:val="18"/>
                <w:szCs w:val="18"/>
                <w:color w:val="auto"/>
                <w:w w:val="99"/>
              </w:rPr>
              <w:t>Direct Lending Fund</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Primarily in U.S. middle-market companies in the form of senior</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secured loans, mezzanine debt and equity investments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1,239</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credit opportunities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r>
    </w:tbl>
    <w:p>
      <w:pPr>
        <w:spacing w:after="0" w:line="200" w:lineRule="exact"/>
        <w:rPr>
          <w:sz w:val="20"/>
          <w:szCs w:val="20"/>
          <w:color w:val="auto"/>
        </w:rPr>
      </w:pPr>
    </w:p>
    <w:p>
      <w:pPr>
        <w:sectPr>
          <w:pgSz w:w="11900" w:h="16838" w:orient="portrait"/>
          <w:cols w:equalWidth="0" w:num="2">
            <w:col w:w="4480" w:space="320"/>
            <w:col w:w="6400"/>
          </w:cols>
          <w:pgMar w:left="240" w:top="459" w:right="459" w:bottom="1440" w:gutter="0" w:footer="0" w:header="0"/>
          <w:type w:val="continuous"/>
        </w:sectPr>
      </w:pPr>
    </w:p>
    <w:p>
      <w:pPr>
        <w:spacing w:after="0" w:line="2" w:lineRule="exact"/>
        <w:rPr>
          <w:sz w:val="20"/>
          <w:szCs w:val="20"/>
          <w:color w:val="auto"/>
        </w:rPr>
      </w:pPr>
    </w:p>
    <w:p>
      <w:pPr>
        <w:ind w:left="200" w:right="860" w:firstLine="441"/>
        <w:spacing w:after="0" w:line="277" w:lineRule="auto"/>
        <w:rPr>
          <w:sz w:val="20"/>
          <w:szCs w:val="20"/>
          <w:color w:val="auto"/>
        </w:rPr>
      </w:pPr>
      <w:r>
        <w:rPr>
          <w:rFonts w:ascii="Arial" w:cs="Arial" w:eastAsia="Arial" w:hAnsi="Arial"/>
          <w:sz w:val="18"/>
          <w:szCs w:val="18"/>
          <w:color w:val="auto"/>
        </w:rPr>
        <w:t>The management and incentive fees payable by PennantPark Investment Corporation are based on the gross assets and performance of PennantPark Investment Corporation,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January 13, 2017, to our knowledge, no person would be deemed to “control” us, as such term is defined in the 1940 Act. Our board of directors consist of an interested director and Independent Directors.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table sets forth, as of January 13, 2017,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1"/>
              </w:rPr>
              <w:t>Shares</w:t>
            </w:r>
          </w:p>
        </w:tc>
        <w:tc>
          <w:tcPr>
            <w:tcW w:w="46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85"/>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840" w:type="dxa"/>
            <w:vAlign w:val="bottom"/>
            <w:gridSpan w:val="3"/>
          </w:tcPr>
          <w:p>
            <w:pPr>
              <w:ind w:left="40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(2)</w:t>
            </w:r>
          </w:p>
        </w:tc>
        <w:tc>
          <w:tcPr>
            <w:tcW w:w="1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owned</w:t>
            </w:r>
          </w:p>
        </w:tc>
        <w:tc>
          <w:tcPr>
            <w:tcW w:w="46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Adam K. Bernstein</w:t>
            </w: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Jeffrey Flug</w:t>
            </w: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120,100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Interested director</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149,209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Executive officer</w:t>
            </w:r>
          </w:p>
        </w:tc>
        <w:tc>
          <w:tcPr>
            <w:tcW w:w="4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Aviv Efrat</w:t>
            </w:r>
          </w:p>
        </w:tc>
        <w:tc>
          <w:tcPr>
            <w:tcW w:w="28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28,750</w:t>
            </w:r>
          </w:p>
        </w:tc>
        <w:tc>
          <w:tcPr>
            <w:tcW w:w="46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04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840" w:type="dxa"/>
            <w:vAlign w:val="bottom"/>
            <w:gridSpan w:val="3"/>
          </w:tcPr>
          <w:p>
            <w:pPr>
              <w:ind w:left="400"/>
              <w:spacing w:after="0"/>
              <w:rPr>
                <w:sz w:val="20"/>
                <w:szCs w:val="20"/>
                <w:color w:val="auto"/>
              </w:rPr>
            </w:pPr>
            <w:r>
              <w:rPr>
                <w:rFonts w:ascii="Arial" w:cs="Arial" w:eastAsia="Arial" w:hAnsi="Arial"/>
                <w:sz w:val="18"/>
                <w:szCs w:val="18"/>
                <w:color w:val="auto"/>
              </w:rPr>
              <w:t>Record/Beneficial</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318,559</w:t>
            </w:r>
          </w:p>
        </w:tc>
        <w:tc>
          <w:tcPr>
            <w:tcW w:w="4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469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4" w:lineRule="exact"/>
        <w:rPr>
          <w:sz w:val="20"/>
          <w:szCs w:val="20"/>
          <w:color w:val="auto"/>
        </w:rPr>
      </w:pPr>
    </w:p>
    <w:p>
      <w:pPr>
        <w:ind w:left="640" w:right="260" w:hanging="436"/>
        <w:spacing w:after="0" w:line="258"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Floating Rate Capital Ltd., 590 Madison Avenue, 15th Floor, New York, New York 10022.</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Mr. Penn is the Managing Member of PennantPark Investment Advisers, LLC and may therefore be deemed to own beneficially the 149,209</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held by PennantPark Investment Advisers, LLC.</w:t>
      </w:r>
    </w:p>
    <w:p>
      <w:pPr>
        <w:spacing w:after="0" w:line="9"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3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and senior investment professionals as of December 31, 2016. Information as to the beneficial ownerships is based on information furnished to us by such persons. We are not part of a “family of investment companies,” as that term is defined in the 1940 Act.</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Dollar Range of the Common Stock of the Companies</w:t>
            </w:r>
            <w:r>
              <w:rPr>
                <w:rFonts w:ascii="Arial" w:cs="Arial" w:eastAsia="Arial" w:hAnsi="Arial"/>
                <w:sz w:val="12"/>
                <w:szCs w:val="12"/>
                <w:b w:val="1"/>
                <w:bCs w:val="1"/>
                <w:color w:val="auto"/>
                <w:w w:val="92"/>
              </w:rPr>
              <w:t>(1)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w:t>
            </w:r>
          </w:p>
        </w:tc>
        <w:tc>
          <w:tcPr>
            <w:tcW w:w="21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PennantPark Floating</w:t>
            </w:r>
          </w:p>
        </w:tc>
        <w:tc>
          <w:tcPr>
            <w:tcW w:w="23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PennantPark Investment</w:t>
            </w:r>
          </w:p>
        </w:tc>
        <w:tc>
          <w:tcPr>
            <w:tcW w:w="20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520" w:type="dxa"/>
            <w:vAlign w:val="bottom"/>
            <w:gridSpan w:val="3"/>
            <w:vMerge w:val="continue"/>
          </w:tcPr>
          <w:p>
            <w:pPr>
              <w:spacing w:after="0"/>
              <w:rPr>
                <w:sz w:val="13"/>
                <w:szCs w:val="13"/>
                <w:color w:val="auto"/>
              </w:rPr>
            </w:pPr>
          </w:p>
        </w:tc>
        <w:tc>
          <w:tcPr>
            <w:tcW w:w="21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Rate Capital Ltd.</w:t>
            </w:r>
          </w:p>
        </w:tc>
        <w:tc>
          <w:tcPr>
            <w:tcW w:w="23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Corporation</w:t>
            </w:r>
          </w:p>
        </w:tc>
        <w:tc>
          <w:tcPr>
            <w:tcW w:w="2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p>
        </w:tc>
        <w:tc>
          <w:tcPr>
            <w:tcW w:w="1900" w:type="dxa"/>
            <w:vAlign w:val="bottom"/>
          </w:tcPr>
          <w:p>
            <w:pPr>
              <w:jc w:val="right"/>
              <w:ind w:right="135"/>
              <w:spacing w:after="0"/>
              <w:rPr>
                <w:sz w:val="20"/>
                <w:szCs w:val="20"/>
                <w:color w:val="auto"/>
              </w:rPr>
            </w:pPr>
            <w:r>
              <w:rPr>
                <w:rFonts w:ascii="Arial" w:cs="Arial" w:eastAsia="Arial" w:hAnsi="Arial"/>
                <w:sz w:val="18"/>
                <w:szCs w:val="18"/>
                <w:color w:val="auto"/>
              </w:rPr>
              <w:t>$50,001 - $100,000</w:t>
            </w:r>
          </w:p>
        </w:tc>
        <w:tc>
          <w:tcPr>
            <w:tcW w:w="2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8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None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Jeffrey Flug</w:t>
            </w:r>
          </w:p>
        </w:tc>
        <w:tc>
          <w:tcPr>
            <w:tcW w:w="1900" w:type="dxa"/>
            <w:vAlign w:val="bottom"/>
          </w:tcPr>
          <w:p>
            <w:pPr>
              <w:jc w:val="right"/>
              <w:ind w:right="95"/>
              <w:spacing w:after="0"/>
              <w:rPr>
                <w:sz w:val="20"/>
                <w:szCs w:val="20"/>
                <w:color w:val="auto"/>
              </w:rPr>
            </w:pPr>
            <w:r>
              <w:rPr>
                <w:rFonts w:ascii="Arial" w:cs="Arial" w:eastAsia="Arial" w:hAnsi="Arial"/>
                <w:sz w:val="18"/>
                <w:szCs w:val="18"/>
                <w:color w:val="auto"/>
              </w:rPr>
              <w:t>$100,001 - $500,000</w:t>
            </w:r>
          </w:p>
        </w:tc>
        <w:tc>
          <w:tcPr>
            <w:tcW w:w="260" w:type="dxa"/>
            <w:vAlign w:val="bottom"/>
          </w:tcPr>
          <w:p>
            <w:pPr>
              <w:spacing w:after="0"/>
              <w:rPr>
                <w:sz w:val="18"/>
                <w:szCs w:val="18"/>
                <w:color w:val="auto"/>
              </w:rPr>
            </w:pPr>
          </w:p>
        </w:tc>
        <w:tc>
          <w:tcPr>
            <w:tcW w:w="2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Over $1,000,000</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Over $1,000,000</w:t>
            </w: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3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Over $1,000,000</w:t>
            </w: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Jose A. Briones</w:t>
            </w:r>
          </w:p>
        </w:tc>
        <w:tc>
          <w:tcPr>
            <w:tcW w:w="21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$500,001 - $1,000,000</w:t>
            </w: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ind w:left="340"/>
              <w:spacing w:after="0"/>
              <w:rPr>
                <w:sz w:val="20"/>
                <w:szCs w:val="20"/>
                <w:color w:val="auto"/>
              </w:rPr>
            </w:pPr>
            <w:r>
              <w:rPr>
                <w:rFonts w:ascii="Arial" w:cs="Arial" w:eastAsia="Arial" w:hAnsi="Arial"/>
                <w:sz w:val="18"/>
                <w:szCs w:val="18"/>
                <w:color w:val="auto"/>
              </w:rPr>
              <w:t>Salvatore Giannetti III</w:t>
            </w: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80" w:type="dxa"/>
            <w:vAlign w:val="bottom"/>
          </w:tcPr>
          <w:p>
            <w:pPr>
              <w:spacing w:after="0"/>
              <w:rPr>
                <w:sz w:val="18"/>
                <w:szCs w:val="18"/>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 Whitridge Williams, Jr.</w:t>
            </w:r>
          </w:p>
        </w:tc>
        <w:tc>
          <w:tcPr>
            <w:tcW w:w="21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0"/>
              </w:rPr>
              <w:t>Over $1,000,000</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$500,001 - $1,000,000</w:t>
            </w:r>
          </w:p>
        </w:tc>
        <w:tc>
          <w:tcPr>
            <w:tcW w:w="2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Over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80" w:hanging="436"/>
        <w:spacing w:after="0" w:line="258" w:lineRule="auto"/>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$100,001-$500,000; $500,001-$1,000,000; or over $1,000,000.</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PennantPark Floating Rate Capital Ltd. has entered into an Investment Management Agreement with the Investment Adviser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The Company, through the Investment Adviser, provides similar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95" w:lineRule="exact"/>
        <w:rPr>
          <w:sz w:val="20"/>
          <w:szCs w:val="20"/>
          <w:color w:val="auto"/>
        </w:rPr>
      </w:pPr>
    </w:p>
    <w:p>
      <w:pPr>
        <w:ind w:left="1060" w:right="36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such changes;</w:t>
      </w:r>
    </w:p>
    <w:p>
      <w:pPr>
        <w:spacing w:after="0" w:line="75" w:lineRule="exact"/>
        <w:rPr>
          <w:rFonts w:ascii="Arial" w:cs="Arial" w:eastAsia="Arial" w:hAnsi="Arial"/>
          <w:sz w:val="18"/>
          <w:szCs w:val="18"/>
          <w:color w:val="auto"/>
        </w:rPr>
      </w:pPr>
    </w:p>
    <w:p>
      <w:pPr>
        <w:ind w:left="1060" w:right="600" w:hanging="31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225"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Average value of adjusted gross assets of March 31, 20XX and December 31, 20XX, which are the two most recently completed calendar quarters, and appropriately adjusted for any share issuances or repurchases during the current calendar quarter = ($150 million + $180 million) / 2 = $165 million.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151130</wp:posOffset>
            </wp:positionV>
            <wp:extent cx="2186940" cy="3860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869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or accrued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0.80%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 does not exceed hurdle; therefore there is no incentive fee.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 (including interest, dividends, fees, etc.) = 2.70%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52" w:lineRule="exact"/>
        <w:rPr>
          <w:sz w:val="20"/>
          <w:szCs w:val="20"/>
          <w:color w:val="auto"/>
        </w:rPr>
      </w:pPr>
    </w:p>
    <w:p>
      <w:pPr>
        <w:ind w:left="1080"/>
        <w:spacing w:after="0"/>
        <w:tabs>
          <w:tab w:leader="none" w:pos="310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50" w:lineRule="exact"/>
        <w:rPr>
          <w:sz w:val="20"/>
          <w:szCs w:val="20"/>
          <w:color w:val="auto"/>
        </w:rPr>
      </w:pPr>
    </w:p>
    <w:p>
      <w:pPr>
        <w:ind w:left="3280" w:hanging="152"/>
        <w:spacing w:after="0"/>
        <w:tabs>
          <w:tab w:leader="none" w:pos="3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63" w:lineRule="exact"/>
        <w:rPr>
          <w:rFonts w:ascii="Arial" w:cs="Arial" w:eastAsia="Arial" w:hAnsi="Arial"/>
          <w:sz w:val="18"/>
          <w:szCs w:val="18"/>
          <w:color w:val="auto"/>
        </w:rPr>
      </w:pPr>
    </w:p>
    <w:p>
      <w:pPr>
        <w:ind w:left="3280" w:hanging="152"/>
        <w:spacing w:after="0"/>
        <w:tabs>
          <w:tab w:leader="none" w:pos="32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Investment income (including interest, dividends, fees, etc.) = 4.00%</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0.25%</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expenses (legal, accounting, custodian, transfer agent, etc.) = 0.20%</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Pre-Incentive Fee Net 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income—(base management fee + other expenses)) = 3.55%</w:t>
      </w:r>
    </w:p>
    <w:p>
      <w:pPr>
        <w:sectPr>
          <w:pgSz w:w="11900" w:h="16838" w:orient="portrait"/>
          <w:cols w:equalWidth="0" w:num="1">
            <w:col w:w="10940"/>
          </w:cols>
          <w:pgMar w:left="240" w:top="459" w:right="719" w:bottom="1440" w:gutter="0" w:footer="0" w:header="0"/>
        </w:sectPr>
      </w:pPr>
    </w:p>
    <w:p>
      <w:pPr>
        <w:spacing w:after="0" w:line="39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Incentive fee</w:t>
      </w:r>
    </w:p>
    <w:p>
      <w:pPr>
        <w:spacing w:after="0" w:line="46"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Incentive fee</w:t>
      </w:r>
    </w:p>
    <w:p>
      <w:pPr>
        <w:spacing w:after="0" w:line="72" w:lineRule="exact"/>
        <w:rPr>
          <w:sz w:val="20"/>
          <w:szCs w:val="20"/>
          <w:color w:val="auto"/>
        </w:rPr>
      </w:pPr>
    </w:p>
    <w:p>
      <w:pPr>
        <w:jc w:val="center"/>
        <w:ind w:left="601"/>
        <w:spacing w:after="0"/>
        <w:rPr>
          <w:sz w:val="20"/>
          <w:szCs w:val="20"/>
          <w:color w:val="auto"/>
        </w:rPr>
      </w:pPr>
      <w:r>
        <w:rPr>
          <w:rFonts w:ascii="Arial" w:cs="Arial" w:eastAsia="Arial" w:hAnsi="Arial"/>
          <w:sz w:val="16"/>
          <w:szCs w:val="16"/>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1161415</wp:posOffset>
            </wp:positionV>
            <wp:extent cx="6946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41" w:hanging="141"/>
        <w:spacing w:after="0"/>
        <w:tabs>
          <w:tab w:leader="none" w:pos="141" w:val="left"/>
        </w:tabs>
        <w:numPr>
          <w:ilvl w:val="0"/>
          <w:numId w:val="80"/>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r>
        <w:rPr>
          <w:rFonts w:ascii="Arial" w:cs="Arial" w:eastAsia="Arial" w:hAnsi="Arial"/>
          <w:sz w:val="15"/>
          <w:szCs w:val="15"/>
          <w:color w:val="auto"/>
        </w:rPr>
        <w:t>(3)</w:t>
      </w:r>
    </w:p>
    <w:p>
      <w:pPr>
        <w:spacing w:after="0" w:line="49" w:lineRule="exact"/>
        <w:rPr>
          <w:rFonts w:ascii="Arial" w:cs="Arial" w:eastAsia="Arial" w:hAnsi="Arial"/>
          <w:sz w:val="18"/>
          <w:szCs w:val="18"/>
          <w:color w:val="auto"/>
        </w:rPr>
      </w:pPr>
    </w:p>
    <w:p>
      <w:pPr>
        <w:ind w:left="1" w:right="1820" w:hanging="1"/>
        <w:spacing w:after="0" w:line="355" w:lineRule="auto"/>
        <w:tabs>
          <w:tab w:leader="none" w:pos="1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50% x “catch-up” + (20% x (Pre-Incentive Fee Net Investment Income - 2.9167%)) =2.9167%-1.75% =1.1667%</w:t>
      </w:r>
    </w:p>
    <w:p>
      <w:pPr>
        <w:spacing w:after="0" w:line="197" w:lineRule="exact"/>
        <w:rPr>
          <w:rFonts w:ascii="Arial" w:cs="Arial" w:eastAsia="Arial" w:hAnsi="Arial"/>
          <w:sz w:val="18"/>
          <w:szCs w:val="18"/>
          <w:color w:val="auto"/>
        </w:rPr>
      </w:pPr>
    </w:p>
    <w:p>
      <w:pPr>
        <w:ind w:left="1" w:right="4460"/>
        <w:spacing w:after="0" w:line="313" w:lineRule="auto"/>
        <w:rPr>
          <w:rFonts w:ascii="Arial" w:cs="Arial" w:eastAsia="Arial" w:hAnsi="Arial"/>
          <w:sz w:val="18"/>
          <w:szCs w:val="18"/>
          <w:color w:val="auto"/>
        </w:rPr>
      </w:pPr>
      <w:r>
        <w:rPr>
          <w:rFonts w:ascii="Arial" w:cs="Arial" w:eastAsia="Arial" w:hAnsi="Arial"/>
          <w:sz w:val="18"/>
          <w:szCs w:val="18"/>
          <w:color w:val="auto"/>
        </w:rPr>
        <w:t>=(50% x 1.1667%) + (20% x (3.55% -2.9167%)) =0.5833% + (20% x 0.6333%)</w:t>
      </w:r>
    </w:p>
    <w:p>
      <w:pPr>
        <w:ind w:left="1" w:right="6420"/>
        <w:spacing w:after="0" w:line="340" w:lineRule="auto"/>
        <w:rPr>
          <w:rFonts w:ascii="Arial" w:cs="Arial" w:eastAsia="Arial" w:hAnsi="Arial"/>
          <w:sz w:val="18"/>
          <w:szCs w:val="18"/>
          <w:color w:val="auto"/>
        </w:rPr>
      </w:pPr>
      <w:r>
        <w:rPr>
          <w:rFonts w:ascii="Arial" w:cs="Arial" w:eastAsia="Arial" w:hAnsi="Arial"/>
          <w:sz w:val="18"/>
          <w:szCs w:val="18"/>
          <w:color w:val="auto"/>
        </w:rPr>
        <w:t>=0.5833% + 0.1267% =0.71%</w:t>
      </w:r>
    </w:p>
    <w:p>
      <w:pPr>
        <w:spacing w:after="0" w:line="200" w:lineRule="exact"/>
        <w:rPr>
          <w:sz w:val="20"/>
          <w:szCs w:val="20"/>
          <w:color w:val="auto"/>
        </w:rPr>
      </w:pPr>
    </w:p>
    <w:p>
      <w:pPr>
        <w:sectPr>
          <w:pgSz w:w="11900" w:h="16838" w:orient="portrait"/>
          <w:cols w:equalWidth="0" w:num="2">
            <w:col w:w="2219" w:space="720"/>
            <w:col w:w="8001"/>
          </w:cols>
          <w:pgMar w:left="240" w:top="459" w:right="719" w:bottom="1440" w:gutter="0" w:footer="0" w:header="0"/>
          <w:type w:val="continuous"/>
        </w:sectPr>
      </w:pPr>
    </w:p>
    <w:p>
      <w:pPr>
        <w:spacing w:after="0" w:line="145" w:lineRule="exact"/>
        <w:rPr>
          <w:sz w:val="20"/>
          <w:szCs w:val="20"/>
          <w:color w:val="auto"/>
        </w:rPr>
      </w:pPr>
    </w:p>
    <w:p>
      <w:pPr>
        <w:ind w:left="640" w:hanging="43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3"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640" w:hanging="436"/>
        <w:spacing w:after="0" w:line="323"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Year 1: $20 million investment made in Company A (“Investment A”), and $30 million investment made in Company B (“Investment B”)</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3: FMV of Investment B determined to be $25 million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4: Investment B sold for $31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2: $6 million capital gains incentive fee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3: None</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40"/>
          </w:cols>
          <w:pgMar w:left="240" w:top="459" w:right="71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$5 million cumulative fee (20% multiplied by $25 million ($30 million cumulative capital gains less $5 million cumulative capital depreciation))</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less $6 million (previous capital gains fee paid in Year 2)</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Year 4: $200,000 capital gains incentive fee</w:t>
      </w:r>
    </w:p>
    <w:p>
      <w:pPr>
        <w:spacing w:after="0" w:line="11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$6.2 million cumulative fee ($31 million cumulative realized capital gains multiplied by 20%) less $6 million (previous capital gains fee paid in Year 2)</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760" w:right="200"/>
        <w:spacing w:after="0" w:line="277"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62"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4: FMV of Investment B determined to be $35 million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5: Investment B sold for $20 million</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1: None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2: $5 million capital gains incentive fee</w:t>
      </w:r>
    </w:p>
    <w:p>
      <w:pPr>
        <w:spacing w:after="0" w:line="117" w:lineRule="exact"/>
        <w:rPr>
          <w:sz w:val="20"/>
          <w:szCs w:val="20"/>
          <w:color w:val="auto"/>
        </w:rPr>
      </w:pPr>
    </w:p>
    <w:p>
      <w:pPr>
        <w:ind w:left="760" w:right="400"/>
        <w:spacing w:after="0" w:line="277" w:lineRule="auto"/>
        <w:rPr>
          <w:sz w:val="20"/>
          <w:szCs w:val="20"/>
          <w:color w:val="auto"/>
        </w:rPr>
      </w:pPr>
      <w:r>
        <w:rPr>
          <w:rFonts w:ascii="Arial" w:cs="Arial" w:eastAsia="Arial" w:hAnsi="Arial"/>
          <w:sz w:val="18"/>
          <w:szCs w:val="18"/>
          <w:color w:val="auto"/>
        </w:rPr>
        <w:t>20% multiplied by $25 million ($30 million realized capital gains on sale of Investment A less $5 million unrealized capital depreciation on Investment B)</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5"/>
          <w:szCs w:val="15"/>
          <w:color w:val="auto"/>
        </w:rPr>
        <w:t>(1)</w:t>
      </w:r>
    </w:p>
    <w:p>
      <w:pPr>
        <w:spacing w:after="0" w:line="117" w:lineRule="exact"/>
        <w:rPr>
          <w:sz w:val="20"/>
          <w:szCs w:val="20"/>
          <w:color w:val="auto"/>
        </w:rPr>
      </w:pPr>
    </w:p>
    <w:p>
      <w:pPr>
        <w:ind w:left="760" w:right="380"/>
        <w:spacing w:after="0" w:line="277" w:lineRule="auto"/>
        <w:rPr>
          <w:sz w:val="20"/>
          <w:szCs w:val="20"/>
          <w:color w:val="auto"/>
        </w:rPr>
      </w:pPr>
      <w:r>
        <w:rPr>
          <w:rFonts w:ascii="Arial" w:cs="Arial" w:eastAsia="Arial" w:hAnsi="Arial"/>
          <w:sz w:val="18"/>
          <w:szCs w:val="18"/>
          <w:color w:val="auto"/>
        </w:rPr>
        <w:t>$6.4 million cumulative fee (20% multiplied by $32 million ($35 million cumulative realized capital gains less $3 million unrealized capital depreciation)) less $5 million (previous capital gains fee paid in Year 2)</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4: $0.6 million capital gains incentive fee</w:t>
      </w:r>
    </w:p>
    <w:p>
      <w:pPr>
        <w:spacing w:after="0" w:line="117" w:lineRule="exact"/>
        <w:rPr>
          <w:sz w:val="20"/>
          <w:szCs w:val="20"/>
          <w:color w:val="auto"/>
        </w:rPr>
      </w:pPr>
    </w:p>
    <w:p>
      <w:pPr>
        <w:ind w:left="760" w:right="460"/>
        <w:spacing w:after="0" w:line="342" w:lineRule="auto"/>
        <w:rPr>
          <w:sz w:val="20"/>
          <w:szCs w:val="20"/>
          <w:color w:val="auto"/>
        </w:rPr>
      </w:pPr>
      <w:r>
        <w:rPr>
          <w:rFonts w:ascii="Arial" w:cs="Arial" w:eastAsia="Arial" w:hAnsi="Arial"/>
          <w:sz w:val="16"/>
          <w:szCs w:val="16"/>
          <w:color w:val="auto"/>
        </w:rPr>
        <w:t>$7 million cumulative fee (20% multiplied by $35 million ($35 million cumulative realized capital gains without regard to $5 million of unrealized appreciation)) less $6.4 million (previous cumulative capital gains fee paid in Year 2 of $5.0 million and Year 3 of $1.4 million)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Year 5: None</w:t>
      </w:r>
    </w:p>
    <w:p>
      <w:pPr>
        <w:spacing w:after="0" w:line="117" w:lineRule="exact"/>
        <w:rPr>
          <w:sz w:val="20"/>
          <w:szCs w:val="20"/>
          <w:color w:val="auto"/>
        </w:rPr>
      </w:pPr>
    </w:p>
    <w:p>
      <w:pPr>
        <w:ind w:left="760" w:right="160"/>
        <w:spacing w:after="0" w:line="308" w:lineRule="auto"/>
        <w:rPr>
          <w:sz w:val="20"/>
          <w:szCs w:val="20"/>
          <w:color w:val="auto"/>
        </w:rPr>
      </w:pPr>
      <w:r>
        <w:rPr>
          <w:rFonts w:ascii="Arial" w:cs="Arial" w:eastAsia="Arial" w:hAnsi="Arial"/>
          <w:sz w:val="17"/>
          <w:szCs w:val="17"/>
          <w:color w:val="auto"/>
        </w:rPr>
        <w:t>$7 million cumulative fee (20% multiplied by $35 million ($35 million cumulative realized capital gains without regard to $10 million realized capital losses in subsequent year)) less $7 million (previous cumulative capital gains fee paid in Years 2, 3 and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8318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21" w:lineRule="exact"/>
        <w:rPr>
          <w:sz w:val="20"/>
          <w:szCs w:val="20"/>
          <w:color w:val="auto"/>
        </w:rPr>
      </w:pPr>
    </w:p>
    <w:p>
      <w:pPr>
        <w:ind w:left="640" w:right="20" w:hanging="436"/>
        <w:spacing w:after="0" w:line="312" w:lineRule="auto"/>
        <w:tabs>
          <w:tab w:leader="none" w:pos="6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illustrated in Year 3 of Alternative 2 above, if PennantPark Floating Rate Capital Ltd. were to be wound up on a date other than December 31 of any year after year 3,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PennantPark Investment Advisers is a registered investment adviser under the Investment Advisers Act of 1940, as amended, or Advisers Act. The principal executive office of PennantPark Investment Advisers is located at 590 Madison Avenue, 15th Floor, New York, NY 10022.</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Investment Management Agreement was reapproved by our board of directors, including a majority of our directors who are not interested persons of us or the Investment Adviser, in February 2016. Unless terminated earlier as described below, the Investment Management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8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 —We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 Agreement</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us, in February 2016. Unless terminated earlier as described below,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Administration Agreement will continue in effect for a period of one year through February 2017.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60" w:right="8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20" w:hanging="424"/>
        <w:spacing w:after="0" w:line="279"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60" w:hanging="424"/>
        <w:spacing w:after="0" w:line="31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80"/>
          </w:cols>
          <w:pgMar w:left="24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To the extent we invest in derivative instruments in the future, such instruments would be valued at fair value in accordance with our valuation policy.</w:t>
      </w:r>
    </w:p>
    <w:p>
      <w:pPr>
        <w:spacing w:after="0" w:line="17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700" w:right="260" w:hanging="944"/>
        <w:spacing w:after="0" w:line="277" w:lineRule="auto"/>
        <w:tabs>
          <w:tab w:leader="none" w:pos="16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00" w:right="80" w:hanging="944"/>
        <w:spacing w:after="0" w:line="264" w:lineRule="auto"/>
        <w:tabs>
          <w:tab w:leader="none" w:pos="16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00" w:right="100" w:hanging="944"/>
        <w:spacing w:after="0" w:line="277" w:lineRule="auto"/>
        <w:tabs>
          <w:tab w:leader="none" w:pos="16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060" w:hanging="316"/>
        <w:spacing w:after="0"/>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60" w:right="240" w:hanging="316"/>
        <w:spacing w:after="0" w:line="28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060" w:right="260" w:hanging="316"/>
        <w:spacing w:after="0" w:line="277" w:lineRule="auto"/>
        <w:tabs>
          <w:tab w:leader="none" w:pos="10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60" w:hanging="316"/>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60" w:right="200" w:hanging="316"/>
        <w:spacing w:after="0" w:line="279"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7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8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new shares will be issued has been determined and elections of our stockholders have been tabulated.</w:t>
      </w:r>
    </w:p>
    <w:p>
      <w:pPr>
        <w:spacing w:after="0" w:line="192" w:lineRule="exact"/>
        <w:rPr>
          <w:sz w:val="20"/>
          <w:szCs w:val="20"/>
          <w:color w:val="auto"/>
        </w:rPr>
      </w:pPr>
    </w:p>
    <w:p>
      <w:pPr>
        <w:ind w:left="200" w:right="36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September 30, 2016,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January 13, 2017 was $14.10 per share. As of January 13, 2017, we had 41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December 31, 2016:</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5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620" w:type="dxa"/>
            <w:vAlign w:val="bottom"/>
          </w:tcPr>
          <w:p>
            <w:pPr>
              <w:spacing w:after="0"/>
              <w:rPr>
                <w:sz w:val="14"/>
                <w:szCs w:val="1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5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100,000,000</w:t>
            </w:r>
          </w:p>
        </w:tc>
        <w:tc>
          <w:tcPr>
            <w:tcW w:w="6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26,730,074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2018, 2019 and 2017,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8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22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60" w:hanging="316"/>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060" w:hanging="316"/>
        <w:spacing w:after="0" w:line="308"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47"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60" w:hanging="316"/>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6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060" w:right="40" w:hanging="316"/>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240" w:top="460"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w:t>
      </w:r>
    </w:p>
    <w:p>
      <w:pPr>
        <w:ind w:left="200" w:right="60" w:firstLine="4"/>
        <w:spacing w:after="0" w:line="253" w:lineRule="auto"/>
        <w:tabs>
          <w:tab w:leader="none" w:pos="4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060" w:right="20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60"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58"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1060" w:right="80" w:hanging="316"/>
        <w:spacing w:after="0" w:line="264"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53" w:lineRule="exact"/>
        <w:rPr>
          <w:rFonts w:ascii="Arial" w:cs="Arial" w:eastAsia="Arial" w:hAnsi="Arial"/>
          <w:sz w:val="16"/>
          <w:szCs w:val="16"/>
          <w:color w:val="auto"/>
        </w:rPr>
      </w:pPr>
    </w:p>
    <w:p>
      <w:pPr>
        <w:ind w:left="1060" w:right="100" w:hanging="316"/>
        <w:spacing w:after="0" w:line="342" w:lineRule="auto"/>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80"/>
          </w:cols>
          <w:pgMar w:left="24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1"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entry system or holds an interest through a participant. As long as the debt securities are represented by one or more global securities, investors will be indirect holders, and not holders, of the debt securities.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60" w:hanging="316"/>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060" w:right="220" w:hanging="316"/>
        <w:spacing w:after="0" w:line="264"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060" w:right="160" w:hanging="316"/>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77"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060" w:right="260" w:hanging="316"/>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060" w:hanging="316"/>
        <w:spacing w:after="0" w:line="259"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60" w:right="2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60"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60" w:hanging="316"/>
        <w:spacing w:after="0" w:line="342" w:lineRule="auto"/>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60" w:hanging="316"/>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60" w:right="10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60"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60" w:right="260" w:hanging="316"/>
        <w:spacing w:after="0" w:line="277" w:lineRule="auto"/>
        <w:tabs>
          <w:tab w:leader="none" w:pos="1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60" w:right="100" w:hanging="316"/>
        <w:spacing w:after="0" w:line="342" w:lineRule="auto"/>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60" w:right="24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2" w:lineRule="exact"/>
        <w:rPr>
          <w:sz w:val="20"/>
          <w:szCs w:val="20"/>
          <w:color w:val="auto"/>
        </w:rPr>
      </w:pPr>
    </w:p>
    <w:p>
      <w:pPr>
        <w:ind w:left="1060" w:right="180" w:hanging="316"/>
        <w:spacing w:after="0" w:line="286" w:lineRule="auto"/>
        <w:tabs>
          <w:tab w:leader="none" w:pos="10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60" w:right="180" w:hanging="316"/>
        <w:spacing w:after="0" w:line="264" w:lineRule="auto"/>
        <w:tabs>
          <w:tab w:leader="none" w:pos="1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60" w:right="180" w:hanging="316"/>
        <w:spacing w:after="0" w:line="286"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60" w:right="80" w:hanging="316"/>
        <w:spacing w:after="0" w:line="255"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8" w:lineRule="exact"/>
        <w:rPr>
          <w:rFonts w:ascii="Arial" w:cs="Arial" w:eastAsia="Arial" w:hAnsi="Arial"/>
          <w:sz w:val="18"/>
          <w:szCs w:val="18"/>
          <w:color w:val="auto"/>
        </w:rPr>
      </w:pPr>
    </w:p>
    <w:p>
      <w:pPr>
        <w:ind w:left="1060" w:right="40" w:hanging="316"/>
        <w:spacing w:after="0" w:line="264"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8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60" w:hanging="316"/>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60" w:right="80" w:hanging="316"/>
        <w:spacing w:after="0" w:line="259" w:lineRule="auto"/>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58"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1060" w:right="240" w:hanging="424"/>
        <w:spacing w:after="0" w:line="259" w:lineRule="auto"/>
        <w:tabs>
          <w:tab w:leader="none" w:pos="10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620" w:hanging="538"/>
        <w:spacing w:after="0" w:line="342" w:lineRule="auto"/>
        <w:tabs>
          <w:tab w:leader="none" w:pos="162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2060" w:right="480" w:hanging="425"/>
        <w:spacing w:after="0" w:line="277" w:lineRule="auto"/>
        <w:tabs>
          <w:tab w:leader="none" w:pos="20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75" w:lineRule="exact"/>
        <w:rPr>
          <w:rFonts w:ascii="Arial" w:cs="Arial" w:eastAsia="Arial" w:hAnsi="Arial"/>
          <w:sz w:val="18"/>
          <w:szCs w:val="18"/>
          <w:color w:val="auto"/>
        </w:rPr>
      </w:pPr>
    </w:p>
    <w:p>
      <w:pPr>
        <w:ind w:left="2060" w:right="60" w:hanging="425"/>
        <w:spacing w:after="0" w:line="264" w:lineRule="auto"/>
        <w:tabs>
          <w:tab w:leader="none" w:pos="206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30" w:lineRule="exact"/>
        <w:rPr>
          <w:rFonts w:ascii="Arial" w:cs="Arial" w:eastAsia="Arial" w:hAnsi="Arial"/>
          <w:sz w:val="18"/>
          <w:szCs w:val="18"/>
          <w:color w:val="auto"/>
        </w:rPr>
      </w:pPr>
    </w:p>
    <w:p>
      <w:pPr>
        <w:ind w:left="1060" w:right="360" w:hanging="424"/>
        <w:spacing w:after="0" w:line="259"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1060" w:right="46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compliant with the 1940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80"/>
          </w:cols>
          <w:pgMar w:left="240" w:top="460"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ratio. For a discussion of the risks associated with leverage, see “Risk Factors—Risks Relating to our Business and Structure— Regulations governing our operation as a BDC will affect our ability to, and the way in which we, raise additional capital”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You may read and copy the code of ethics at the SEC’s Public Reference Room in Washington, D.C. You may obtain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You may also obtain a copy of our joint code of ethics,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center"/>
        <w:ind w:left="300" w:right="140"/>
        <w:spacing w:after="0" w:line="312"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24"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proxy voting decisions are made by the senior investment professionals who are responsible for monitoring each of our clients’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 ensure that our vote is not the product of a conflict of interest, we require that: (1) anyone involved in the decision making process disclose to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Compliance Officer any potential conflict that he or she is aware of and any contact that he or she has had with any interested party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regarding a proxy vote; and (2) employees involved in the decision making process or vote administration are prohibited from revealing how we intend to vote on a proposal in order to reduce any attempted influence from interested parties.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225"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Sarbanes-Oxley Act imposes several regulatory requirements on publicly held companies and their insiders. Many of these requirements affect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1060" w:right="44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ind w:left="1060" w:right="140" w:hanging="316"/>
        <w:spacing w:after="0" w:line="312" w:lineRule="auto"/>
        <w:tabs>
          <w:tab w:leader="none" w:pos="10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4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60"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240" w:top="460" w:right="5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or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60" w:hanging="316"/>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60" w:right="180" w:hanging="316"/>
        <w:spacing w:after="0" w:line="277"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60" w:right="60" w:hanging="316"/>
        <w:spacing w:after="0" w:line="264" w:lineRule="auto"/>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income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60" w:hanging="316"/>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jc w:val="both"/>
        <w:ind w:left="1060" w:right="20" w:hanging="316"/>
        <w:spacing w:after="0" w:line="264"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200" w:hanging="538"/>
        <w:spacing w:after="0" w:line="264" w:lineRule="auto"/>
        <w:tabs>
          <w:tab w:leader="none" w:pos="16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right="20" w:hanging="538"/>
        <w:spacing w:after="0" w:line="286" w:lineRule="auto"/>
        <w:tabs>
          <w:tab w:leader="none" w:pos="16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w:t>
      </w:r>
    </w:p>
    <w:p>
      <w:pPr>
        <w:spacing w:after="0" w:line="2" w:lineRule="exact"/>
        <w:rPr>
          <w:sz w:val="20"/>
          <w:szCs w:val="20"/>
          <w:color w:val="auto"/>
        </w:rPr>
      </w:pPr>
    </w:p>
    <w:p>
      <w:pPr>
        <w:ind w:left="200" w:right="60" w:firstLine="4"/>
        <w:spacing w:after="0" w:line="271" w:lineRule="auto"/>
        <w:tabs>
          <w:tab w:leader="none" w:pos="45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net ordinary income or capital gain net income for the preceding years that was not distributed during such years and on which we paid no federal income tax,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may retain and be subject to excise tax on such net capital gains or investment company taxable income, subject to maintaining our ability to be treated as a RIC for federal income tax purposes, in order to provide us with additional liquidity.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If we qualify as a RIC, and satisfy the Annual Distribution Requirement, then we will not be subject to federal income tax on the portion of our investment company taxable income and net capital gains,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treated as a RIC for federal income tax purposes.</w:t>
      </w:r>
    </w:p>
    <w:p>
      <w:pPr>
        <w:spacing w:after="0" w:line="158"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dividends paid by us to certain U.S. corporate</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generally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stockholders prior to the expiration of 60 days after the close of the relevant taxable year. We cannot treat any of our investment company taxable income as a “deemed distribution.”</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200" w:right="10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9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a rate of 28% from all taxable distributions to any U.S. stockholder (1) who fails to furnish a correct taxpayer identification number or a certificate that such stockholder is exempt from backup withholding, or</w:t>
      </w:r>
    </w:p>
    <w:p>
      <w:pPr>
        <w:ind w:left="200" w:firstLine="4"/>
        <w:spacing w:after="0" w:line="273" w:lineRule="auto"/>
        <w:tabs>
          <w:tab w:leader="none" w:pos="4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We are required to withhold U.S. tax (at a 30% rate) on payments of taxable dividends and (effective January 1, 2019) redemption proceeds and certain capital gain dividends made to certain non-U.S. entities that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8"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9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80"/>
          </w:cols>
          <w:pgMar w:left="24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60" w:hanging="316"/>
        <w:spacing w:after="0"/>
        <w:tabs>
          <w:tab w:leader="none" w:pos="10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60" w:right="280" w:hanging="316"/>
        <w:spacing w:after="0" w:line="277" w:lineRule="auto"/>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60"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225 Liberty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4"/>
          <w:szCs w:val="14"/>
          <w:color w:val="auto"/>
        </w:rPr>
        <w:t>th</w:t>
      </w:r>
      <w:r>
        <w:rPr>
          <w:rFonts w:ascii="Arial" w:cs="Arial" w:eastAsia="Arial" w:hAnsi="Arial"/>
          <w:sz w:val="17"/>
          <w:szCs w:val="17"/>
          <w:color w:val="auto"/>
        </w:rPr>
        <w:t xml:space="preserve">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may also serve as trustee for offerings of our debt securities.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current independent registered public accounting firm, RSM US LLP, located at 1185 Avenue of the Americas, New York, NY 10036, has audited our financial statements as of September 30, 2016 and 2015.</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240" w:top="460" w:right="5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Financial Statements</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4"/>
        </w:trPr>
        <w:tc>
          <w:tcPr>
            <w:tcW w:w="9180" w:type="dxa"/>
            <w:vAlign w:val="bottom"/>
            <w:gridSpan w:val="10"/>
          </w:tcPr>
          <w:p>
            <w:pPr>
              <w:spacing w:after="0" w:line="194" w:lineRule="exact"/>
              <w:rPr>
                <w:rFonts w:ascii="Arial" w:cs="Arial" w:eastAsia="Arial" w:hAnsi="Arial"/>
                <w:sz w:val="18"/>
                <w:szCs w:val="18"/>
                <w:color w:val="0000EE"/>
              </w:rPr>
            </w:pPr>
            <w:hyperlink w:anchor="page226">
              <w:r>
                <w:rPr>
                  <w:rFonts w:ascii="Arial" w:cs="Arial" w:eastAsia="Arial" w:hAnsi="Arial"/>
                  <w:sz w:val="18"/>
                  <w:szCs w:val="18"/>
                  <w:color w:val="0000EE"/>
                </w:rPr>
                <w:t>Management’s Report on Internal Control Over Financial Reporting</w:t>
              </w:r>
            </w:hyperlink>
          </w:p>
        </w:tc>
        <w:tc>
          <w:tcPr>
            <w:tcW w:w="180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F-2</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Report of Independent Registered Public Accounting Firm</w:t>
              </w:r>
            </w:hyperlink>
          </w:p>
        </w:tc>
        <w:tc>
          <w:tcPr>
            <w:tcW w:w="42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F-3</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F-4</w:t>
            </w: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228">
              <w:r>
                <w:rPr>
                  <w:rFonts w:ascii="Arial" w:cs="Arial" w:eastAsia="Arial" w:hAnsi="Arial"/>
                  <w:sz w:val="18"/>
                  <w:szCs w:val="18"/>
                  <w:color w:val="0000EE"/>
                  <w:w w:val="92"/>
                </w:rPr>
                <w:t>Report of Independent Registered Public Accounting Firm On Internal Control Over Financial Reporting</w:t>
              </w:r>
            </w:hyperlink>
          </w:p>
        </w:tc>
        <w:tc>
          <w:tcPr>
            <w:tcW w:w="1600" w:type="dxa"/>
            <w:vAlign w:val="bottom"/>
            <w:gridSpan w:val="2"/>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29">
              <w:r>
                <w:rPr>
                  <w:rFonts w:ascii="Arial" w:cs="Arial" w:eastAsia="Arial" w:hAnsi="Arial"/>
                  <w:sz w:val="18"/>
                  <w:szCs w:val="18"/>
                  <w:color w:val="0000EE"/>
                  <w:w w:val="90"/>
                </w:rPr>
                <w:t>Consolidated Statements of Assets and Liabilities as of September 30, 2016 and 2015</w:t>
              </w:r>
            </w:hyperlink>
          </w:p>
        </w:tc>
        <w:tc>
          <w:tcPr>
            <w:tcW w:w="29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F-5</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30">
              <w:r>
                <w:rPr>
                  <w:rFonts w:ascii="Arial" w:cs="Arial" w:eastAsia="Arial" w:hAnsi="Arial"/>
                  <w:sz w:val="18"/>
                  <w:szCs w:val="18"/>
                  <w:color w:val="0000EE"/>
                  <w:w w:val="89"/>
                </w:rPr>
                <w:t>Consolidated Statements of Operations for the years ended September 30, 2016, 2015 and 2014</w:t>
              </w:r>
            </w:hyperlink>
          </w:p>
        </w:tc>
        <w:tc>
          <w:tcPr>
            <w:tcW w:w="224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F-6</w:t>
            </w:r>
          </w:p>
        </w:tc>
        <w:tc>
          <w:tcPr>
            <w:tcW w:w="0" w:type="dxa"/>
            <w:vAlign w:val="bottom"/>
          </w:tcPr>
          <w:p>
            <w:pPr>
              <w:spacing w:after="0"/>
              <w:rPr>
                <w:sz w:val="1"/>
                <w:szCs w:val="1"/>
                <w:color w:val="auto"/>
              </w:rPr>
            </w:pPr>
          </w:p>
        </w:tc>
      </w:tr>
      <w:tr>
        <w:trPr>
          <w:trHeight w:val="196"/>
        </w:trPr>
        <w:tc>
          <w:tcPr>
            <w:tcW w:w="9180" w:type="dxa"/>
            <w:vAlign w:val="bottom"/>
            <w:gridSpan w:val="10"/>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Consolidated Statements of Changes in Net Assets for the years ended September 30, 2016,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F-7</w:t>
            </w:r>
          </w:p>
        </w:tc>
        <w:tc>
          <w:tcPr>
            <w:tcW w:w="0" w:type="dxa"/>
            <w:vAlign w:val="bottom"/>
          </w:tcPr>
          <w:p>
            <w:pPr>
              <w:spacing w:after="0"/>
              <w:rPr>
                <w:sz w:val="1"/>
                <w:szCs w:val="1"/>
                <w:color w:val="auto"/>
              </w:rPr>
            </w:pPr>
          </w:p>
        </w:tc>
      </w:tr>
      <w:tr>
        <w:trPr>
          <w:trHeight w:val="196"/>
        </w:trPr>
        <w:tc>
          <w:tcPr>
            <w:tcW w:w="7720" w:type="dxa"/>
            <w:vAlign w:val="bottom"/>
            <w:tcBorders>
              <w:top w:val="single" w:sz="8" w:color="0000EE"/>
            </w:tcBorders>
            <w:gridSpan w:val="9"/>
          </w:tcPr>
          <w:p>
            <w:pPr>
              <w:spacing w:after="0" w:line="196" w:lineRule="exact"/>
              <w:rPr>
                <w:rFonts w:ascii="Arial" w:cs="Arial" w:eastAsia="Arial" w:hAnsi="Arial"/>
                <w:sz w:val="18"/>
                <w:szCs w:val="18"/>
                <w:color w:val="0000EE"/>
                <w:w w:val="98"/>
              </w:rPr>
            </w:pPr>
            <w:hyperlink w:anchor="page232">
              <w:r>
                <w:rPr>
                  <w:rFonts w:ascii="Arial" w:cs="Arial" w:eastAsia="Arial" w:hAnsi="Arial"/>
                  <w:sz w:val="18"/>
                  <w:szCs w:val="18"/>
                  <w:color w:val="0000EE"/>
                  <w:w w:val="98"/>
                </w:rPr>
                <w:t>Consolidated Statements of Cash Flows for the years ended September 30, 2016, 2015 and 2014</w:t>
              </w:r>
            </w:hyperlink>
          </w:p>
        </w:tc>
        <w:tc>
          <w:tcPr>
            <w:tcW w:w="146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F-8</w:t>
            </w:r>
          </w:p>
        </w:tc>
        <w:tc>
          <w:tcPr>
            <w:tcW w:w="0" w:type="dxa"/>
            <w:vAlign w:val="bottom"/>
          </w:tcPr>
          <w:p>
            <w:pPr>
              <w:spacing w:after="0"/>
              <w:rPr>
                <w:sz w:val="1"/>
                <w:szCs w:val="1"/>
                <w:color w:val="auto"/>
              </w:rPr>
            </w:pPr>
          </w:p>
        </w:tc>
      </w:tr>
      <w:tr>
        <w:trPr>
          <w:trHeight w:val="196"/>
        </w:trPr>
        <w:tc>
          <w:tcPr>
            <w:tcW w:w="5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233">
              <w:r>
                <w:rPr>
                  <w:rFonts w:ascii="Arial" w:cs="Arial" w:eastAsia="Arial" w:hAnsi="Arial"/>
                  <w:sz w:val="18"/>
                  <w:szCs w:val="18"/>
                  <w:color w:val="0000EE"/>
                  <w:w w:val="89"/>
                </w:rPr>
                <w:t>Consolidated Schedules of Investments as of September 30, 2016 and 2015</w:t>
              </w:r>
            </w:hyperlink>
          </w:p>
        </w:tc>
        <w:tc>
          <w:tcPr>
            <w:tcW w:w="1500" w:type="dxa"/>
            <w:vAlign w:val="bottom"/>
            <w:tcBorders>
              <w:top w:val="single" w:sz="8" w:color="0000EE"/>
            </w:tcBorders>
            <w:gridSpan w:val="3"/>
          </w:tcPr>
          <w:p>
            <w:pPr>
              <w:spacing w:after="0"/>
              <w:rPr>
                <w:sz w:val="17"/>
                <w:szCs w:val="17"/>
                <w:color w:val="auto"/>
              </w:rPr>
            </w:pPr>
          </w:p>
        </w:tc>
        <w:tc>
          <w:tcPr>
            <w:tcW w:w="220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F-9</w:t>
            </w:r>
          </w:p>
        </w:tc>
        <w:tc>
          <w:tcPr>
            <w:tcW w:w="0" w:type="dxa"/>
            <w:vAlign w:val="bottom"/>
          </w:tcPr>
          <w:p>
            <w:pPr>
              <w:spacing w:after="0"/>
              <w:rPr>
                <w:sz w:val="1"/>
                <w:szCs w:val="1"/>
                <w:color w:val="auto"/>
              </w:rPr>
            </w:pPr>
          </w:p>
        </w:tc>
      </w:tr>
      <w:tr>
        <w:trPr>
          <w:trHeight w:val="196"/>
        </w:trPr>
        <w:tc>
          <w:tcPr>
            <w:tcW w:w="9180" w:type="dxa"/>
            <w:vAlign w:val="bottom"/>
            <w:gridSpan w:val="10"/>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Notes to the Consolidated Financial Statements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F-15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80" w:type="dxa"/>
            <w:vAlign w:val="bottom"/>
            <w:gridSpan w:val="7"/>
          </w:tcPr>
          <w:p>
            <w:pPr>
              <w:ind w:left="480"/>
              <w:spacing w:after="0"/>
              <w:rPr>
                <w:sz w:val="20"/>
                <w:szCs w:val="20"/>
                <w:color w:val="auto"/>
              </w:rPr>
            </w:pPr>
            <w:r>
              <w:rPr>
                <w:rFonts w:ascii="Arial" w:cs="Arial" w:eastAsia="Arial" w:hAnsi="Arial"/>
                <w:sz w:val="18"/>
                <w:szCs w:val="18"/>
                <w:color w:val="auto"/>
              </w:rPr>
              <w:t>F-1</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management of PennantPark Floating Rate Capital Ltd., or “we,” “us,” “our” and “Company,” is responsible for establishing and maintaining adequate internal control over financial reporting, as such term is defined in Exchange Act Rule 13a-15(f), and for performing an assessment of the effectiveness of internal control over financial reporting as of September 30, 2016. Our internal control system is a process designed to provide reasonable assurance to our management and board of directors regarding the preparation and fair presentation of published financial statements.</w:t>
      </w:r>
    </w:p>
    <w:p>
      <w:pPr>
        <w:spacing w:after="0" w:line="12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5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September 30, 2016. In making this assessment, we used the criteria set forth by the Committee of Sponsoring Organizations of the Treadway Commission in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the assessment management believes that, as of September 30, 2016, our internal control over financial reporting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based on those criteria.</w:t>
      </w:r>
    </w:p>
    <w:p>
      <w:pPr>
        <w:spacing w:after="0" w:line="16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our internal control over financial reporting as of September 30, 2016. This report appears on page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audited the accompanying consolidated statements of assets and liabilities of PennantPark Floating Rate Capital Ltd. and its Subsidiaries (collectively referred to as the “Company”), including the consolidated schedules of investments as of September 30, 2016 and 2015, and the related consolidated statements of operations, changes in net assets, and cash flows for each of the three years in the period ended September 30, 2016. These consolidated financial statements are the responsibility of the Company’s management. Our responsibility is to express an opinion on these consolidated financial statements based on our audits.</w:t>
      </w:r>
    </w:p>
    <w:p>
      <w:pPr>
        <w:spacing w:after="0" w:line="16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2016, by correspondence with the custodians and/or portfolio companies.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8"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Floating Rate Capital Ltd. and its Subsidiaries as of September 30, 2016 and 2015, and the results of their operations, changes in net assets and their cash flows for the three years in the period then ended September 30, 2016, in conformity with U.S. generally accepted accounting principles.</w:t>
      </w:r>
    </w:p>
    <w:p>
      <w:pPr>
        <w:spacing w:after="0" w:line="10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Floating Rate Capital Ltd. and its Subsidiaries’ internal control over financial reporting as of September 30, 2016,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issued by the Committee of Sponsoring Organizations of the Treadway Commission (COSO) in 2013, and our report</w:t>
      </w:r>
      <w:r>
        <w:rPr>
          <w:rFonts w:ascii="Arial" w:cs="Arial" w:eastAsia="Arial" w:hAnsi="Arial"/>
          <w:sz w:val="16"/>
          <w:szCs w:val="16"/>
          <w:i w:val="1"/>
          <w:iCs w:val="1"/>
          <w:color w:val="auto"/>
        </w:rPr>
        <w:t xml:space="preserve"> </w:t>
      </w:r>
      <w:r>
        <w:rPr>
          <w:rFonts w:ascii="Arial" w:cs="Arial" w:eastAsia="Arial" w:hAnsi="Arial"/>
          <w:sz w:val="16"/>
          <w:szCs w:val="16"/>
          <w:color w:val="auto"/>
        </w:rPr>
        <w:t>dated November 22, 2016 expressed an unqualified opinion on the effectiveness of the Company’s internal control over financial reporting.</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24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PennantPark Floating Rate Capital Ltd. and its Subsidiaries:</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have audited PennantPark Floating Rate Capital Ltd. and its Subsidiaries’ (collectively referred to as the “Company”) internal control over financial reporting as of September 30, 2016,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w:t>
      </w:r>
      <w:r>
        <w:rPr>
          <w:rFonts w:ascii="Arial" w:cs="Arial" w:eastAsia="Arial" w:hAnsi="Arial"/>
          <w:sz w:val="17"/>
          <w:szCs w:val="17"/>
          <w:i w:val="1"/>
          <w:iCs w:val="1"/>
          <w:color w:val="auto"/>
        </w:rPr>
        <w:t>a</w:t>
      </w:r>
      <w:r>
        <w:rPr>
          <w:rFonts w:ascii="Arial" w:cs="Arial" w:eastAsia="Arial" w:hAnsi="Arial"/>
          <w:sz w:val="17"/>
          <w:szCs w:val="17"/>
          <w:color w:val="auto"/>
        </w:rPr>
        <w:t>) pertain to the maintenance of records that, in reasonable detail, accurately and fairly reflect the transactions and dispositions of the assets of the company; (</w:t>
      </w:r>
      <w:r>
        <w:rPr>
          <w:rFonts w:ascii="Arial" w:cs="Arial" w:eastAsia="Arial" w:hAnsi="Arial"/>
          <w:sz w:val="17"/>
          <w:szCs w:val="17"/>
          <w:i w:val="1"/>
          <w:iCs w:val="1"/>
          <w:color w:val="auto"/>
        </w:rPr>
        <w:t>b</w:t>
      </w:r>
      <w:r>
        <w:rPr>
          <w:rFonts w:ascii="Arial" w:cs="Arial" w:eastAsia="Arial" w:hAnsi="Arial"/>
          <w:sz w:val="17"/>
          <w:szCs w:val="17"/>
          <w:color w:val="auto"/>
        </w:rPr>
        <w:t>)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w:t>
      </w:r>
      <w:r>
        <w:rPr>
          <w:rFonts w:ascii="Arial" w:cs="Arial" w:eastAsia="Arial" w:hAnsi="Arial"/>
          <w:sz w:val="17"/>
          <w:szCs w:val="17"/>
          <w:i w:val="1"/>
          <w:iCs w:val="1"/>
          <w:color w:val="auto"/>
        </w:rPr>
        <w:t>c</w:t>
      </w:r>
      <w:r>
        <w:rPr>
          <w:rFonts w:ascii="Arial" w:cs="Arial" w:eastAsia="Arial" w:hAnsi="Arial"/>
          <w:sz w:val="17"/>
          <w:szCs w:val="17"/>
          <w:color w:val="auto"/>
        </w:rPr>
        <w:t>)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 xml:space="preserve">In our opinion, PennantPark Floating Rate Capital Ltd. and its Subsidiaries maintained, in all material respects, effective internal control over financial reporting as of September 30, 2016,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 in 2013.</w:t>
      </w:r>
    </w:p>
    <w:p>
      <w:pPr>
        <w:spacing w:after="0" w:line="12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statements of assets and liabilities of PennantPark Floating Rate Capital Ltd. and its Subsidiaries, including the schedules of investments as of September 30, 2016 and 2015, and the related consolidated statements of operations, changes in net assets, and cash flows for each of the three years in the period ended September 30, 2016 and our report dated November 22, 2016 expressed an unqualified opinion on those financial statements.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RSM US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22, 2016</w:t>
      </w:r>
    </w:p>
    <w:p>
      <w:pPr>
        <w:spacing w:after="0" w:line="14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240" w:top="460"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9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September 30, 2016</w:t>
            </w:r>
          </w:p>
        </w:tc>
        <w:tc>
          <w:tcPr>
            <w:tcW w:w="1620" w:type="dxa"/>
            <w:vAlign w:val="bottom"/>
            <w:gridSpan w:val="4"/>
          </w:tcPr>
          <w:p>
            <w:pPr>
              <w:ind w:left="300"/>
              <w:spacing w:after="0"/>
              <w:rPr>
                <w:sz w:val="20"/>
                <w:szCs w:val="20"/>
                <w:color w:val="auto"/>
              </w:rPr>
            </w:pPr>
            <w:r>
              <w:rPr>
                <w:rFonts w:ascii="Arial" w:cs="Arial" w:eastAsia="Arial" w:hAnsi="Arial"/>
                <w:sz w:val="14"/>
                <w:szCs w:val="14"/>
                <w:b w:val="1"/>
                <w:bCs w:val="1"/>
                <w:color w:val="auto"/>
                <w:w w:val="99"/>
              </w:rPr>
              <w:t>September 30, 2015</w:t>
            </w:r>
          </w:p>
        </w:tc>
      </w:tr>
      <w:tr>
        <w:trPr>
          <w:trHeight w:val="196"/>
        </w:trPr>
        <w:tc>
          <w:tcPr>
            <w:tcW w:w="20" w:type="dxa"/>
            <w:vAlign w:val="bottom"/>
          </w:tcPr>
          <w:p>
            <w:pPr>
              <w:spacing w:after="0"/>
              <w:rPr>
                <w:sz w:val="17"/>
                <w:szCs w:val="17"/>
                <w:color w:val="auto"/>
              </w:rPr>
            </w:pPr>
          </w:p>
        </w:tc>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6"/>
              </w:rPr>
              <w:t>Non-controlled, non-affiliated investments (cost—$597,910,267 and $394,561,175, respectively)</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388,535,383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Controlled, affiliated investments (cost—$0 and $2,777,132, respectively)</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2,776,507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of investments (cost—$597,910,267 and $397,338,307, respectively)</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598,887,525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391,311,890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(cost—$28,903,359 and $21,428,514, respectively)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28,910,973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21,428,514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2,480,406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1,959,404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1,141,191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1,420,529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631,420,095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416,120,337</w:t>
            </w:r>
          </w:p>
        </w:tc>
        <w:tc>
          <w:tcPr>
            <w:tcW w:w="12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2,539,357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14,935,970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9,367,500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5"/>
              </w:rPr>
              <w:t>Credit Facility payable (cost—$232,907,500 and $29,600,000, respectively) (See Notes 5 and 11)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232,389,498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531,926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224,633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1,458,625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3,454,914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539,347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255,513,267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43,229,888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26,730,074 shares issued and outstanding. Par value $0.001 per share and</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100,000,000 shares authorized.</w:t>
            </w: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371,194,366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371,502,801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4,559,646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6,991,473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net realized (loss) gain on investments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(1,376,788)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395,862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984,872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(6,026,417)</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net assets</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375,906,828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372,890,449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net assets</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631,420,095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416,120,337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ind w:right="25"/>
              <w:spacing w:after="0"/>
              <w:rPr>
                <w:sz w:val="20"/>
                <w:szCs w:val="20"/>
                <w:color w:val="auto"/>
              </w:rPr>
            </w:pPr>
            <w:r>
              <w:rPr>
                <w:rFonts w:ascii="Arial" w:cs="Arial" w:eastAsia="Arial" w:hAnsi="Arial"/>
                <w:sz w:val="14"/>
                <w:szCs w:val="14"/>
                <w:b w:val="1"/>
                <w:bCs w:val="1"/>
                <w:color w:val="auto"/>
              </w:rPr>
              <w:t>Years Ended September 30,</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40,561,694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29,203,963</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29,256,441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2,334,330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1,151,336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proceeds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3,299,764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46,301,290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30,355,299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30,356,832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5,015,077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3,572,614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3,702,826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4,791,574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1,114,972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3,464,344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Interest and expenses on the Credit Facility (See Note 11)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4,923,219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3,251,761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3,471,347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1,176,769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1,011,285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provision for taxes and amendment costs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18,057,408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12,528,802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Provision for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479,425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Credit Facility amendment costs (See Notes 5 and 11)</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18,965,130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12,695,302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13,721,157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27,336,160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17,659,997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16,635,675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(loss) gain on investments and Credit Facility:</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non-controlled, non-affiliated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(1,376,788)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(6,100,614)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1,553,771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Credit Facility depreciation (appreciation) (See Note 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518,002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5"/>
              </w:rPr>
              <w:t>Net change in unrealized appreciation (depreciation) on investments and Credit</w:t>
            </w: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Facility</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7,529,291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(5,551,614)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1,004,771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6,152,503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(5,155,752)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3,878,296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33,488,663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12,504,245</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20,513,971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Years Ended September 30,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27,336,160</w:t>
            </w: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17,659,997</w:t>
            </w:r>
          </w:p>
        </w:tc>
        <w:tc>
          <w:tcPr>
            <w:tcW w:w="3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16,635,675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(loss) gain on investments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(1,376,788)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395,862</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7,011,289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(6,100,614)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1,553,771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unrealized depreciation (appreciation) on Credit Facility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33,488,663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12,504,245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20,513,971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Distribution of net investment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(30,076,422)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(15,976,507)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(12,477,719)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of realized gains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(395,862)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(2,882,909)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(3,574,936)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b w:val="1"/>
                <w:bCs w:val="1"/>
                <w:color w:val="auto"/>
              </w:rPr>
              <w:t>Total distributions to stockholders</w:t>
            </w:r>
          </w:p>
        </w:tc>
        <w:tc>
          <w:tcPr>
            <w:tcW w:w="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(30,472,284)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(18,859,416)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(16,052,655)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Acquisition of MCG assets (See Note 13)</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164,717,910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164,717,910</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7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3,016,379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158,362,739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4,461,316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372,890,449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214,527,710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210,066,394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375,906,828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372,890,449</w:t>
            </w:r>
          </w:p>
        </w:tc>
        <w:tc>
          <w:tcPr>
            <w:tcW w:w="3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214,527,710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340"/>
              <w:spacing w:after="0"/>
              <w:rPr>
                <w:sz w:val="20"/>
                <w:szCs w:val="20"/>
                <w:color w:val="auto"/>
              </w:rPr>
            </w:pPr>
            <w:r>
              <w:rPr>
                <w:rFonts w:ascii="Arial" w:cs="Arial" w:eastAsia="Arial" w:hAnsi="Arial"/>
                <w:sz w:val="18"/>
                <w:szCs w:val="18"/>
                <w:color w:val="auto"/>
              </w:rPr>
              <w:t>Undistributed net investment income, end of year</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4,559,646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6,991,473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4,878,091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Shares issued</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11,832,018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PENNANTPARK FLOATING RATE CAPITAL LTD.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33,488,663</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12,504,245</w:t>
            </w:r>
          </w:p>
        </w:tc>
        <w:tc>
          <w:tcPr>
            <w:tcW w:w="3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20,513,971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Adjustments to reconcile net increase in net assets resulting from operations to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cash used in operating activities:</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(7,011,289)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6,100,614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(1,553,771)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(depreciation) appreciation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(518,002)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(549,000)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Net realized loss (gain) on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1,376,788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(395,862)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(2,873,525)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(1,679,006)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(1,240,781)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(364,442,810)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(224,170,119)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(248,124,673)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interest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(108,066)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(655,580)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164,178,802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195,049,580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225,614,700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(521,002)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(185,534)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Decrease (increase) in receivable for investments sold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9,001,938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(5,342,753)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prepaid expenses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279,338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(315,139)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Increase (decrease) in payable for investments purchased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5,568,470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6,205,500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(10,859,588)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payable on Credit Facility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(60,273)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502,510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41,137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performance-based incentive fee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3,451,978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(2,177,668)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(Decrease) increase in accrued other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(336,370)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(1,358,635)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(165,462,703)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(2,205,577)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(22,249,022)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Acquisition of MCG assets (See Note 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144,981,158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(30,472,284)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(17,660,884)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(16,015,410)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under Credit Facility (See Notes 5 and 11)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260,707,500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130,700,000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148,200,000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Repayments under Credit Facility (See Notes 5 and 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(57,400,000)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(247,500,000)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(101,400,000)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172,835,216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10,520,274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30,784,590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7,372,513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8,314,697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8,535,568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13,113,817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4,578,249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28,910,973</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21,428,514</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13,113,817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4,615,926</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3,313,701</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3,341,375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430,242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exchanges and conversions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4,843,385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670,283</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6,902,784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Investments acquired from MCG in exchange for shares issued (See Note 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20,277,132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other assets from MCG (See Note 13)</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549,031</w:t>
            </w:r>
          </w:p>
        </w:tc>
        <w:tc>
          <w:tcPr>
            <w:tcW w:w="3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340"/>
              <w:spacing w:after="0"/>
              <w:rPr>
                <w:sz w:val="20"/>
                <w:szCs w:val="20"/>
                <w:color w:val="auto"/>
              </w:rPr>
            </w:pPr>
            <w:r>
              <w:rPr>
                <w:rFonts w:ascii="Arial" w:cs="Arial" w:eastAsia="Arial" w:hAnsi="Arial"/>
                <w:sz w:val="18"/>
                <w:szCs w:val="18"/>
                <w:color w:val="auto"/>
              </w:rPr>
              <w:t>Acquisition of other liabilities from MCG (See Note 13)</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1,089,411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2016</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860" w:type="dxa"/>
            <w:vAlign w:val="bottom"/>
          </w:tcPr>
          <w:p>
            <w:pPr>
              <w:spacing w:after="0"/>
              <w:rPr>
                <w:sz w:val="11"/>
                <w:szCs w:val="11"/>
                <w:color w:val="auto"/>
              </w:rPr>
            </w:pPr>
          </w:p>
        </w:tc>
        <w:tc>
          <w:tcPr>
            <w:tcW w:w="2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70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40" w:type="dxa"/>
            <w:vAlign w:val="bottom"/>
            <w:gridSpan w:val="2"/>
            <w:vMerge w:val="continue"/>
          </w:tcPr>
          <w:p>
            <w:pPr>
              <w:spacing w:after="0"/>
              <w:rPr>
                <w:sz w:val="12"/>
                <w:szCs w:val="12"/>
                <w:color w:val="auto"/>
              </w:rPr>
            </w:pPr>
          </w:p>
        </w:tc>
        <w:tc>
          <w:tcPr>
            <w:tcW w:w="860" w:type="dxa"/>
            <w:vAlign w:val="bottom"/>
          </w:tcPr>
          <w:p>
            <w:pPr>
              <w:jc w:val="center"/>
              <w:ind w:left="102"/>
              <w:spacing w:after="0"/>
              <w:rPr>
                <w:sz w:val="20"/>
                <w:szCs w:val="20"/>
                <w:color w:val="auto"/>
              </w:rPr>
            </w:pPr>
            <w:r>
              <w:rPr>
                <w:rFonts w:ascii="Arial" w:cs="Arial" w:eastAsia="Arial" w:hAnsi="Arial"/>
                <w:sz w:val="12"/>
                <w:szCs w:val="12"/>
                <w:b w:val="1"/>
                <w:bCs w:val="1"/>
                <w:color w:val="auto"/>
                <w:w w:val="98"/>
              </w:rPr>
              <w:t>Maturity</w:t>
            </w:r>
          </w:p>
        </w:tc>
        <w:tc>
          <w:tcPr>
            <w:tcW w:w="2000" w:type="dxa"/>
            <w:vAlign w:val="bottom"/>
            <w:vMerge w:val="continue"/>
          </w:tcPr>
          <w:p>
            <w:pPr>
              <w:spacing w:after="0"/>
              <w:rPr>
                <w:sz w:val="12"/>
                <w:szCs w:val="12"/>
                <w:color w:val="auto"/>
              </w:rPr>
            </w:pP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70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w w:val="94"/>
              </w:rPr>
              <w:t xml:space="preserve">Investments in Non-Controlled, Non-Affiliated Portfolio Companies—159.3% </w:t>
            </w:r>
            <w:r>
              <w:rPr>
                <w:rFonts w:ascii="Arial" w:cs="Arial" w:eastAsia="Arial" w:hAnsi="Arial"/>
                <w:sz w:val="9"/>
                <w:szCs w:val="9"/>
                <w:b w:val="1"/>
                <w:bCs w:val="1"/>
                <w:color w:val="auto"/>
                <w:w w:val="94"/>
              </w:rPr>
              <w:t>(3), (4)</w:t>
            </w:r>
          </w:p>
        </w:tc>
        <w:tc>
          <w:tcPr>
            <w:tcW w:w="860" w:type="dxa"/>
            <w:vAlign w:val="bottom"/>
            <w:tcBorders>
              <w:top w:val="single" w:sz="8" w:color="auto"/>
            </w:tcBorders>
            <w:shd w:val="clear" w:color="auto" w:fill="CCEEFF"/>
          </w:tcPr>
          <w:p>
            <w:pPr>
              <w:spacing w:after="0"/>
              <w:rPr>
                <w:sz w:val="11"/>
                <w:szCs w:val="11"/>
                <w:color w:val="auto"/>
              </w:rPr>
            </w:pPr>
          </w:p>
        </w:tc>
        <w:tc>
          <w:tcPr>
            <w:tcW w:w="20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Debt—145.9%</w:t>
            </w:r>
          </w:p>
        </w:tc>
        <w:tc>
          <w:tcPr>
            <w:tcW w:w="86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Advanced Cable Communications,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08/09/2021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12,500,000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5"/>
              </w:rPr>
              <w:t>$12,255,990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w w:val="98"/>
              </w:rPr>
              <w:t>$  12,250,000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08/09/2021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4,000,000</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color w:val="auto"/>
              </w:rPr>
              <w:t>(80,000)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02/28/2019</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12,064,454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12,037,105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12,064,454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04/04/2022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3,943,925</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3,925,777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3,946,410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American Bath Group,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10/02/2023</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2,970,000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2,992,500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American Scaffold</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03/31/2022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4,866,801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4,888,125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AMF Bowling Centers,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09/19/2023</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15,000,000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14,850,608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14,931,300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12/21/2020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6,534,878</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6,462,308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6,220,419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API Technologies Corp.</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04/22/2022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9,975,000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9,787,810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9,825,375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11/15/2018</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Energy: Oil and Gas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5,125,684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5,042,414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4,228,689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06/29/2020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93"/>
              </w:rPr>
              <w:t>Automotive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3,498,670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3,462,806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3,498,670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Broder Bros., Co., Tranche A</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06/03/2021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2,397,229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2,422,820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Broder Bros., Co., Tranche B</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06/03/2021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13.50%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L+1,225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2,460,000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2,415,653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2,442,679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Camin Cargo Control,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06/30/2021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Transportation: Cargo</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2,468,750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2,448,157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2,370,000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CareCentrix,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07/08/2021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4,847,215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4,863,375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07/02/2020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4,962,500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4,930,912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4,850,844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CD&amp;R TZ Purchaser,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07/21/2023</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12,500,000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12,179,928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12,343,750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12/24/2019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4,098,750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4,061,551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3,750,357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01/08/2019</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7.50%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L+625</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4,828,571</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4,801,254</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4,732,000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Corfin Industries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11/25/2020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L+975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6,272,600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6,163,749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6,272,600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(10)</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11/25/2020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518,033</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12/21/2020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10,531,671</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10,451,145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10,505,342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02/07/2022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1,970,000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1,953,997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1,970,000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DBI Holding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08/02/2021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9"/>
              </w:rPr>
              <w:t>10,000,000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9,900,163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DCS Business Services,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03/19/2018</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L+725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2,237,139</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2,225,615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2,237,139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DISA Global Solutions,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12/09/2020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4,889,096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4,875,750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06/30/2020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4,687,500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4,659,016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4,687,500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09/10/2020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8,550,000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8,513,835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8,507,250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09/10/2020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40" w:type="dxa"/>
            <w:vAlign w:val="bottom"/>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Education Networks of America,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05/06/2021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8,641,304</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8,599,431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8,598,098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Education Networks of America, Inc. (Revolver)</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05/06/2021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434,783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434,783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(10)</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05/06/2021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869,565</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Efficient Collaborative Retail Marketing Company,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06/15/2022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7.75%</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L+675</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10,972,500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10,864,398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10,972,500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07/01/2021</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4,875,844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4,702,969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FHC Health Systems,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12/23/2021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L+400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4,925,000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4,884,041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4,798,821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GlobalLogic Holdings,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05/31/2019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L+525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3,890,000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3,867,640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3,880,275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11/04/2020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6,807,500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6,765,938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6,620,294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GTCR Valor Companies,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06/16/2023</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7,481,250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7,191,975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7,116,539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Harbortouch Payments, LLC</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05/31/2022</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6,956,250</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6,889,369</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7,025,812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82"/>
              </w:rPr>
              <w:t>Estate</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Highline Aftermarket Acquisition, LLC (f/k/a DYK Prime Acquisition,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04/01/2022</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7,312,500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7,244,146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7,275,937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10/21/2020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Non-Durable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1,165,886</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1,153,016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1,142,569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12/13/2019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L+475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2,624,730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2,610,592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2,183,890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08/05/2019</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6,256,250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6,218,559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5,505,500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11/04/2020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L+625</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6,225,820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6,133,990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6,225,820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Idera,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04/09/2021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7,942,494</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7,293,179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7,684,363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05/01/2019</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Business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7.25%</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8,676,097</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8,614,521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8,242,292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Imagine! Print Solutions, LLC</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03/30/2022</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5,974,987</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5,914,562</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6,027,269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A</w:t>
            </w:r>
          </w:p>
        </w:tc>
        <w:tc>
          <w:tcPr>
            <w:tcW w:w="860" w:type="dxa"/>
            <w:vAlign w:val="bottom"/>
            <w:shd w:val="clear" w:color="auto" w:fill="CCEEFF"/>
          </w:tcPr>
          <w:p>
            <w:pPr>
              <w:jc w:val="center"/>
              <w:ind w:left="102"/>
              <w:spacing w:after="0" w:line="129" w:lineRule="exact"/>
              <w:rPr>
                <w:sz w:val="20"/>
                <w:szCs w:val="20"/>
                <w:color w:val="auto"/>
              </w:rPr>
            </w:pPr>
            <w:r>
              <w:rPr>
                <w:rFonts w:ascii="Arial" w:cs="Arial" w:eastAsia="Arial" w:hAnsi="Arial"/>
                <w:sz w:val="12"/>
                <w:szCs w:val="12"/>
                <w:color w:val="auto"/>
                <w:w w:val="89"/>
              </w:rPr>
              <w:t>03/28/2019</w:t>
            </w:r>
          </w:p>
        </w:tc>
        <w:tc>
          <w:tcPr>
            <w:tcW w:w="200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5,277,938</w:t>
            </w:r>
          </w:p>
        </w:tc>
        <w:tc>
          <w:tcPr>
            <w:tcW w:w="74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5,235,239</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5,277,938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line="129" w:lineRule="exact"/>
              <w:rPr>
                <w:sz w:val="20"/>
                <w:szCs w:val="20"/>
                <w:color w:val="auto"/>
              </w:rPr>
            </w:pPr>
            <w:r>
              <w:rPr>
                <w:rFonts w:ascii="Arial" w:cs="Arial" w:eastAsia="Arial" w:hAnsi="Arial"/>
                <w:sz w:val="12"/>
                <w:szCs w:val="12"/>
                <w:color w:val="auto"/>
              </w:rPr>
              <w:t>Instant Web, LLC, Term Loan B</w:t>
            </w:r>
          </w:p>
        </w:tc>
        <w:tc>
          <w:tcPr>
            <w:tcW w:w="860" w:type="dxa"/>
            <w:vAlign w:val="bottom"/>
          </w:tcPr>
          <w:p>
            <w:pPr>
              <w:jc w:val="center"/>
              <w:ind w:left="102"/>
              <w:spacing w:after="0" w:line="129" w:lineRule="exact"/>
              <w:rPr>
                <w:sz w:val="20"/>
                <w:szCs w:val="20"/>
                <w:color w:val="auto"/>
              </w:rPr>
            </w:pPr>
            <w:r>
              <w:rPr>
                <w:rFonts w:ascii="Arial" w:cs="Arial" w:eastAsia="Arial" w:hAnsi="Arial"/>
                <w:sz w:val="12"/>
                <w:szCs w:val="12"/>
                <w:color w:val="auto"/>
                <w:w w:val="89"/>
              </w:rPr>
              <w:t>03/28/2019</w:t>
            </w:r>
          </w:p>
        </w:tc>
        <w:tc>
          <w:tcPr>
            <w:tcW w:w="200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12.00%</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L+1,100</w:t>
            </w: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4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4,460,571</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4,500,000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Interior Specialists,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06/30/2020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9.00%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L+800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6,662,719</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6,609,864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6,662,719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Inventus Power, Inc. (f/k/a ICC-Nexergy,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04/30/2020</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L+550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4,882,266</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4,846,935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4,686,976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07/30/2020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Consumer Services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L+700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4,820,995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4,753,000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02/19/2021</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7"/>
              </w:rPr>
              <w:t>Chemicals, Plastics and Rubber</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4,002,471</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3,932,760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3,925,841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07/17/2020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Retail</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2,827,307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2,821,500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KHC Holdings, Inc.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10/31/2022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7.00%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L+600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12,406,250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12,210,683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12,344,219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(10)</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10/30/2020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Wholesale</w:t>
            </w:r>
          </w:p>
        </w:tc>
        <w:tc>
          <w:tcPr>
            <w:tcW w:w="680" w:type="dxa"/>
            <w:vAlign w:val="bottom"/>
            <w:shd w:val="clear" w:color="auto" w:fill="CCEEFF"/>
          </w:tcPr>
          <w:p>
            <w:pPr>
              <w:jc w:val="right"/>
              <w:ind w:right="1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02"/>
              <w:spacing w:after="0" w:line="135" w:lineRule="exact"/>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1,209,677</w:t>
            </w:r>
          </w:p>
        </w:tc>
        <w:tc>
          <w:tcPr>
            <w:tcW w:w="740" w:type="dxa"/>
            <w:vAlign w:val="bottom"/>
            <w:shd w:val="clear" w:color="auto" w:fill="CCEEFF"/>
          </w:tcPr>
          <w:p>
            <w:pPr>
              <w:jc w:val="right"/>
              <w:ind w:right="8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tcPr>
          <w:p>
            <w:pPr>
              <w:spacing w:after="0" w:line="135" w:lineRule="exact"/>
              <w:rPr>
                <w:sz w:val="20"/>
                <w:szCs w:val="20"/>
                <w:color w:val="auto"/>
              </w:rPr>
            </w:pPr>
            <w:r>
              <w:rPr>
                <w:rFonts w:ascii="Arial" w:cs="Arial" w:eastAsia="Arial" w:hAnsi="Arial"/>
                <w:sz w:val="12"/>
                <w:szCs w:val="12"/>
                <w:color w:val="auto"/>
              </w:rPr>
              <w:t>Lago Resort &amp; Casino, LLC</w:t>
            </w:r>
          </w:p>
        </w:tc>
        <w:tc>
          <w:tcPr>
            <w:tcW w:w="860" w:type="dxa"/>
            <w:vAlign w:val="bottom"/>
          </w:tcPr>
          <w:p>
            <w:pPr>
              <w:jc w:val="center"/>
              <w:ind w:left="102"/>
              <w:spacing w:after="0" w:line="135" w:lineRule="exact"/>
              <w:rPr>
                <w:sz w:val="20"/>
                <w:szCs w:val="20"/>
                <w:color w:val="auto"/>
              </w:rPr>
            </w:pPr>
            <w:r>
              <w:rPr>
                <w:rFonts w:ascii="Arial" w:cs="Arial" w:eastAsia="Arial" w:hAnsi="Arial"/>
                <w:sz w:val="12"/>
                <w:szCs w:val="12"/>
                <w:color w:val="auto"/>
                <w:w w:val="89"/>
              </w:rPr>
              <w:t>03/07/2022</w:t>
            </w:r>
          </w:p>
        </w:tc>
        <w:tc>
          <w:tcPr>
            <w:tcW w:w="2000" w:type="dxa"/>
            <w:vAlign w:val="bottom"/>
          </w:tcPr>
          <w:p>
            <w:pPr>
              <w:jc w:val="center"/>
              <w:spacing w:after="0" w:line="135" w:lineRule="exact"/>
              <w:rPr>
                <w:sz w:val="20"/>
                <w:szCs w:val="20"/>
                <w:color w:val="auto"/>
              </w:rPr>
            </w:pPr>
            <w:r>
              <w:rPr>
                <w:rFonts w:ascii="Arial" w:cs="Arial" w:eastAsia="Arial" w:hAnsi="Arial"/>
                <w:sz w:val="12"/>
                <w:szCs w:val="12"/>
                <w:color w:val="auto"/>
                <w:w w:val="89"/>
              </w:rPr>
              <w:t>Hotel, Gaming and Leisure</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10.50%</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L+950</w:t>
            </w:r>
          </w:p>
        </w:tc>
        <w:tc>
          <w:tcPr>
            <w:tcW w:w="70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9"/>
              </w:rPr>
              <w:t>10,174,500</w:t>
            </w:r>
          </w:p>
        </w:tc>
        <w:tc>
          <w:tcPr>
            <w:tcW w:w="74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9,984,965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9,971,010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Lanyon Solutions, Inc.</w:t>
            </w:r>
          </w:p>
        </w:tc>
        <w:tc>
          <w:tcPr>
            <w:tcW w:w="860" w:type="dxa"/>
            <w:vAlign w:val="bottom"/>
            <w:shd w:val="clear" w:color="auto" w:fill="CCEEFF"/>
          </w:tcPr>
          <w:p>
            <w:pPr>
              <w:jc w:val="center"/>
              <w:ind w:left="102"/>
              <w:spacing w:after="0" w:line="135" w:lineRule="exact"/>
              <w:rPr>
                <w:sz w:val="20"/>
                <w:szCs w:val="20"/>
                <w:color w:val="auto"/>
              </w:rPr>
            </w:pPr>
            <w:r>
              <w:rPr>
                <w:rFonts w:ascii="Arial" w:cs="Arial" w:eastAsia="Arial" w:hAnsi="Arial"/>
                <w:sz w:val="12"/>
                <w:szCs w:val="12"/>
                <w:color w:val="auto"/>
                <w:w w:val="89"/>
              </w:rPr>
              <w:t>11/13/2020</w:t>
            </w:r>
          </w:p>
        </w:tc>
        <w:tc>
          <w:tcPr>
            <w:tcW w:w="20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High Tech Industries</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5.50%</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L+450</w:t>
            </w:r>
          </w:p>
        </w:tc>
        <w:tc>
          <w:tcPr>
            <w:tcW w:w="70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1,945,020</w:t>
            </w:r>
          </w:p>
        </w:tc>
        <w:tc>
          <w:tcPr>
            <w:tcW w:w="74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1,940,066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1,930,432</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860" w:type="dxa"/>
            <w:vAlign w:val="bottom"/>
          </w:tcPr>
          <w:p>
            <w:pPr>
              <w:jc w:val="center"/>
              <w:ind w:left="102"/>
              <w:spacing w:after="0"/>
              <w:rPr>
                <w:sz w:val="20"/>
                <w:szCs w:val="20"/>
                <w:color w:val="auto"/>
              </w:rPr>
            </w:pPr>
            <w:r>
              <w:rPr>
                <w:rFonts w:ascii="Arial" w:cs="Arial" w:eastAsia="Arial" w:hAnsi="Arial"/>
                <w:sz w:val="12"/>
                <w:szCs w:val="12"/>
                <w:color w:val="auto"/>
                <w:w w:val="89"/>
              </w:rPr>
              <w:t>11/30/2018</w:t>
            </w:r>
          </w:p>
        </w:tc>
        <w:tc>
          <w:tcPr>
            <w:tcW w:w="2000" w:type="dxa"/>
            <w:vAlign w:val="bottom"/>
          </w:tcPr>
          <w:p>
            <w:pPr>
              <w:jc w:val="center"/>
              <w:spacing w:after="0"/>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jc w:val="right"/>
              <w:ind w:right="22"/>
              <w:spacing w:after="0"/>
              <w:rPr>
                <w:sz w:val="20"/>
                <w:szCs w:val="20"/>
                <w:color w:val="auto"/>
              </w:rPr>
            </w:pPr>
            <w:r>
              <w:rPr>
                <w:rFonts w:ascii="Arial" w:cs="Arial" w:eastAsia="Arial" w:hAnsi="Arial"/>
                <w:sz w:val="12"/>
                <w:szCs w:val="12"/>
                <w:color w:val="auto"/>
              </w:rPr>
              <w:t>6.50%</w:t>
            </w:r>
          </w:p>
        </w:tc>
        <w:tc>
          <w:tcPr>
            <w:tcW w:w="740" w:type="dxa"/>
            <w:vAlign w:val="bottom"/>
          </w:tcPr>
          <w:p>
            <w:pPr>
              <w:jc w:val="right"/>
              <w:ind w:right="42"/>
              <w:spacing w:after="0"/>
              <w:rPr>
                <w:sz w:val="20"/>
                <w:szCs w:val="20"/>
                <w:color w:val="auto"/>
              </w:rPr>
            </w:pPr>
            <w:r>
              <w:rPr>
                <w:rFonts w:ascii="Arial" w:cs="Arial" w:eastAsia="Arial" w:hAnsi="Arial"/>
                <w:sz w:val="12"/>
                <w:szCs w:val="12"/>
                <w:color w:val="auto"/>
              </w:rPr>
              <w:t>L+525</w:t>
            </w: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5,407,864</w:t>
            </w:r>
          </w:p>
        </w:tc>
        <w:tc>
          <w:tcPr>
            <w:tcW w:w="740" w:type="dxa"/>
            <w:vAlign w:val="bottom"/>
          </w:tcPr>
          <w:p>
            <w:pPr>
              <w:jc w:val="right"/>
              <w:ind w:right="22"/>
              <w:spacing w:after="0"/>
              <w:rPr>
                <w:sz w:val="20"/>
                <w:szCs w:val="20"/>
                <w:color w:val="auto"/>
              </w:rPr>
            </w:pPr>
            <w:r>
              <w:rPr>
                <w:rFonts w:ascii="Arial" w:cs="Arial" w:eastAsia="Arial" w:hAnsi="Arial"/>
                <w:sz w:val="12"/>
                <w:szCs w:val="12"/>
                <w:color w:val="auto"/>
              </w:rPr>
              <w:t>5,371,524</w:t>
            </w:r>
          </w:p>
        </w:tc>
        <w:tc>
          <w:tcPr>
            <w:tcW w:w="740" w:type="dxa"/>
            <w:vAlign w:val="bottom"/>
          </w:tcPr>
          <w:p>
            <w:pPr>
              <w:jc w:val="right"/>
              <w:spacing w:after="0"/>
              <w:rPr>
                <w:sz w:val="20"/>
                <w:szCs w:val="20"/>
                <w:color w:val="auto"/>
              </w:rPr>
            </w:pPr>
            <w:r>
              <w:rPr>
                <w:rFonts w:ascii="Arial" w:cs="Arial" w:eastAsia="Arial" w:hAnsi="Arial"/>
                <w:sz w:val="12"/>
                <w:szCs w:val="12"/>
                <w:color w:val="auto"/>
              </w:rPr>
              <w:t>5,272,668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2"/>
              </w:rPr>
              <w:t>Industry</w:t>
            </w:r>
          </w:p>
        </w:tc>
        <w:tc>
          <w:tcPr>
            <w:tcW w:w="780" w:type="dxa"/>
            <w:vAlign w:val="bottom"/>
            <w:gridSpan w:val="2"/>
          </w:tcPr>
          <w:p>
            <w:pPr>
              <w:jc w:val="right"/>
              <w:ind w:right="253"/>
              <w:spacing w:after="0" w:line="135" w:lineRule="exact"/>
              <w:rPr>
                <w:sz w:val="20"/>
                <w:szCs w:val="20"/>
                <w:color w:val="auto"/>
              </w:rPr>
            </w:pPr>
            <w:r>
              <w:rPr>
                <w:rFonts w:ascii="Arial" w:cs="Arial" w:eastAsia="Arial" w:hAnsi="Arial"/>
                <w:sz w:val="12"/>
                <w:szCs w:val="12"/>
                <w:b w:val="1"/>
                <w:bCs w:val="1"/>
                <w:color w:val="auto"/>
              </w:rPr>
              <w:t>Current</w:t>
            </w:r>
          </w:p>
        </w:tc>
        <w:tc>
          <w:tcPr>
            <w:tcW w:w="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60" w:type="dxa"/>
            <w:vAlign w:val="bottom"/>
          </w:tcPr>
          <w:p>
            <w:pPr>
              <w:jc w:val="right"/>
              <w:ind w:right="10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Maturity</w:t>
            </w:r>
          </w:p>
        </w:tc>
        <w:tc>
          <w:tcPr>
            <w:tcW w:w="2040" w:type="dxa"/>
            <w:vAlign w:val="bottom"/>
            <w:gridSpan w:val="2"/>
            <w:vMerge w:val="continue"/>
          </w:tcPr>
          <w:p>
            <w:pPr>
              <w:spacing w:after="0"/>
              <w:rPr>
                <w:sz w:val="12"/>
                <w:szCs w:val="12"/>
                <w:color w:val="auto"/>
              </w:rPr>
            </w:pPr>
          </w:p>
        </w:tc>
        <w:tc>
          <w:tcPr>
            <w:tcW w:w="780" w:type="dxa"/>
            <w:vAlign w:val="bottom"/>
            <w:gridSpan w:val="2"/>
          </w:tcPr>
          <w:p>
            <w:pPr>
              <w:jc w:val="right"/>
              <w:ind w:right="253"/>
              <w:spacing w:after="0"/>
              <w:rPr>
                <w:sz w:val="20"/>
                <w:szCs w:val="20"/>
                <w:color w:val="auto"/>
              </w:rPr>
            </w:pPr>
            <w:r>
              <w:rPr>
                <w:rFonts w:ascii="Arial" w:cs="Arial" w:eastAsia="Arial" w:hAnsi="Arial"/>
                <w:sz w:val="12"/>
                <w:szCs w:val="12"/>
                <w:b w:val="1"/>
                <w:bCs w:val="1"/>
                <w:color w:val="auto"/>
              </w:rPr>
              <w:t>Coupon</w:t>
            </w:r>
          </w:p>
        </w:tc>
        <w:tc>
          <w:tcPr>
            <w:tcW w:w="6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56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(6), (11)</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3"/>
              </w:rPr>
              <w:t>05/10/2021</w:t>
            </w:r>
          </w:p>
        </w:tc>
        <w:tc>
          <w:tcPr>
            <w:tcW w:w="8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Hotel, Gaming and Leisure</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5.50</w:t>
            </w:r>
          </w:p>
        </w:tc>
        <w:tc>
          <w:tcPr>
            <w:tcW w:w="200" w:type="dxa"/>
            <w:vAlign w:val="bottom"/>
            <w:tcBorders>
              <w:top w:val="single" w:sz="8" w:color="CCEEFF"/>
            </w:tcBorders>
            <w:shd w:val="clear" w:color="auto" w:fill="CCEEFF"/>
          </w:tcPr>
          <w:p>
            <w:pPr>
              <w:jc w:val="right"/>
              <w:ind w:right="73"/>
              <w:spacing w:after="0"/>
              <w:rPr>
                <w:sz w:val="20"/>
                <w:szCs w:val="20"/>
                <w:color w:val="auto"/>
              </w:rPr>
            </w:pPr>
            <w:r>
              <w:rPr>
                <w:rFonts w:ascii="Arial" w:cs="Arial" w:eastAsia="Arial" w:hAnsi="Arial"/>
                <w:sz w:val="9"/>
                <w:szCs w:val="9"/>
                <w:color w:val="auto"/>
                <w:w w:val="74"/>
              </w:rPr>
              <w:t>%</w:t>
            </w:r>
          </w:p>
        </w:tc>
        <w:tc>
          <w:tcPr>
            <w:tcW w:w="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L+450</w:t>
            </w:r>
          </w:p>
        </w:tc>
        <w:tc>
          <w:tcPr>
            <w:tcW w:w="2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2,186,607</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2,177,539</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2,186,607</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05/10/2021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Hotel, Gaming and Leisure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282,143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280,973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282,143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Lombart Brothers,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04/13/2022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7.75%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L+675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5,901,046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6,014,925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04/13/2022</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7.75%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176,991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176,991</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176,991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04/13/2022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1,061,947</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Long’s Drugs Incorporated</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08/19/2021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4,951,874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LSF9 Atlantis Holdings,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01/15/2021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1"/>
              </w:rPr>
              <w:t>Retail</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10.00%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9,417,467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9,542,392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04/18/2022</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5,431,250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4,973,326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5,254,734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Marketplace Events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L+525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1,362,530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1,342,162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1,342,092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(12)</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P+275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17,244,188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12,065,652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13,078,215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6.25%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P+275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1,090,024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(10)</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01/27/2021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613,139</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Mission Critical Electronics, Inc.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09/28/2022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4,116,608</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4,075,499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4,075,442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(10)</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09/28/2021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883,392</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07/31/2019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L+525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8,817,647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8,767,669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8,288,588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08/19/2022</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6,268,657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6,205,970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6,205,970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 (10)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08/19/2022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3,731,343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Polycom,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09/27/2023</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5,760,000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5,775,000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Precyse Acquisition Corp.</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10/20/2022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3,932,956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4,014,938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Premier Dental Services,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11/01/2018</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5"/>
              </w:rPr>
              <w:t>Consumer Services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7,528,230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7,473,587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7,490,588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Profile Products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05/20/2021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L+475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7,222,561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7,281,762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05/20/2020</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Environmental Industries</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2,459,016</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Quick Weight Loss Centers,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08/23/2021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L+475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10,000,000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9,852,456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Research Now Group,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03/18/2021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6,895,000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6,867,800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6,688,150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Robertshaw US Holding Corp.</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06/18/2019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8.50%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4,252,830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4,233,671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4,258,699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Ryan,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08/07/2020</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6.75%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L+575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4,218,750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4,166,413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4,163,400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Sensus USA,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04/05/2023</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3"/>
              </w:rPr>
              <w:t>Utilities: Water</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9,975,000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9,692,511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9,999,938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Snak Club,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07/19/2021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4,968,748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4,896,623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4,919,060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07/19/2021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Beverage, Food and Tobacco</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500,000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Software Paradigms International Group,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05/21/2021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9,875,000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9,781,596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9,825,625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04/21/2017</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5"/>
              </w:rPr>
              <w:t>Aerospace and Defense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9.00%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5,668,843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5,614,696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5,640,499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Sundial Group Holdings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10/19/2021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L+625</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7,312,500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7,200,786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7,312,500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12/16/2020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7,446,562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7,395,200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7,409,329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10/18/2019</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5.00%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L+400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5,850,000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5,834,217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5,733,000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07/09/2021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90"/>
              </w:rPr>
              <w:t>Construction and Building</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5.75%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L+475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4,822,723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4,786,985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4,071,198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07/20/2021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3,092,295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3,062,366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(11)</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07/20/2021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5,986,002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5,928,120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5,926,142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(10),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07/20/2021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1,418,484</w:t>
            </w:r>
          </w:p>
        </w:tc>
        <w:tc>
          <w:tcPr>
            <w:tcW w:w="140" w:type="dxa"/>
            <w:vAlign w:val="bottom"/>
          </w:tcPr>
          <w:p>
            <w:pPr>
              <w:spacing w:after="0"/>
              <w:rPr>
                <w:sz w:val="11"/>
                <w:szCs w:val="11"/>
                <w:color w:val="auto"/>
              </w:rPr>
            </w:pPr>
          </w:p>
        </w:tc>
        <w:tc>
          <w:tcPr>
            <w:tcW w:w="680" w:type="dxa"/>
            <w:vAlign w:val="bottom"/>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(7,092)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TOMS Shoes,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11/02/2020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Non-Durable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1,970,000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1,825,559</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1,576,000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Triad Manufacturing, Inc.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12/28/2020</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11.27%</w:t>
            </w:r>
          </w:p>
        </w:tc>
        <w:tc>
          <w:tcPr>
            <w:tcW w:w="6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L+1,075</w:t>
            </w:r>
            <w:r>
              <w:rPr>
                <w:rFonts w:ascii="Arial" w:cs="Arial" w:eastAsia="Arial" w:hAnsi="Arial"/>
                <w:sz w:val="9"/>
                <w:szCs w:val="9"/>
                <w:color w:val="auto"/>
              </w:rPr>
              <w:t>(9)</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10,306,936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10,124,477</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10,306,936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73"/>
              <w:spacing w:after="0" w:line="129" w:lineRule="exact"/>
              <w:rPr>
                <w:sz w:val="20"/>
                <w:szCs w:val="20"/>
                <w:color w:val="auto"/>
              </w:rPr>
            </w:pPr>
            <w:r>
              <w:rPr>
                <w:rFonts w:ascii="Arial" w:cs="Arial" w:eastAsia="Arial" w:hAnsi="Arial"/>
                <w:sz w:val="12"/>
                <w:szCs w:val="12"/>
                <w:color w:val="auto"/>
              </w:rPr>
              <w:t>9.50%</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9"/>
              </w:rPr>
              <w:t>01/14/2019</w:t>
            </w:r>
          </w:p>
        </w:tc>
        <w:tc>
          <w:tcPr>
            <w:tcW w:w="8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2"/>
                <w:szCs w:val="12"/>
                <w:color w:val="auto"/>
              </w:rPr>
              <w:t>(PIK 1.00%)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L+850</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256,971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256,971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256,971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01/14/2019</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8.50%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599,702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562,432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590,706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01/14/2019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151,090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Universal Fiber Systems,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10/04/2021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4,962,500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4,919,423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4,937,688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U.S. Anesthesia Partners,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12/31/2019</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9,900,000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9,818,407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9,850,500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08/13/2021</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6"/>
              </w:rPr>
              <w:t>Healthcare and Pharmaceuticals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10.00%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L+900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3,089,844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3,089,844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3,089,844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Vistage Worldwide, Inc.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08/19/2021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Media: Broadcasting and Subscription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6.50%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L+550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4,752,002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4,792,831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Winchester Electronics Corporation</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06/30/2022</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L+650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7,773,579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7,703,094</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7,668,171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(10)</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06/30/2022</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9"/>
              </w:rPr>
              <w:t>Capital Equipment</w:t>
            </w:r>
          </w:p>
        </w:tc>
        <w:tc>
          <w:tcPr>
            <w:tcW w:w="7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708,333</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92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(9,605)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line="129" w:lineRule="exact"/>
              <w:rPr>
                <w:sz w:val="20"/>
                <w:szCs w:val="20"/>
                <w:color w:val="auto"/>
              </w:rPr>
            </w:pPr>
            <w:r>
              <w:rPr>
                <w:rFonts w:ascii="Arial" w:cs="Arial" w:eastAsia="Arial" w:hAnsi="Arial"/>
                <w:sz w:val="12"/>
                <w:szCs w:val="12"/>
                <w:color w:val="auto"/>
              </w:rPr>
              <w:t>Worley Claims Services, LLC</w:t>
            </w: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9"/>
              </w:rPr>
              <w:t>10/30/2020</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780" w:type="dxa"/>
            <w:vAlign w:val="bottom"/>
            <w:gridSpan w:val="2"/>
          </w:tcPr>
          <w:p>
            <w:pPr>
              <w:jc w:val="right"/>
              <w:ind w:right="73"/>
              <w:spacing w:after="0" w:line="129" w:lineRule="exact"/>
              <w:rPr>
                <w:sz w:val="20"/>
                <w:szCs w:val="20"/>
                <w:color w:val="auto"/>
              </w:rPr>
            </w:pPr>
            <w:r>
              <w:rPr>
                <w:rFonts w:ascii="Arial" w:cs="Arial" w:eastAsia="Arial" w:hAnsi="Arial"/>
                <w:sz w:val="12"/>
                <w:szCs w:val="12"/>
                <w:color w:val="auto"/>
              </w:rPr>
              <w:t>9.00%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7,316,440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7,259,010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7,316,440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2"/>
                <w:szCs w:val="12"/>
                <w:color w:val="auto"/>
                <w:w w:val="82"/>
              </w:rPr>
              <w:t>Estate</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First Lien Secured Debt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549,736,982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548,410,095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20" w:type="dxa"/>
            <w:vAlign w:val="bottom"/>
            <w:gridSpan w:val="2"/>
          </w:tcPr>
          <w:p>
            <w:pPr>
              <w:spacing w:after="0"/>
              <w:rPr>
                <w:sz w:val="20"/>
                <w:szCs w:val="20"/>
                <w:color w:val="auto"/>
              </w:rPr>
            </w:pPr>
            <w:r>
              <w:rPr>
                <w:rFonts w:ascii="Arial" w:cs="Arial" w:eastAsia="Arial" w:hAnsi="Arial"/>
                <w:sz w:val="12"/>
                <w:szCs w:val="12"/>
                <w:b w:val="1"/>
                <w:bCs w:val="1"/>
                <w:color w:val="auto"/>
              </w:rPr>
              <w:t>Second Lien Secured Debt—9.7%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10/31/2018</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8.50%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942,276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879,170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09/01/2017</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92"/>
              </w:rPr>
              <w:t>Metals and Mining</w:t>
            </w:r>
          </w:p>
        </w:tc>
        <w:tc>
          <w:tcPr>
            <w:tcW w:w="7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700,000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12/31/2020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7"/>
              </w:rPr>
              <w:t>Chemicals, Plastics and Rubber</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11.34%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L+1,050</w:t>
            </w:r>
            <w:r>
              <w:rPr>
                <w:rFonts w:ascii="Arial" w:cs="Arial" w:eastAsia="Arial" w:hAnsi="Arial"/>
                <w:sz w:val="9"/>
                <w:szCs w:val="9"/>
                <w:color w:val="auto"/>
              </w:rPr>
              <w:t>(9)</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1,971,030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2,020,000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Howard Berger Co.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09/30/2020</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35" w:lineRule="exact"/>
              <w:rPr>
                <w:sz w:val="20"/>
                <w:szCs w:val="20"/>
                <w:color w:val="auto"/>
              </w:rPr>
            </w:pPr>
            <w:r>
              <w:rPr>
                <w:rFonts w:ascii="Arial" w:cs="Arial" w:eastAsia="Arial" w:hAnsi="Arial"/>
                <w:sz w:val="12"/>
                <w:szCs w:val="12"/>
                <w:color w:val="auto"/>
                <w:w w:val="89"/>
              </w:rPr>
              <w:t>Wholesale</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11.00%</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10,511,818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9,900,000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MailSouth, Inc.</w:t>
            </w:r>
          </w:p>
        </w:tc>
        <w:tc>
          <w:tcPr>
            <w:tcW w:w="6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10/22/2021</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90"/>
              </w:rPr>
              <w:t>Media: Advertising, Printing and</w:t>
            </w:r>
          </w:p>
        </w:tc>
        <w:tc>
          <w:tcPr>
            <w:tcW w:w="780" w:type="dxa"/>
            <w:vAlign w:val="bottom"/>
            <w:gridSpan w:val="2"/>
            <w:shd w:val="clear" w:color="auto" w:fill="CCEEFF"/>
          </w:tcPr>
          <w:p>
            <w:pPr>
              <w:jc w:val="right"/>
              <w:ind w:right="73"/>
              <w:spacing w:after="0" w:line="129" w:lineRule="exact"/>
              <w:rPr>
                <w:sz w:val="20"/>
                <w:szCs w:val="20"/>
                <w:color w:val="auto"/>
              </w:rPr>
            </w:pPr>
            <w:r>
              <w:rPr>
                <w:rFonts w:ascii="Arial" w:cs="Arial" w:eastAsia="Arial" w:hAnsi="Arial"/>
                <w:sz w:val="12"/>
                <w:szCs w:val="12"/>
                <w:color w:val="auto"/>
              </w:rPr>
              <w:t>11.50%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L+1,050</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3,703,724</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3,775,000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0"/>
              </w:rPr>
              <w:t>Publishing</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Novitex Acquisition, LLC</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07/07/2021</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12.25%</w:t>
            </w:r>
          </w:p>
        </w:tc>
        <w:tc>
          <w:tcPr>
            <w:tcW w:w="6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L+1,100</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10,914,618</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10/02/2020</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2"/>
                <w:szCs w:val="12"/>
                <w:color w:val="auto"/>
                <w:w w:val="90"/>
              </w:rPr>
              <w:t>Media: Diversified and Production</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9.00%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4,872,042</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4,826,926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4,853,772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40" w:type="dxa"/>
            <w:vAlign w:val="bottom"/>
            <w:gridSpan w:val="2"/>
          </w:tcPr>
          <w:p>
            <w:pPr>
              <w:jc w:val="right"/>
              <w:spacing w:after="0" w:line="135" w:lineRule="exact"/>
              <w:rPr>
                <w:sz w:val="20"/>
                <w:szCs w:val="20"/>
                <w:color w:val="auto"/>
              </w:rPr>
            </w:pPr>
            <w:r>
              <w:rPr>
                <w:rFonts w:ascii="Arial" w:cs="Arial" w:eastAsia="Arial" w:hAnsi="Arial"/>
                <w:sz w:val="12"/>
                <w:szCs w:val="12"/>
                <w:color w:val="auto"/>
                <w:w w:val="99"/>
              </w:rPr>
              <w:t>08/01/2017</w:t>
            </w:r>
          </w:p>
        </w:tc>
        <w:tc>
          <w:tcPr>
            <w:tcW w:w="80" w:type="dxa"/>
            <w:vAlign w:val="bottom"/>
          </w:tcPr>
          <w:p>
            <w:pPr>
              <w:spacing w:after="0"/>
              <w:rPr>
                <w:sz w:val="11"/>
                <w:szCs w:val="11"/>
                <w:color w:val="auto"/>
              </w:rPr>
            </w:pPr>
          </w:p>
        </w:tc>
        <w:tc>
          <w:tcPr>
            <w:tcW w:w="2040" w:type="dxa"/>
            <w:vAlign w:val="bottom"/>
            <w:gridSpan w:val="2"/>
          </w:tcPr>
          <w:p>
            <w:pPr>
              <w:jc w:val="center"/>
              <w:ind w:right="80"/>
              <w:spacing w:after="0" w:line="135" w:lineRule="exact"/>
              <w:rPr>
                <w:sz w:val="20"/>
                <w:szCs w:val="20"/>
                <w:color w:val="auto"/>
              </w:rPr>
            </w:pPr>
            <w:r>
              <w:rPr>
                <w:rFonts w:ascii="Arial" w:cs="Arial" w:eastAsia="Arial" w:hAnsi="Arial"/>
                <w:sz w:val="12"/>
                <w:szCs w:val="12"/>
                <w:color w:val="auto"/>
                <w:w w:val="88"/>
              </w:rPr>
              <w:t>Energy: Oil and Gas</w:t>
            </w:r>
          </w:p>
        </w:tc>
        <w:tc>
          <w:tcPr>
            <w:tcW w:w="780" w:type="dxa"/>
            <w:vAlign w:val="bottom"/>
            <w:gridSpan w:val="2"/>
          </w:tcPr>
          <w:p>
            <w:pPr>
              <w:jc w:val="right"/>
              <w:ind w:right="73"/>
              <w:spacing w:after="0" w:line="135" w:lineRule="exact"/>
              <w:rPr>
                <w:sz w:val="20"/>
                <w:szCs w:val="20"/>
                <w:color w:val="auto"/>
              </w:rPr>
            </w:pPr>
            <w:r>
              <w:rPr>
                <w:rFonts w:ascii="Arial" w:cs="Arial" w:eastAsia="Arial" w:hAnsi="Arial"/>
                <w:sz w:val="12"/>
                <w:szCs w:val="12"/>
                <w:color w:val="auto"/>
              </w:rPr>
              <w:t>12.50%</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2,756,732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1,631,250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VT Buyer Acquisition Corp.</w:t>
            </w:r>
          </w:p>
        </w:tc>
        <w:tc>
          <w:tcPr>
            <w:tcW w:w="6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w w:val="99"/>
              </w:rPr>
              <w:t>01/30/2023</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2"/>
                <w:szCs w:val="12"/>
                <w:color w:val="auto"/>
                <w:w w:val="85"/>
              </w:rPr>
              <w:t>Business Services</w:t>
            </w:r>
          </w:p>
        </w:tc>
        <w:tc>
          <w:tcPr>
            <w:tcW w:w="780" w:type="dxa"/>
            <w:vAlign w:val="bottom"/>
            <w:gridSpan w:val="2"/>
            <w:shd w:val="clear" w:color="auto" w:fill="CCEEFF"/>
          </w:tcPr>
          <w:p>
            <w:pPr>
              <w:jc w:val="right"/>
              <w:ind w:right="73"/>
              <w:spacing w:after="0" w:line="135" w:lineRule="exact"/>
              <w:rPr>
                <w:sz w:val="20"/>
                <w:szCs w:val="20"/>
                <w:color w:val="auto"/>
              </w:rPr>
            </w:pPr>
            <w:r>
              <w:rPr>
                <w:rFonts w:ascii="Arial" w:cs="Arial" w:eastAsia="Arial" w:hAnsi="Arial"/>
                <w:sz w:val="12"/>
                <w:szCs w:val="12"/>
                <w:color w:val="auto"/>
              </w:rPr>
              <w:t>10.75%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1,777,304</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1,837,500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gridSpan w:val="2"/>
          </w:tcPr>
          <w:p>
            <w:pPr>
              <w:spacing w:after="0"/>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38,404,428</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36,596,692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Subordinated Debt/Corporate Notes—0.8% </w:t>
            </w:r>
            <w:r>
              <w:rPr>
                <w:rFonts w:ascii="Arial" w:cs="Arial" w:eastAsia="Arial" w:hAnsi="Arial"/>
                <w:sz w:val="9"/>
                <w:szCs w:val="9"/>
                <w:b w:val="1"/>
                <w:bCs w:val="1"/>
                <w:color w:val="auto"/>
              </w:rPr>
              <w:t>(8)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line="129" w:lineRule="exact"/>
              <w:rPr>
                <w:sz w:val="20"/>
                <w:szCs w:val="20"/>
                <w:color w:val="auto"/>
              </w:rPr>
            </w:pPr>
            <w:r>
              <w:rPr>
                <w:rFonts w:ascii="Arial" w:cs="Arial" w:eastAsia="Arial" w:hAnsi="Arial"/>
                <w:sz w:val="12"/>
                <w:szCs w:val="12"/>
                <w:color w:val="auto"/>
              </w:rPr>
              <w:t xml:space="preserve">Affinion International Holdings Limited </w:t>
            </w:r>
            <w:r>
              <w:rPr>
                <w:rFonts w:ascii="Arial" w:cs="Arial" w:eastAsia="Arial" w:hAnsi="Arial"/>
                <w:sz w:val="9"/>
                <w:szCs w:val="9"/>
                <w:color w:val="auto"/>
              </w:rPr>
              <w:t>(5), (6), (11)</w:t>
            </w: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9"/>
              </w:rPr>
              <w:t>07/30/2018</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8"/>
              </w:rPr>
              <w:t>Consumer Goods: Durable</w:t>
            </w:r>
          </w:p>
        </w:tc>
        <w:tc>
          <w:tcPr>
            <w:tcW w:w="780" w:type="dxa"/>
            <w:vAlign w:val="bottom"/>
            <w:gridSpan w:val="2"/>
          </w:tcPr>
          <w:p>
            <w:pPr>
              <w:jc w:val="right"/>
              <w:ind w:right="73"/>
              <w:spacing w:after="0" w:line="129" w:lineRule="exact"/>
              <w:rPr>
                <w:sz w:val="20"/>
                <w:szCs w:val="20"/>
                <w:color w:val="auto"/>
              </w:rPr>
            </w:pPr>
            <w:r>
              <w:rPr>
                <w:rFonts w:ascii="Arial" w:cs="Arial" w:eastAsia="Arial" w:hAnsi="Arial"/>
                <w:sz w:val="12"/>
                <w:szCs w:val="12"/>
                <w:color w:val="auto"/>
              </w:rPr>
              <w:t>7.50%</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1,135,273</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1,030,320</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1,035,937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2"/>
                <w:szCs w:val="12"/>
                <w:color w:val="auto"/>
              </w:rPr>
              <w:t>(PIK 4.00%)</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Credit Infonet, Inc.</w:t>
            </w:r>
          </w:p>
        </w:tc>
        <w:tc>
          <w:tcPr>
            <w:tcW w:w="64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w w:val="99"/>
              </w:rPr>
              <w:t>10/26/2018</w:t>
            </w:r>
          </w:p>
        </w:tc>
        <w:tc>
          <w:tcPr>
            <w:tcW w:w="8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00"/>
              <w:spacing w:after="0" w:line="136" w:lineRule="exact"/>
              <w:rPr>
                <w:sz w:val="20"/>
                <w:szCs w:val="20"/>
                <w:color w:val="auto"/>
              </w:rPr>
            </w:pPr>
            <w:r>
              <w:rPr>
                <w:rFonts w:ascii="Arial" w:cs="Arial" w:eastAsia="Arial" w:hAnsi="Arial"/>
                <w:sz w:val="12"/>
                <w:szCs w:val="12"/>
                <w:color w:val="auto"/>
                <w:w w:val="89"/>
              </w:rPr>
              <w:t>High Tech Industries</w:t>
            </w:r>
          </w:p>
        </w:tc>
        <w:tc>
          <w:tcPr>
            <w:tcW w:w="780" w:type="dxa"/>
            <w:vAlign w:val="bottom"/>
            <w:gridSpan w:val="2"/>
            <w:shd w:val="clear" w:color="auto" w:fill="CCEEFF"/>
          </w:tcPr>
          <w:p>
            <w:pPr>
              <w:jc w:val="right"/>
              <w:ind w:right="73"/>
              <w:spacing w:after="0" w:line="136" w:lineRule="exact"/>
              <w:rPr>
                <w:sz w:val="20"/>
                <w:szCs w:val="20"/>
                <w:color w:val="auto"/>
              </w:rPr>
            </w:pPr>
            <w:r>
              <w:rPr>
                <w:rFonts w:ascii="Arial" w:cs="Arial" w:eastAsia="Arial" w:hAnsi="Arial"/>
                <w:sz w:val="12"/>
                <w:szCs w:val="12"/>
                <w:color w:val="auto"/>
              </w:rPr>
              <w:t>13.00%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2,069,078</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2,050,767</w:t>
            </w:r>
          </w:p>
        </w:tc>
        <w:tc>
          <w:tcPr>
            <w:tcW w:w="8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1,975,969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3"/>
              <w:spacing w:after="0"/>
              <w:rPr>
                <w:sz w:val="20"/>
                <w:szCs w:val="20"/>
                <w:color w:val="auto"/>
              </w:rPr>
            </w:pPr>
            <w:r>
              <w:rPr>
                <w:rFonts w:ascii="Arial" w:cs="Arial" w:eastAsia="Arial" w:hAnsi="Arial"/>
                <w:sz w:val="12"/>
                <w:szCs w:val="12"/>
                <w:color w:val="auto"/>
              </w:rPr>
              <w:t>(PIK 1.75%)</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line="129" w:lineRule="exact"/>
              <w:rPr>
                <w:sz w:val="20"/>
                <w:szCs w:val="20"/>
                <w:color w:val="auto"/>
              </w:rPr>
            </w:pPr>
            <w:r>
              <w:rPr>
                <w:rFonts w:ascii="Arial" w:cs="Arial" w:eastAsia="Arial" w:hAnsi="Arial"/>
                <w:sz w:val="12"/>
                <w:szCs w:val="12"/>
                <w:color w:val="auto"/>
              </w:rPr>
              <w:t>UniTek Global Services, Inc.</w:t>
            </w:r>
          </w:p>
        </w:tc>
        <w:tc>
          <w:tcPr>
            <w:tcW w:w="640" w:type="dxa"/>
            <w:vAlign w:val="bottom"/>
            <w:gridSpan w:val="2"/>
          </w:tcPr>
          <w:p>
            <w:pPr>
              <w:jc w:val="right"/>
              <w:spacing w:after="0" w:line="129" w:lineRule="exact"/>
              <w:rPr>
                <w:sz w:val="20"/>
                <w:szCs w:val="20"/>
                <w:color w:val="auto"/>
              </w:rPr>
            </w:pPr>
            <w:r>
              <w:rPr>
                <w:rFonts w:ascii="Arial" w:cs="Arial" w:eastAsia="Arial" w:hAnsi="Arial"/>
                <w:sz w:val="12"/>
                <w:szCs w:val="12"/>
                <w:color w:val="auto"/>
                <w:w w:val="99"/>
              </w:rPr>
              <w:t>07/15/2019</w:t>
            </w:r>
          </w:p>
        </w:tc>
        <w:tc>
          <w:tcPr>
            <w:tcW w:w="80" w:type="dxa"/>
            <w:vAlign w:val="bottom"/>
          </w:tcPr>
          <w:p>
            <w:pPr>
              <w:spacing w:after="0"/>
              <w:rPr>
                <w:sz w:val="11"/>
                <w:szCs w:val="11"/>
                <w:color w:val="auto"/>
              </w:rPr>
            </w:pPr>
          </w:p>
        </w:tc>
        <w:tc>
          <w:tcPr>
            <w:tcW w:w="2040" w:type="dxa"/>
            <w:vAlign w:val="bottom"/>
            <w:gridSpan w:val="2"/>
          </w:tcPr>
          <w:p>
            <w:pPr>
              <w:jc w:val="center"/>
              <w:ind w:right="100"/>
              <w:spacing w:after="0" w:line="129" w:lineRule="exact"/>
              <w:rPr>
                <w:sz w:val="20"/>
                <w:szCs w:val="20"/>
                <w:color w:val="auto"/>
              </w:rPr>
            </w:pPr>
            <w:r>
              <w:rPr>
                <w:rFonts w:ascii="Arial" w:cs="Arial" w:eastAsia="Arial" w:hAnsi="Arial"/>
                <w:sz w:val="12"/>
                <w:szCs w:val="12"/>
                <w:color w:val="auto"/>
                <w:w w:val="89"/>
              </w:rPr>
              <w:t>Telecommunications</w:t>
            </w:r>
          </w:p>
        </w:tc>
        <w:tc>
          <w:tcPr>
            <w:tcW w:w="780" w:type="dxa"/>
            <w:vAlign w:val="bottom"/>
            <w:gridSpan w:val="2"/>
          </w:tcPr>
          <w:p>
            <w:pPr>
              <w:jc w:val="right"/>
              <w:ind w:right="73"/>
              <w:spacing w:after="0" w:line="129" w:lineRule="exact"/>
              <w:rPr>
                <w:sz w:val="20"/>
                <w:szCs w:val="20"/>
                <w:color w:val="auto"/>
              </w:rPr>
            </w:pPr>
            <w:r>
              <w:rPr>
                <w:rFonts w:ascii="Arial" w:cs="Arial" w:eastAsia="Arial" w:hAnsi="Arial"/>
                <w:sz w:val="12"/>
                <w:szCs w:val="12"/>
                <w:color w:val="auto"/>
              </w:rPr>
              <w:t>15.00%</w:t>
            </w:r>
          </w:p>
        </w:tc>
        <w:tc>
          <w:tcPr>
            <w:tcW w:w="6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29" w:lineRule="exact"/>
              <w:rPr>
                <w:sz w:val="20"/>
                <w:szCs w:val="20"/>
                <w:color w:val="auto"/>
              </w:rPr>
            </w:pPr>
            <w:r>
              <w:rPr>
                <w:rFonts w:ascii="Arial" w:cs="Arial" w:eastAsia="Arial" w:hAnsi="Arial"/>
                <w:sz w:val="12"/>
                <w:szCs w:val="12"/>
                <w:color w:val="auto"/>
              </w:rPr>
              <w:t>146,996</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146,996</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148,466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3"/>
              <w:spacing w:after="0"/>
              <w:rPr>
                <w:sz w:val="20"/>
                <w:szCs w:val="20"/>
                <w:color w:val="auto"/>
              </w:rPr>
            </w:pPr>
            <w:r>
              <w:rPr>
                <w:rFonts w:ascii="Arial" w:cs="Arial" w:eastAsia="Arial" w:hAnsi="Arial"/>
                <w:sz w:val="12"/>
                <w:szCs w:val="12"/>
                <w:color w:val="auto"/>
                <w:w w:val="95"/>
              </w:rPr>
              <w:t>(PIK 15.00%)</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3,228,083</w:t>
            </w: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3,160,372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240"/>
          </w:cols>
          <w:pgMar w:left="240" w:top="460" w:right="419" w:bottom="1440" w:gutter="0" w:footer="0" w:header="0"/>
          <w:type w:val="continuous"/>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2016</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5"/>
              </w:rPr>
              <w:t>Basis Point</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8"/>
              </w:rPr>
              <w:t>Spread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6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Current</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auto"/>
                <w:w w:val="87"/>
              </w:rPr>
              <w:t>Above</w:t>
            </w:r>
          </w:p>
        </w:tc>
        <w:tc>
          <w:tcPr>
            <w:tcW w:w="500" w:type="dxa"/>
            <w:vAlign w:val="bottom"/>
          </w:tcPr>
          <w:p>
            <w:pPr>
              <w:jc w:val="right"/>
              <w:ind w:right="8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500" w:type="dxa"/>
            <w:vAlign w:val="bottom"/>
            <w:gridSpan w:val="2"/>
            <w:vMerge w:val="continue"/>
          </w:tcPr>
          <w:p>
            <w:pPr>
              <w:spacing w:after="0"/>
              <w:rPr>
                <w:sz w:val="12"/>
                <w:szCs w:val="12"/>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8"/>
              </w:rPr>
              <w:t>Maturity</w:t>
            </w: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Coupon</w:t>
            </w: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500" w:type="dxa"/>
            <w:vAlign w:val="bottom"/>
          </w:tcPr>
          <w:p>
            <w:pPr>
              <w:jc w:val="right"/>
              <w:ind w:right="22"/>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22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(7), (8)</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68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13.50%</w:t>
            </w:r>
          </w:p>
        </w:tc>
        <w:tc>
          <w:tcPr>
            <w:tcW w:w="60" w:type="dxa"/>
            <w:vAlign w:val="bottom"/>
          </w:tcPr>
          <w:p>
            <w:pPr>
              <w:spacing w:after="0"/>
              <w:rPr>
                <w:sz w:val="12"/>
                <w:szCs w:val="12"/>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w w:val="89"/>
              </w:rPr>
              <w:t>1,047,317</w:t>
            </w:r>
          </w:p>
        </w:tc>
        <w:tc>
          <w:tcPr>
            <w:tcW w:w="30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670,283</w:t>
            </w:r>
          </w:p>
        </w:tc>
        <w:tc>
          <w:tcPr>
            <w:tcW w:w="28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1,319,308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 xml:space="preserve">Common Equity/Warrants—2.5% </w:t>
            </w:r>
            <w:r>
              <w:rPr>
                <w:rFonts w:ascii="Arial" w:cs="Arial" w:eastAsia="Arial" w:hAnsi="Arial"/>
                <w:sz w:val="9"/>
                <w:szCs w:val="9"/>
                <w:b w:val="1"/>
                <w:bCs w:val="1"/>
                <w:color w:val="auto"/>
              </w:rPr>
              <w:t>(7), (8)</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Affinion Group Holdings,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100" w:type="dxa"/>
            <w:vAlign w:val="bottom"/>
          </w:tcPr>
          <w:p>
            <w:pPr>
              <w:spacing w:after="0"/>
              <w:rPr>
                <w:sz w:val="11"/>
                <w:szCs w:val="11"/>
                <w:color w:val="auto"/>
              </w:rPr>
            </w:pPr>
          </w:p>
        </w:tc>
        <w:tc>
          <w:tcPr>
            <w:tcW w:w="5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99,029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3,514,572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3,700,216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C and Series D</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4,298</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1,186,649</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Corfin InvestCo, L.P.</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tcPr>
          <w:p>
            <w:pPr>
              <w:spacing w:after="0"/>
              <w:rPr>
                <w:sz w:val="11"/>
                <w:szCs w:val="11"/>
                <w:color w:val="auto"/>
              </w:rPr>
            </w:pPr>
          </w:p>
        </w:tc>
        <w:tc>
          <w:tcPr>
            <w:tcW w:w="5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3,000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621,550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(10)</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5"/>
              </w:rPr>
              <w:t>Aerospace and Defense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3,000</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e.l.f. Beauty, Inc. (f/k/a J.A. Cosmetics US,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35" w:lineRule="exact"/>
              <w:rPr>
                <w:sz w:val="20"/>
                <w:szCs w:val="20"/>
                <w:color w:val="auto"/>
              </w:rPr>
            </w:pPr>
            <w:r>
              <w:rPr>
                <w:rFonts w:ascii="Arial" w:cs="Arial" w:eastAsia="Arial" w:hAnsi="Arial"/>
                <w:sz w:val="12"/>
                <w:szCs w:val="12"/>
                <w:color w:val="auto"/>
                <w:w w:val="88"/>
              </w:rPr>
              <w:t>Consumer Goods: Durable</w:t>
            </w:r>
          </w:p>
        </w:tc>
        <w:tc>
          <w:tcPr>
            <w:tcW w:w="100" w:type="dxa"/>
            <w:vAlign w:val="bottom"/>
          </w:tcPr>
          <w:p>
            <w:pPr>
              <w:spacing w:after="0"/>
              <w:rPr>
                <w:sz w:val="11"/>
                <w:szCs w:val="11"/>
                <w:color w:val="auto"/>
              </w:rPr>
            </w:pPr>
          </w:p>
        </w:tc>
        <w:tc>
          <w:tcPr>
            <w:tcW w:w="58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rPr>
              <w:t>110,399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rPr>
              <w:t>295,670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2,957,767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Faraday Holdings, LLC (Interior Specialists, Inc.)</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0"/>
              </w:rPr>
              <w:t>Construction and Building</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1,141</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58,044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94,560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Patriot National,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29" w:lineRule="exact"/>
              <w:rPr>
                <w:sz w:val="20"/>
                <w:szCs w:val="20"/>
                <w:color w:val="auto"/>
              </w:rPr>
            </w:pPr>
            <w:r>
              <w:rPr>
                <w:rFonts w:ascii="Arial" w:cs="Arial" w:eastAsia="Arial" w:hAnsi="Arial"/>
                <w:sz w:val="12"/>
                <w:szCs w:val="12"/>
                <w:color w:val="auto"/>
                <w:w w:val="87"/>
              </w:rPr>
              <w:t>Banking, Finance, Insurance and Real</w:t>
            </w:r>
          </w:p>
        </w:tc>
        <w:tc>
          <w:tcPr>
            <w:tcW w:w="100" w:type="dxa"/>
            <w:vAlign w:val="bottom"/>
          </w:tcPr>
          <w:p>
            <w:pPr>
              <w:spacing w:after="0"/>
              <w:rPr>
                <w:sz w:val="11"/>
                <w:szCs w:val="11"/>
                <w:color w:val="auto"/>
              </w:rPr>
            </w:pPr>
          </w:p>
        </w:tc>
        <w:tc>
          <w:tcPr>
            <w:tcW w:w="58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11,867</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27,995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106,922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82"/>
              </w:rPr>
              <w:t>Estate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TPC Broadband Investors, LP</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Telecommunications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430,666</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430,666</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430,666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(Advanced Cable Communications, LLC)</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TPC Broadband Investors, LP</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29" w:lineRule="exact"/>
              <w:rPr>
                <w:sz w:val="20"/>
                <w:szCs w:val="20"/>
                <w:color w:val="auto"/>
              </w:rPr>
            </w:pPr>
            <w:r>
              <w:rPr>
                <w:rFonts w:ascii="Arial" w:cs="Arial" w:eastAsia="Arial" w:hAnsi="Arial"/>
                <w:sz w:val="12"/>
                <w:szCs w:val="12"/>
                <w:color w:val="auto"/>
                <w:w w:val="89"/>
              </w:rPr>
              <w:t>Telecommunications</w:t>
            </w:r>
          </w:p>
        </w:tc>
        <w:tc>
          <w:tcPr>
            <w:tcW w:w="100" w:type="dxa"/>
            <w:vAlign w:val="bottom"/>
          </w:tcPr>
          <w:p>
            <w:pPr>
              <w:spacing w:after="0"/>
              <w:rPr>
                <w:sz w:val="11"/>
                <w:szCs w:val="11"/>
                <w:color w:val="auto"/>
              </w:rPr>
            </w:pPr>
          </w:p>
        </w:tc>
        <w:tc>
          <w:tcPr>
            <w:tcW w:w="58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569,334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ind w:right="2"/>
              <w:spacing w:after="0" w:line="129"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8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(10)</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2"/>
                <w:szCs w:val="12"/>
                <w:color w:val="auto"/>
                <w:w w:val="99"/>
              </w:rPr>
              <w:t>—</w:t>
            </w:r>
          </w:p>
        </w:tc>
        <w:tc>
          <w:tcPr>
            <w:tcW w:w="194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9"/>
              </w:rPr>
              <w:t>Telecommunications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149,617</w:t>
            </w: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892,276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80" w:type="dxa"/>
            <w:vAlign w:val="bottom"/>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2"/>
                <w:szCs w:val="12"/>
                <w:color w:val="auto"/>
                <w:w w:val="99"/>
              </w:rPr>
              <w:t>—</w:t>
            </w:r>
          </w:p>
        </w:tc>
        <w:tc>
          <w:tcPr>
            <w:tcW w:w="1940" w:type="dxa"/>
            <w:vAlign w:val="bottom"/>
          </w:tcPr>
          <w:p>
            <w:pPr>
              <w:jc w:val="center"/>
              <w:spacing w:after="0" w:line="129" w:lineRule="exact"/>
              <w:rPr>
                <w:sz w:val="20"/>
                <w:szCs w:val="20"/>
                <w:color w:val="auto"/>
              </w:rPr>
            </w:pPr>
            <w:r>
              <w:rPr>
                <w:rFonts w:ascii="Arial" w:cs="Arial" w:eastAsia="Arial" w:hAnsi="Arial"/>
                <w:sz w:val="12"/>
                <w:szCs w:val="12"/>
                <w:color w:val="auto"/>
                <w:w w:val="90"/>
              </w:rPr>
              <w:t>Media: Advertising, Printing and</w:t>
            </w:r>
          </w:p>
        </w:tc>
        <w:tc>
          <w:tcPr>
            <w:tcW w:w="100" w:type="dxa"/>
            <w:vAlign w:val="bottom"/>
          </w:tcPr>
          <w:p>
            <w:pPr>
              <w:spacing w:after="0"/>
              <w:rPr>
                <w:sz w:val="11"/>
                <w:szCs w:val="11"/>
                <w:color w:val="auto"/>
              </w:rPr>
            </w:pPr>
          </w:p>
        </w:tc>
        <w:tc>
          <w:tcPr>
            <w:tcW w:w="58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2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9" w:lineRule="exact"/>
              <w:rPr>
                <w:sz w:val="20"/>
                <w:szCs w:val="20"/>
                <w:color w:val="auto"/>
              </w:rPr>
            </w:pPr>
            <w:r>
              <w:rPr>
                <w:rFonts w:ascii="Arial" w:cs="Arial" w:eastAsia="Arial" w:hAnsi="Arial"/>
                <w:sz w:val="12"/>
                <w:szCs w:val="12"/>
                <w:color w:val="auto"/>
              </w:rPr>
              <w:t>15,179</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2"/>
                <w:szCs w:val="12"/>
                <w:color w:val="auto"/>
              </w:rPr>
              <w:t>56,895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577,005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color w:val="auto"/>
                <w:w w:val="90"/>
              </w:rPr>
              <w:t>Publishing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5,870,491</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9,401,058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6"/>
              </w:rPr>
              <w:t>597,910,267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598,887,525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and Cash Equivalents—7.7%</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2"/>
                <w:szCs w:val="12"/>
                <w:color w:val="auto"/>
                <w:w w:val="96"/>
              </w:rPr>
              <w:t>28,212,041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28,212,041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BNY Mellon Cash Reserve and Cash</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691,318</w:t>
            </w:r>
          </w:p>
        </w:tc>
        <w:tc>
          <w:tcPr>
            <w:tcW w:w="2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698,932</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28,903,359</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28,910,973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Equivalents—167.0%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6"/>
              </w:rPr>
              <w:t>626,813,626</w:t>
            </w: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2"/>
              </w:rPr>
              <w:t>627,798,498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Assets—(67.0)%</w:t>
            </w: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88"/>
              </w:rPr>
              <w:t>(251,891,670)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8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92"/>
              </w:rPr>
              <w:t>375,906,828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4662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6" w:lineRule="exact"/>
        <w:rPr>
          <w:sz w:val="20"/>
          <w:szCs w:val="20"/>
          <w:color w:val="auto"/>
        </w:rPr>
      </w:pPr>
    </w:p>
    <w:p>
      <w:pPr>
        <w:ind w:left="520" w:right="100" w:hanging="316"/>
        <w:spacing w:after="0" w:line="243"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8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520" w:right="30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520" w:right="20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1"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ind w:left="52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520" w:hanging="316"/>
        <w:spacing w:after="0"/>
        <w:tabs>
          <w:tab w:leader="none" w:pos="520" w:val="left"/>
        </w:tabs>
        <w:numPr>
          <w:ilvl w:val="0"/>
          <w:numId w:val="120"/>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520" w:right="100" w:hanging="316"/>
        <w:spacing w:after="0" w:line="234" w:lineRule="auto"/>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Par amount is denominated in Canadian Dollars.</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 SEPTEMBER 30, 2015</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jc w:val="center"/>
              <w:ind w:right="82"/>
              <w:spacing w:after="0"/>
              <w:rPr>
                <w:sz w:val="20"/>
                <w:szCs w:val="20"/>
                <w:color w:val="auto"/>
              </w:rPr>
            </w:pPr>
            <w:r>
              <w:rPr>
                <w:rFonts w:ascii="Arial" w:cs="Arial" w:eastAsia="Arial" w:hAnsi="Arial"/>
                <w:sz w:val="12"/>
                <w:szCs w:val="12"/>
                <w:b w:val="1"/>
                <w:bCs w:val="1"/>
                <w:color w:val="auto"/>
                <w:w w:val="82"/>
              </w:rPr>
              <w:t>Basis Point</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3"/>
              </w:rPr>
              <w:t>Spread</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40" w:type="dxa"/>
            <w:vAlign w:val="bottom"/>
          </w:tcPr>
          <w:p>
            <w:pPr>
              <w:jc w:val="right"/>
              <w:ind w:right="202"/>
              <w:spacing w:after="0" w:line="135" w:lineRule="exact"/>
              <w:rPr>
                <w:sz w:val="20"/>
                <w:szCs w:val="20"/>
                <w:color w:val="auto"/>
              </w:rPr>
            </w:pPr>
            <w:r>
              <w:rPr>
                <w:rFonts w:ascii="Arial" w:cs="Arial" w:eastAsia="Arial" w:hAnsi="Arial"/>
                <w:sz w:val="12"/>
                <w:szCs w:val="12"/>
                <w:b w:val="1"/>
                <w:bCs w:val="1"/>
                <w:color w:val="auto"/>
              </w:rPr>
              <w:t>Current</w:t>
            </w:r>
          </w:p>
        </w:tc>
        <w:tc>
          <w:tcPr>
            <w:tcW w:w="840" w:type="dxa"/>
            <w:vAlign w:val="bottom"/>
          </w:tcPr>
          <w:p>
            <w:pPr>
              <w:jc w:val="center"/>
              <w:ind w:right="82"/>
              <w:spacing w:after="0" w:line="135" w:lineRule="exact"/>
              <w:rPr>
                <w:sz w:val="20"/>
                <w:szCs w:val="20"/>
                <w:color w:val="auto"/>
              </w:rPr>
            </w:pPr>
            <w:r>
              <w:rPr>
                <w:rFonts w:ascii="Arial" w:cs="Arial" w:eastAsia="Arial" w:hAnsi="Arial"/>
                <w:sz w:val="12"/>
                <w:szCs w:val="12"/>
                <w:b w:val="1"/>
                <w:bCs w:val="1"/>
                <w:color w:val="auto"/>
                <w:w w:val="81"/>
              </w:rPr>
              <w:t>Above</w:t>
            </w:r>
          </w:p>
        </w:tc>
        <w:tc>
          <w:tcPr>
            <w:tcW w:w="680" w:type="dxa"/>
            <w:vAlign w:val="bottom"/>
          </w:tcPr>
          <w:p>
            <w:pPr>
              <w:jc w:val="right"/>
              <w:ind w:right="182"/>
              <w:spacing w:after="0" w:line="135" w:lineRule="exact"/>
              <w:rPr>
                <w:sz w:val="20"/>
                <w:szCs w:val="20"/>
                <w:color w:val="auto"/>
              </w:rPr>
            </w:pPr>
            <w:r>
              <w:rPr>
                <w:rFonts w:ascii="Arial" w:cs="Arial" w:eastAsia="Arial" w:hAnsi="Arial"/>
                <w:sz w:val="12"/>
                <w:szCs w:val="12"/>
                <w:b w:val="1"/>
                <w:bCs w:val="1"/>
                <w:color w:val="auto"/>
              </w:rPr>
              <w:t>Par /</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600" w:type="dxa"/>
            <w:vAlign w:val="bottom"/>
            <w:gridSpan w:val="2"/>
            <w:vMerge w:val="continue"/>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b w:val="1"/>
                <w:bCs w:val="1"/>
                <w:color w:val="auto"/>
              </w:rPr>
              <w:t>Maturity</w:t>
            </w:r>
          </w:p>
        </w:tc>
        <w:tc>
          <w:tcPr>
            <w:tcW w:w="1620" w:type="dxa"/>
            <w:vAlign w:val="bottom"/>
          </w:tcPr>
          <w:p>
            <w:pPr>
              <w:jc w:val="center"/>
              <w:ind w:right="2"/>
              <w:spacing w:after="0"/>
              <w:rPr>
                <w:sz w:val="20"/>
                <w:szCs w:val="20"/>
                <w:color w:val="auto"/>
              </w:rPr>
            </w:pPr>
            <w:r>
              <w:rPr>
                <w:rFonts w:ascii="Arial" w:cs="Arial" w:eastAsia="Arial" w:hAnsi="Arial"/>
                <w:sz w:val="12"/>
                <w:szCs w:val="12"/>
                <w:b w:val="1"/>
                <w:bCs w:val="1"/>
                <w:color w:val="auto"/>
                <w:w w:val="92"/>
              </w:rPr>
              <w:t>Industry</w:t>
            </w:r>
          </w:p>
        </w:tc>
        <w:tc>
          <w:tcPr>
            <w:tcW w:w="740" w:type="dxa"/>
            <w:vAlign w:val="bottom"/>
          </w:tcPr>
          <w:p>
            <w:pPr>
              <w:jc w:val="right"/>
              <w:ind w:right="202"/>
              <w:spacing w:after="0"/>
              <w:rPr>
                <w:sz w:val="20"/>
                <w:szCs w:val="20"/>
                <w:color w:val="auto"/>
              </w:rPr>
            </w:pPr>
            <w:r>
              <w:rPr>
                <w:rFonts w:ascii="Arial" w:cs="Arial" w:eastAsia="Arial" w:hAnsi="Arial"/>
                <w:sz w:val="12"/>
                <w:szCs w:val="12"/>
                <w:b w:val="1"/>
                <w:bCs w:val="1"/>
                <w:color w:val="auto"/>
              </w:rPr>
              <w:t>Coupon</w:t>
            </w:r>
          </w:p>
        </w:tc>
        <w:tc>
          <w:tcPr>
            <w:tcW w:w="840" w:type="dxa"/>
            <w:vAlign w:val="bottom"/>
          </w:tcPr>
          <w:p>
            <w:pPr>
              <w:jc w:val="center"/>
              <w:ind w:right="82"/>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680" w:type="dxa"/>
            <w:vAlign w:val="bottom"/>
          </w:tcPr>
          <w:p>
            <w:pPr>
              <w:jc w:val="right"/>
              <w:ind w:right="142"/>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jc w:val="right"/>
              <w:ind w:right="202"/>
              <w:spacing w:after="0"/>
              <w:rPr>
                <w:sz w:val="20"/>
                <w:szCs w:val="20"/>
                <w:color w:val="auto"/>
              </w:rPr>
            </w:pPr>
            <w:r>
              <w:rPr>
                <w:rFonts w:ascii="Arial" w:cs="Arial" w:eastAsia="Arial" w:hAnsi="Arial"/>
                <w:sz w:val="12"/>
                <w:szCs w:val="12"/>
                <w:b w:val="1"/>
                <w:bCs w:val="1"/>
                <w:color w:val="auto"/>
              </w:rPr>
              <w:t>Cost</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8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w w:val="98"/>
              </w:rPr>
              <w:t xml:space="preserve">Investments in Non-Controlled, Non-Affiliated Portfolio Companies—104.2% </w:t>
            </w:r>
            <w:r>
              <w:rPr>
                <w:rFonts w:ascii="Arial" w:cs="Arial" w:eastAsia="Arial" w:hAnsi="Arial"/>
                <w:sz w:val="9"/>
                <w:szCs w:val="9"/>
                <w:b w:val="1"/>
                <w:bCs w:val="1"/>
                <w:color w:val="auto"/>
                <w:w w:val="98"/>
              </w:rPr>
              <w:t>(3), (4)</w:t>
            </w:r>
          </w:p>
        </w:tc>
        <w:tc>
          <w:tcPr>
            <w:tcW w:w="960" w:type="dxa"/>
            <w:vAlign w:val="bottom"/>
            <w:tcBorders>
              <w:top w:val="single" w:sz="8" w:color="auto"/>
            </w:tcBorders>
            <w:shd w:val="clear" w:color="auto" w:fill="CCEEFF"/>
          </w:tcPr>
          <w:p>
            <w:pPr>
              <w:spacing w:after="0"/>
              <w:rPr>
                <w:sz w:val="10"/>
                <w:szCs w:val="10"/>
                <w:color w:val="auto"/>
              </w:rPr>
            </w:pPr>
          </w:p>
        </w:tc>
        <w:tc>
          <w:tcPr>
            <w:tcW w:w="16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First Lien Secured Debt—89.1%</w:t>
            </w: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AKA Diversified Holdings,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04/02/2018</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11.97%</w:t>
            </w:r>
          </w:p>
        </w:tc>
        <w:tc>
          <w:tcPr>
            <w:tcW w:w="8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L+1,175</w:t>
            </w:r>
            <w:r>
              <w:rPr>
                <w:rFonts w:ascii="Arial" w:cs="Arial" w:eastAsia="Arial" w:hAnsi="Arial"/>
                <w:sz w:val="9"/>
                <w:szCs w:val="9"/>
                <w:color w:val="auto"/>
              </w:rPr>
              <w:t>(9)</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6"/>
              </w:rPr>
              <w:t>10,734,388</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w w:val="95"/>
              </w:rPr>
              <w:t>$10,555,953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w w:val="98"/>
              </w:rPr>
              <w:t>$  10,895,404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AKA Diversified Holdings, Inc. (Revolver) </w:t>
            </w:r>
            <w:r>
              <w:rPr>
                <w:rFonts w:ascii="Arial" w:cs="Arial" w:eastAsia="Arial" w:hAnsi="Arial"/>
                <w:sz w:val="9"/>
                <w:szCs w:val="9"/>
                <w:color w:val="auto"/>
              </w:rPr>
              <w:t>(10)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04/02/2018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1,165,725</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17,486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ALG USA Holdings, LLC</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02/28/2019   Hotel, Gaming and Leisure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7,136,577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7,101,328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7,118,736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(6), (11)</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04/04/2022</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3,900,038</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3,881,182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3,880,538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Ancile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07/16/2018</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2,990,287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2,971,513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2,975,336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AP Gaming I, LLC</w:t>
            </w:r>
          </w:p>
        </w:tc>
        <w:tc>
          <w:tcPr>
            <w:tcW w:w="25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12/21/2020   Hotel, Gaming and Leisure</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6,602,074</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6,517,717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6,492,018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ARC Automotive Group,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10/12/2020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Automotive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3,970,000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3,935,708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3,930,300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Azure Midstream Energy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11/15/2018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8"/>
              </w:rPr>
              <w:t>Energy: Oil and Gas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5,310,750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5,189,661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4,514,138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Blue Bird Body Company</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06/29/2020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Automotive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4,280,585</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4,227,278</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4,264,533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Bowlmor AMF Corp.</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09/17/2021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12,902,393</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12,820,758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12,805,625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Camin Cargo Control,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06/30/2021</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9"/>
              </w:rPr>
              <w:t>Transportation: Cargo</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2,493,750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2,469,351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2,468,812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CareCentrix,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07/08/2021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4,878,103</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4,870,850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CBAC Borrower, LLC </w:t>
            </w:r>
            <w:r>
              <w:rPr>
                <w:rFonts w:ascii="Arial" w:cs="Arial" w:eastAsia="Arial" w:hAnsi="Arial"/>
                <w:sz w:val="9"/>
                <w:szCs w:val="9"/>
                <w:color w:val="auto"/>
              </w:rPr>
              <w:t>(8)</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07/02/2020   Hotel, Gaming and Leisure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4,961,991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4,700,000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Charming Charlie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12/24/2019</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4,432,500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4,381,480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4,210,875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line="129" w:lineRule="exact"/>
              <w:rPr>
                <w:sz w:val="20"/>
                <w:szCs w:val="20"/>
                <w:color w:val="auto"/>
              </w:rPr>
            </w:pPr>
            <w:r>
              <w:rPr>
                <w:rFonts w:ascii="Arial" w:cs="Arial" w:eastAsia="Arial" w:hAnsi="Arial"/>
                <w:sz w:val="12"/>
                <w:szCs w:val="12"/>
                <w:color w:val="auto"/>
              </w:rPr>
              <w:t>Chicken Soup for the Soul Publishing, LLC</w:t>
            </w:r>
          </w:p>
        </w:tc>
        <w:tc>
          <w:tcPr>
            <w:tcW w:w="2580" w:type="dxa"/>
            <w:vAlign w:val="bottom"/>
            <w:gridSpan w:val="2"/>
          </w:tcPr>
          <w:p>
            <w:pPr>
              <w:ind w:left="400"/>
              <w:spacing w:after="0" w:line="129" w:lineRule="exact"/>
              <w:rPr>
                <w:sz w:val="20"/>
                <w:szCs w:val="20"/>
                <w:color w:val="auto"/>
              </w:rPr>
            </w:pPr>
            <w:r>
              <w:rPr>
                <w:rFonts w:ascii="Arial" w:cs="Arial" w:eastAsia="Arial" w:hAnsi="Arial"/>
                <w:sz w:val="12"/>
                <w:szCs w:val="12"/>
                <w:color w:val="auto"/>
                <w:w w:val="92"/>
              </w:rPr>
              <w:t>01/08/2019 Media: Advertising, Printing and</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7.25%</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L+600</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4,925,000</w:t>
            </w:r>
          </w:p>
        </w:tc>
        <w:tc>
          <w:tcPr>
            <w:tcW w:w="720" w:type="dxa"/>
            <w:vAlign w:val="bottom"/>
          </w:tcPr>
          <w:p>
            <w:pPr>
              <w:jc w:val="right"/>
              <w:ind w:right="2"/>
              <w:spacing w:after="0" w:line="129" w:lineRule="exact"/>
              <w:rPr>
                <w:sz w:val="20"/>
                <w:szCs w:val="20"/>
                <w:color w:val="auto"/>
              </w:rPr>
            </w:pPr>
            <w:r>
              <w:rPr>
                <w:rFonts w:ascii="Arial" w:cs="Arial" w:eastAsia="Arial" w:hAnsi="Arial"/>
                <w:sz w:val="12"/>
                <w:szCs w:val="12"/>
                <w:color w:val="auto"/>
              </w:rPr>
              <w:t>4,887,389</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4,925,000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jc w:val="center"/>
              <w:ind w:right="22"/>
              <w:spacing w:after="0"/>
              <w:rPr>
                <w:sz w:val="20"/>
                <w:szCs w:val="20"/>
                <w:color w:val="auto"/>
              </w:rPr>
            </w:pPr>
            <w:r>
              <w:rPr>
                <w:rFonts w:ascii="Arial" w:cs="Arial" w:eastAsia="Arial" w:hAnsi="Arial"/>
                <w:sz w:val="12"/>
                <w:szCs w:val="12"/>
                <w:color w:val="auto"/>
                <w:w w:val="90"/>
              </w:rPr>
              <w:t>Publishing</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CRGT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12/21/2020</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11,861,946</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11,755,521</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11,743,327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Curo Health Services Holdings,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02/07/2022</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1,971,403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1,988,348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DCS Business Services,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03/19/2018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2,976,683</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2,952,648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3,017,613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DISA Global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12/09/2020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4,931,287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4,875,500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25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w w:val="92"/>
              </w:rPr>
              <w:t>06/30/2020 Chemicals, Plastics and Rubber</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4,937,500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4,901,367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4,937,500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Driven Performance Brands, Inc. </w:t>
            </w:r>
            <w:r>
              <w:rPr>
                <w:rFonts w:ascii="Arial" w:cs="Arial" w:eastAsia="Arial" w:hAnsi="Arial"/>
                <w:sz w:val="9"/>
                <w:szCs w:val="9"/>
                <w:color w:val="auto"/>
              </w:rPr>
              <w:t>(8)</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09/10/2020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9,000,000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8,955,000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8,955,000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09/10/2020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1,000,000</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Emerging Markets Communications,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07/01/2021</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Telecommunications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4,914,374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4,862,812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FHC Health Systems,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12/23/2021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4,975,000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4,927,105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4,897,290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GlobalLogic Holdings,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05/31/2019</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3,930,000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3,900,641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3,910,350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Granite Broadcasting Corporation</w:t>
            </w:r>
          </w:p>
        </w:tc>
        <w:tc>
          <w:tcPr>
            <w:tcW w:w="96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w w:val="89"/>
              </w:rPr>
              <w:t>05/23/2018</w:t>
            </w:r>
          </w:p>
        </w:tc>
        <w:tc>
          <w:tcPr>
            <w:tcW w:w="16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Media: Broadcasting and</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6.75%</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L+550</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1,091,582</w:t>
            </w:r>
          </w:p>
        </w:tc>
        <w:tc>
          <w:tcPr>
            <w:tcW w:w="7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1,090,547</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1,088,177</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ind w:right="2"/>
              <w:spacing w:after="0"/>
              <w:rPr>
                <w:sz w:val="20"/>
                <w:szCs w:val="20"/>
                <w:color w:val="auto"/>
              </w:rPr>
            </w:pPr>
            <w:r>
              <w:rPr>
                <w:rFonts w:ascii="Arial" w:cs="Arial" w:eastAsia="Arial" w:hAnsi="Arial"/>
                <w:sz w:val="12"/>
                <w:szCs w:val="12"/>
                <w:color w:val="auto"/>
                <w:w w:val="90"/>
              </w:rPr>
              <w:t>Subscription</w:t>
            </w: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Greenway Health,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11/04/2020</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6,877,500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6,827,661</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6,739,950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Help/Systems Holdings,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06/28/2019</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4,866,257</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4,851,000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Hollander Sleep Products,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10/21/2020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1,194,000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1,178,322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1,194,000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Hostway Corporation</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12/13/2019</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2,753,737</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2,734,900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2,726,199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Hunter Defense Technologies,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08/05/2019</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6,650,000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6,598,073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6,641,687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ICC-Nexergy,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04/30/2020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4,987,500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4,941,329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4,937,625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(11)</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11/04/2020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L+625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6,842,099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6,965,000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(11)</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05/01/2019</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w w:val="96"/>
              </w:rPr>
              <w:t>10,094,315</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10,001,190</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9,084,884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line="129" w:lineRule="exact"/>
              <w:rPr>
                <w:sz w:val="20"/>
                <w:szCs w:val="20"/>
                <w:color w:val="auto"/>
              </w:rPr>
            </w:pPr>
            <w:r>
              <w:rPr>
                <w:rFonts w:ascii="Arial" w:cs="Arial" w:eastAsia="Arial" w:hAnsi="Arial"/>
                <w:sz w:val="12"/>
                <w:szCs w:val="12"/>
                <w:color w:val="auto"/>
              </w:rPr>
              <w:t>Instant Web, LLC, Term Loan A</w:t>
            </w:r>
          </w:p>
        </w:tc>
        <w:tc>
          <w:tcPr>
            <w:tcW w:w="2580" w:type="dxa"/>
            <w:vAlign w:val="bottom"/>
            <w:gridSpan w:val="2"/>
          </w:tcPr>
          <w:p>
            <w:pPr>
              <w:ind w:left="400"/>
              <w:spacing w:after="0" w:line="129" w:lineRule="exact"/>
              <w:rPr>
                <w:sz w:val="20"/>
                <w:szCs w:val="20"/>
                <w:color w:val="auto"/>
              </w:rPr>
            </w:pPr>
            <w:r>
              <w:rPr>
                <w:rFonts w:ascii="Arial" w:cs="Arial" w:eastAsia="Arial" w:hAnsi="Arial"/>
                <w:sz w:val="12"/>
                <w:szCs w:val="12"/>
                <w:color w:val="auto"/>
                <w:w w:val="92"/>
              </w:rPr>
              <w:t>03/28/2019 Media: Advertising, Printing and</w:t>
            </w:r>
          </w:p>
        </w:tc>
        <w:tc>
          <w:tcPr>
            <w:tcW w:w="740" w:type="dxa"/>
            <w:vAlign w:val="bottom"/>
          </w:tcPr>
          <w:p>
            <w:pPr>
              <w:jc w:val="right"/>
              <w:ind w:right="42"/>
              <w:spacing w:after="0" w:line="129"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29"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29" w:lineRule="exact"/>
              <w:rPr>
                <w:sz w:val="20"/>
                <w:szCs w:val="20"/>
                <w:color w:val="auto"/>
              </w:rPr>
            </w:pPr>
            <w:r>
              <w:rPr>
                <w:rFonts w:ascii="Arial" w:cs="Arial" w:eastAsia="Arial" w:hAnsi="Arial"/>
                <w:sz w:val="12"/>
                <w:szCs w:val="12"/>
                <w:color w:val="auto"/>
              </w:rPr>
              <w:t>5,366,227</w:t>
            </w:r>
          </w:p>
        </w:tc>
        <w:tc>
          <w:tcPr>
            <w:tcW w:w="720" w:type="dxa"/>
            <w:vAlign w:val="bottom"/>
          </w:tcPr>
          <w:p>
            <w:pPr>
              <w:jc w:val="right"/>
              <w:ind w:right="2"/>
              <w:spacing w:after="0" w:line="129" w:lineRule="exact"/>
              <w:rPr>
                <w:sz w:val="20"/>
                <w:szCs w:val="20"/>
                <w:color w:val="auto"/>
              </w:rPr>
            </w:pPr>
            <w:r>
              <w:rPr>
                <w:rFonts w:ascii="Arial" w:cs="Arial" w:eastAsia="Arial" w:hAnsi="Arial"/>
                <w:sz w:val="12"/>
                <w:szCs w:val="12"/>
                <w:color w:val="auto"/>
              </w:rPr>
              <w:t>5,306,494</w:t>
            </w: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5,366,227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jc w:val="center"/>
              <w:ind w:right="22"/>
              <w:spacing w:after="0"/>
              <w:rPr>
                <w:sz w:val="20"/>
                <w:szCs w:val="20"/>
                <w:color w:val="auto"/>
              </w:rPr>
            </w:pPr>
            <w:r>
              <w:rPr>
                <w:rFonts w:ascii="Arial" w:cs="Arial" w:eastAsia="Arial" w:hAnsi="Arial"/>
                <w:sz w:val="12"/>
                <w:szCs w:val="12"/>
                <w:color w:val="auto"/>
                <w:w w:val="90"/>
              </w:rPr>
              <w:t>Publishing</w:t>
            </w: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Instant Web, LLC, Term Loan B</w:t>
            </w:r>
          </w:p>
        </w:tc>
        <w:tc>
          <w:tcPr>
            <w:tcW w:w="258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2"/>
                <w:szCs w:val="12"/>
                <w:color w:val="auto"/>
                <w:w w:val="92"/>
              </w:rPr>
              <w:t>03/28/2019 Media: Advertising, Printing and</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12.00%</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L+1,100</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4,500,000</w:t>
            </w:r>
          </w:p>
        </w:tc>
        <w:tc>
          <w:tcPr>
            <w:tcW w:w="7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4,447,058</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4,500,000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5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20" w:type="dxa"/>
            <w:vAlign w:val="bottom"/>
            <w:shd w:val="clear" w:color="auto" w:fill="CCEEFF"/>
          </w:tcPr>
          <w:p>
            <w:pPr>
              <w:jc w:val="center"/>
              <w:ind w:right="22"/>
              <w:spacing w:after="0"/>
              <w:rPr>
                <w:sz w:val="20"/>
                <w:szCs w:val="20"/>
                <w:color w:val="auto"/>
              </w:rPr>
            </w:pPr>
            <w:r>
              <w:rPr>
                <w:rFonts w:ascii="Arial" w:cs="Arial" w:eastAsia="Arial" w:hAnsi="Arial"/>
                <w:sz w:val="12"/>
                <w:szCs w:val="12"/>
                <w:color w:val="auto"/>
                <w:w w:val="90"/>
              </w:rPr>
              <w:t>Publishing</w:t>
            </w:r>
          </w:p>
        </w:tc>
        <w:tc>
          <w:tcPr>
            <w:tcW w:w="7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Interior Specialists,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06/30/2020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L+800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6,800,000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6,734,452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6,800,000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Jackson Hewitt Tax Service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07/30/2020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Consumer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L+700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5,000,000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4,901,996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4,900,000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w w:val="92"/>
              </w:rPr>
              <w:t>08/19/2019 Chemicals, Plastics and Rubber</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L+1,000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5,965,222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5,874,403</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5,537,227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Kendra Scott,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07/17/2020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1"/>
              </w:rPr>
              <w:t>Retail</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7.00%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L+600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3,000,000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2,970,849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2,977,500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Lanyon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11/13/2020</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1,965,012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1,958,874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1,943,731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11/30/2018</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5,789,068</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5,735,375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5,736,619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Lindblad Expeditions, Inc. </w:t>
            </w:r>
            <w:r>
              <w:rPr>
                <w:rFonts w:ascii="Arial" w:cs="Arial" w:eastAsia="Arial" w:hAnsi="Arial"/>
                <w:sz w:val="9"/>
                <w:szCs w:val="9"/>
                <w:color w:val="auto"/>
              </w:rPr>
              <w:t>(11)</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05/10/2021   Hotel, Gaming and Leisure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2,208,750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2,197,809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2,197,706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Lindblad Maritime Enterprises, Ltd. </w:t>
            </w:r>
            <w:r>
              <w:rPr>
                <w:rFonts w:ascii="Arial" w:cs="Arial" w:eastAsia="Arial" w:hAnsi="Arial"/>
                <w:sz w:val="9"/>
                <w:szCs w:val="9"/>
                <w:color w:val="auto"/>
              </w:rPr>
              <w:t>(6), (11)</w:t>
            </w:r>
          </w:p>
        </w:tc>
        <w:tc>
          <w:tcPr>
            <w:tcW w:w="258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2"/>
                <w:szCs w:val="12"/>
                <w:color w:val="auto"/>
              </w:rPr>
              <w:t>05/10/2021   Hotel, Gaming and Leisure</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285,000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283,588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283,575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LTI Holdings, Inc.</w:t>
            </w:r>
          </w:p>
        </w:tc>
        <w:tc>
          <w:tcPr>
            <w:tcW w:w="2580" w:type="dxa"/>
            <w:vAlign w:val="bottom"/>
            <w:gridSpan w:val="2"/>
          </w:tcPr>
          <w:p>
            <w:pPr>
              <w:ind w:left="400"/>
              <w:spacing w:after="0" w:line="135" w:lineRule="exact"/>
              <w:rPr>
                <w:sz w:val="20"/>
                <w:szCs w:val="20"/>
                <w:color w:val="auto"/>
              </w:rPr>
            </w:pPr>
            <w:r>
              <w:rPr>
                <w:rFonts w:ascii="Arial" w:cs="Arial" w:eastAsia="Arial" w:hAnsi="Arial"/>
                <w:sz w:val="12"/>
                <w:szCs w:val="12"/>
                <w:color w:val="auto"/>
                <w:w w:val="92"/>
              </w:rPr>
              <w:t>04/18/2022 Chemicals, Plastics and Rubber</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L+425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1,985,364</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1,973,175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 Trident HoldCorp,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07/31/2019</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L+525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8,917,647</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8,854,192</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8,566,559</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Physiotherapy Corporation </w:t>
            </w:r>
            <w:r>
              <w:rPr>
                <w:rFonts w:ascii="Arial" w:cs="Arial" w:eastAsia="Arial" w:hAnsi="Arial"/>
                <w:sz w:val="9"/>
                <w:szCs w:val="9"/>
                <w:color w:val="auto"/>
              </w:rPr>
              <w:t>(8)</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06/04/2021</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3,500,000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3,482,889</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3,491,250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PlayPower,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06/23/2021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3,990,000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3,951,094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3,970,050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Polyconcept Finance B.V.</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06/28/2019</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6"/>
              </w:rPr>
              <w:t>11,482,697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11,430,576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11,425,283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Premier Dental Services,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11/01/2018</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Consumer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8,219,601</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8,131,135</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7,109,955</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Profile Products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05/20/2021</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0"/>
              </w:rPr>
              <w:t>Environmental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7,470,287</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7,398,025</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7,470,287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05/20/2020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0"/>
              </w:rPr>
              <w:t>Environmental Industries</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2,459,016</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Quality Home Brands Holdings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12/17/2018</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L+650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4,912,500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4,880,217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4,914,563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Now Group, Inc.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03/18/2021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5.50%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L+450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6,965,000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6,931,604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6,912,763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Robertshaw US Holding Corp.</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06/18/2019</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6"/>
              </w:rPr>
              <w:t>Consumer Goods: 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3,582,758</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3,557,217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3,575,247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Ryan,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08/07/2020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4,443,750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4,378,244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4,382,648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Sotera Defense Solutions,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04/21/2017</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5"/>
              </w:rPr>
              <w:t>Aerospace and Defense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6,101,682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5,946,657</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5,491,514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St. George’s University Scholastic Services LLC </w:t>
            </w:r>
            <w:r>
              <w:rPr>
                <w:rFonts w:ascii="Arial" w:cs="Arial" w:eastAsia="Arial" w:hAnsi="Arial"/>
                <w:sz w:val="9"/>
                <w:szCs w:val="9"/>
                <w:color w:val="auto"/>
              </w:rPr>
              <w:t>(6), (11)</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08/09/2021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Consumer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714,200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711,056</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714,200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Surgical Specialties Corporation (US),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08/22/2018</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7.25%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w w:val="96"/>
              </w:rPr>
              <w:t>10,037,432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10,017,760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9,937,058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Survey Sampling International, LLC</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12/16/2020</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5"/>
              </w:rPr>
              <w:t>Business Services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6.00%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L+500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6,218,750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6,171,308</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6,164,336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Systems Maintenance Services Holding, Inc.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10/18/2019</w:t>
            </w:r>
          </w:p>
        </w:tc>
        <w:tc>
          <w:tcPr>
            <w:tcW w:w="1620" w:type="dxa"/>
            <w:vAlign w:val="bottom"/>
          </w:tcPr>
          <w:p>
            <w:pPr>
              <w:jc w:val="center"/>
              <w:ind w:right="22"/>
              <w:spacing w:after="0" w:line="135" w:lineRule="exact"/>
              <w:rPr>
                <w:sz w:val="20"/>
                <w:szCs w:val="20"/>
                <w:color w:val="auto"/>
              </w:rPr>
            </w:pPr>
            <w:r>
              <w:rPr>
                <w:rFonts w:ascii="Arial" w:cs="Arial" w:eastAsia="Arial" w:hAnsi="Arial"/>
                <w:sz w:val="12"/>
                <w:szCs w:val="12"/>
                <w:color w:val="auto"/>
                <w:w w:val="89"/>
              </w:rPr>
              <w:t>High Tech Industries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5.00%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L+400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5,895,000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5,875,736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5,895,000</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Tensar Corporation</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07/09/2021</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90"/>
              </w:rPr>
              <w:t>Construction and Building</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5.75%</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L+475</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4,950,000</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4,906,969</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4,588,056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TOMS Shoes,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11/02/2020</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Consumer Goods: Non-Durable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1,990,000</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1,814,920</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1,845,725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960" w:type="dxa"/>
            <w:vAlign w:val="bottom"/>
            <w:shd w:val="clear" w:color="auto" w:fill="CCEEFF"/>
          </w:tcPr>
          <w:p>
            <w:pPr>
              <w:ind w:left="400"/>
              <w:spacing w:after="0" w:line="129" w:lineRule="exact"/>
              <w:rPr>
                <w:sz w:val="20"/>
                <w:szCs w:val="20"/>
                <w:color w:val="auto"/>
              </w:rPr>
            </w:pPr>
            <w:r>
              <w:rPr>
                <w:rFonts w:ascii="Arial" w:cs="Arial" w:eastAsia="Arial" w:hAnsi="Arial"/>
                <w:sz w:val="12"/>
                <w:szCs w:val="12"/>
                <w:color w:val="auto"/>
                <w:w w:val="89"/>
              </w:rPr>
              <w:t>01/14/2019</w:t>
            </w:r>
          </w:p>
        </w:tc>
        <w:tc>
          <w:tcPr>
            <w:tcW w:w="1620" w:type="dxa"/>
            <w:vAlign w:val="bottom"/>
            <w:shd w:val="clear" w:color="auto" w:fill="CCEEFF"/>
          </w:tcPr>
          <w:p>
            <w:pPr>
              <w:jc w:val="center"/>
              <w:ind w:right="2"/>
              <w:spacing w:after="0" w:line="129" w:lineRule="exact"/>
              <w:rPr>
                <w:sz w:val="20"/>
                <w:szCs w:val="20"/>
                <w:color w:val="auto"/>
              </w:rPr>
            </w:pPr>
            <w:r>
              <w:rPr>
                <w:rFonts w:ascii="Arial" w:cs="Arial" w:eastAsia="Arial" w:hAnsi="Arial"/>
                <w:sz w:val="12"/>
                <w:szCs w:val="12"/>
                <w:color w:val="auto"/>
                <w:w w:val="87"/>
              </w:rPr>
              <w:t>Telecommunications</w:t>
            </w:r>
          </w:p>
        </w:tc>
        <w:tc>
          <w:tcPr>
            <w:tcW w:w="740" w:type="dxa"/>
            <w:vAlign w:val="bottom"/>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9.50%</w:t>
            </w:r>
          </w:p>
        </w:tc>
        <w:tc>
          <w:tcPr>
            <w:tcW w:w="840" w:type="dxa"/>
            <w:vAlign w:val="bottom"/>
            <w:shd w:val="clear" w:color="auto" w:fill="CCEEFF"/>
          </w:tcPr>
          <w:p>
            <w:pPr>
              <w:jc w:val="right"/>
              <w:ind w:right="142"/>
              <w:spacing w:after="0" w:line="129" w:lineRule="exact"/>
              <w:rPr>
                <w:sz w:val="20"/>
                <w:szCs w:val="20"/>
                <w:color w:val="auto"/>
              </w:rPr>
            </w:pPr>
            <w:r>
              <w:rPr>
                <w:rFonts w:ascii="Arial" w:cs="Arial" w:eastAsia="Arial" w:hAnsi="Arial"/>
                <w:sz w:val="12"/>
                <w:szCs w:val="12"/>
                <w:color w:val="auto"/>
              </w:rPr>
              <w:t>L+850</w:t>
            </w:r>
          </w:p>
        </w:tc>
        <w:tc>
          <w:tcPr>
            <w:tcW w:w="680" w:type="dxa"/>
            <w:vAlign w:val="bottom"/>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rPr>
              <w:t>430,126</w:t>
            </w:r>
          </w:p>
        </w:tc>
        <w:tc>
          <w:tcPr>
            <w:tcW w:w="7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430,126</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430,126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(PIK 1.00%)</w:t>
            </w:r>
          </w:p>
        </w:tc>
        <w:tc>
          <w:tcPr>
            <w:tcW w:w="8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01/14/2019</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87"/>
              </w:rPr>
              <w:t>Telecommunications</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8.50%</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L+750</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599,702</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548,736</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569,717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(10)</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01/14/2019</w:t>
            </w:r>
          </w:p>
        </w:tc>
        <w:tc>
          <w:tcPr>
            <w:tcW w:w="1620" w:type="dxa"/>
            <w:vAlign w:val="bottom"/>
            <w:shd w:val="clear" w:color="auto" w:fill="CCEEFF"/>
          </w:tcPr>
          <w:p>
            <w:pPr>
              <w:jc w:val="center"/>
              <w:ind w:right="2"/>
              <w:spacing w:after="0" w:line="135" w:lineRule="exact"/>
              <w:rPr>
                <w:sz w:val="20"/>
                <w:szCs w:val="20"/>
                <w:color w:val="auto"/>
              </w:rPr>
            </w:pPr>
            <w:r>
              <w:rPr>
                <w:rFonts w:ascii="Arial" w:cs="Arial" w:eastAsia="Arial" w:hAnsi="Arial"/>
                <w:sz w:val="12"/>
                <w:szCs w:val="12"/>
                <w:color w:val="auto"/>
                <w:w w:val="87"/>
              </w:rPr>
              <w:t>Telecommunications</w:t>
            </w:r>
          </w:p>
        </w:tc>
        <w:tc>
          <w:tcPr>
            <w:tcW w:w="7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202"/>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151,090</w:t>
            </w:r>
          </w:p>
        </w:tc>
        <w:tc>
          <w:tcPr>
            <w:tcW w:w="720" w:type="dxa"/>
            <w:vAlign w:val="bottom"/>
            <w:shd w:val="clear" w:color="auto" w:fill="CCEEFF"/>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5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Pr>
          <w:p>
            <w:pPr>
              <w:spacing w:after="0" w:line="135" w:lineRule="exact"/>
              <w:rPr>
                <w:sz w:val="20"/>
                <w:szCs w:val="20"/>
                <w:color w:val="auto"/>
              </w:rPr>
            </w:pPr>
            <w:r>
              <w:rPr>
                <w:rFonts w:ascii="Arial" w:cs="Arial" w:eastAsia="Arial" w:hAnsi="Arial"/>
                <w:sz w:val="12"/>
                <w:szCs w:val="12"/>
                <w:color w:val="auto"/>
              </w:rPr>
              <w:t>U.S. Farathane, LLC</w:t>
            </w:r>
          </w:p>
        </w:tc>
        <w:tc>
          <w:tcPr>
            <w:tcW w:w="960" w:type="dxa"/>
            <w:vAlign w:val="bottom"/>
          </w:tcPr>
          <w:p>
            <w:pPr>
              <w:ind w:left="400"/>
              <w:spacing w:after="0" w:line="135" w:lineRule="exact"/>
              <w:rPr>
                <w:sz w:val="20"/>
                <w:szCs w:val="20"/>
                <w:color w:val="auto"/>
              </w:rPr>
            </w:pPr>
            <w:r>
              <w:rPr>
                <w:rFonts w:ascii="Arial" w:cs="Arial" w:eastAsia="Arial" w:hAnsi="Arial"/>
                <w:sz w:val="12"/>
                <w:szCs w:val="12"/>
                <w:color w:val="auto"/>
                <w:w w:val="89"/>
              </w:rPr>
              <w:t>02/07/2022</w:t>
            </w:r>
          </w:p>
        </w:tc>
        <w:tc>
          <w:tcPr>
            <w:tcW w:w="1620" w:type="dxa"/>
            <w:vAlign w:val="bottom"/>
          </w:tcPr>
          <w:p>
            <w:pPr>
              <w:jc w:val="center"/>
              <w:ind w:right="2"/>
              <w:spacing w:after="0" w:line="135" w:lineRule="exact"/>
              <w:rPr>
                <w:sz w:val="20"/>
                <w:szCs w:val="20"/>
                <w:color w:val="auto"/>
              </w:rPr>
            </w:pPr>
            <w:r>
              <w:rPr>
                <w:rFonts w:ascii="Arial" w:cs="Arial" w:eastAsia="Arial" w:hAnsi="Arial"/>
                <w:sz w:val="12"/>
                <w:szCs w:val="12"/>
                <w:color w:val="auto"/>
                <w:w w:val="93"/>
              </w:rPr>
              <w:t>Automotive</w:t>
            </w:r>
          </w:p>
        </w:tc>
        <w:tc>
          <w:tcPr>
            <w:tcW w:w="740" w:type="dxa"/>
            <w:vAlign w:val="bottom"/>
          </w:tcPr>
          <w:p>
            <w:pPr>
              <w:jc w:val="right"/>
              <w:ind w:right="42"/>
              <w:spacing w:after="0" w:line="135" w:lineRule="exact"/>
              <w:rPr>
                <w:sz w:val="20"/>
                <w:szCs w:val="20"/>
                <w:color w:val="auto"/>
              </w:rPr>
            </w:pPr>
            <w:r>
              <w:rPr>
                <w:rFonts w:ascii="Arial" w:cs="Arial" w:eastAsia="Arial" w:hAnsi="Arial"/>
                <w:sz w:val="12"/>
                <w:szCs w:val="12"/>
                <w:color w:val="auto"/>
              </w:rPr>
              <w:t>6.75%</w:t>
            </w:r>
          </w:p>
        </w:tc>
        <w:tc>
          <w:tcPr>
            <w:tcW w:w="840" w:type="dxa"/>
            <w:vAlign w:val="bottom"/>
          </w:tcPr>
          <w:p>
            <w:pPr>
              <w:jc w:val="right"/>
              <w:ind w:right="142"/>
              <w:spacing w:after="0" w:line="135" w:lineRule="exact"/>
              <w:rPr>
                <w:sz w:val="20"/>
                <w:szCs w:val="20"/>
                <w:color w:val="auto"/>
              </w:rPr>
            </w:pPr>
            <w:r>
              <w:rPr>
                <w:rFonts w:ascii="Arial" w:cs="Arial" w:eastAsia="Arial" w:hAnsi="Arial"/>
                <w:sz w:val="12"/>
                <w:szCs w:val="12"/>
                <w:color w:val="auto"/>
              </w:rPr>
              <w:t>L+575</w:t>
            </w:r>
          </w:p>
        </w:tc>
        <w:tc>
          <w:tcPr>
            <w:tcW w:w="680" w:type="dxa"/>
            <w:vAlign w:val="bottom"/>
          </w:tcPr>
          <w:p>
            <w:pPr>
              <w:jc w:val="right"/>
              <w:ind w:right="22"/>
              <w:spacing w:after="0" w:line="135" w:lineRule="exact"/>
              <w:rPr>
                <w:sz w:val="20"/>
                <w:szCs w:val="20"/>
                <w:color w:val="auto"/>
              </w:rPr>
            </w:pPr>
            <w:r>
              <w:rPr>
                <w:rFonts w:ascii="Arial" w:cs="Arial" w:eastAsia="Arial" w:hAnsi="Arial"/>
                <w:sz w:val="12"/>
                <w:szCs w:val="12"/>
                <w:color w:val="auto"/>
              </w:rPr>
              <w:t>3,800,641</w:t>
            </w:r>
          </w:p>
        </w:tc>
        <w:tc>
          <w:tcPr>
            <w:tcW w:w="720" w:type="dxa"/>
            <w:vAlign w:val="bottom"/>
          </w:tcPr>
          <w:p>
            <w:pPr>
              <w:jc w:val="right"/>
              <w:ind w:right="2"/>
              <w:spacing w:after="0" w:line="135" w:lineRule="exact"/>
              <w:rPr>
                <w:sz w:val="20"/>
                <w:szCs w:val="20"/>
                <w:color w:val="auto"/>
              </w:rPr>
            </w:pPr>
            <w:r>
              <w:rPr>
                <w:rFonts w:ascii="Arial" w:cs="Arial" w:eastAsia="Arial" w:hAnsi="Arial"/>
                <w:sz w:val="12"/>
                <w:szCs w:val="12"/>
                <w:color w:val="auto"/>
              </w:rPr>
              <w:t>3,729,952</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3,807,672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960" w:type="dxa"/>
            <w:vAlign w:val="bottom"/>
            <w:shd w:val="clear" w:color="auto" w:fill="CCEEFF"/>
          </w:tcPr>
          <w:p>
            <w:pPr>
              <w:ind w:left="400"/>
              <w:spacing w:after="0" w:line="135" w:lineRule="exact"/>
              <w:rPr>
                <w:sz w:val="20"/>
                <w:szCs w:val="20"/>
                <w:color w:val="auto"/>
              </w:rPr>
            </w:pPr>
            <w:r>
              <w:rPr>
                <w:rFonts w:ascii="Arial" w:cs="Arial" w:eastAsia="Arial" w:hAnsi="Arial"/>
                <w:sz w:val="12"/>
                <w:szCs w:val="12"/>
                <w:color w:val="auto"/>
                <w:w w:val="89"/>
              </w:rPr>
              <w:t>08/13/2021</w:t>
            </w:r>
          </w:p>
        </w:tc>
        <w:tc>
          <w:tcPr>
            <w:tcW w:w="1620" w:type="dxa"/>
            <w:vAlign w:val="bottom"/>
            <w:shd w:val="clear" w:color="auto" w:fill="CCEEFF"/>
          </w:tcPr>
          <w:p>
            <w:pPr>
              <w:jc w:val="center"/>
              <w:ind w:right="22"/>
              <w:spacing w:after="0" w:line="135" w:lineRule="exact"/>
              <w:rPr>
                <w:sz w:val="20"/>
                <w:szCs w:val="20"/>
                <w:color w:val="auto"/>
              </w:rPr>
            </w:pPr>
            <w:r>
              <w:rPr>
                <w:rFonts w:ascii="Arial" w:cs="Arial" w:eastAsia="Arial" w:hAnsi="Arial"/>
                <w:sz w:val="12"/>
                <w:szCs w:val="12"/>
                <w:color w:val="auto"/>
                <w:w w:val="86"/>
              </w:rPr>
              <w:t>Healthcare and Pharmaceuticals</w:t>
            </w:r>
          </w:p>
        </w:tc>
        <w:tc>
          <w:tcPr>
            <w:tcW w:w="740" w:type="dxa"/>
            <w:vAlign w:val="bottom"/>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10.00%</w:t>
            </w:r>
          </w:p>
        </w:tc>
        <w:tc>
          <w:tcPr>
            <w:tcW w:w="840" w:type="dxa"/>
            <w:vAlign w:val="bottom"/>
            <w:shd w:val="clear" w:color="auto" w:fill="CCEEFF"/>
          </w:tcPr>
          <w:p>
            <w:pPr>
              <w:jc w:val="right"/>
              <w:ind w:right="142"/>
              <w:spacing w:after="0" w:line="135" w:lineRule="exact"/>
              <w:rPr>
                <w:sz w:val="20"/>
                <w:szCs w:val="20"/>
                <w:color w:val="auto"/>
              </w:rPr>
            </w:pPr>
            <w:r>
              <w:rPr>
                <w:rFonts w:ascii="Arial" w:cs="Arial" w:eastAsia="Arial" w:hAnsi="Arial"/>
                <w:sz w:val="12"/>
                <w:szCs w:val="12"/>
                <w:color w:val="auto"/>
              </w:rPr>
              <w:t>L+900</w:t>
            </w:r>
          </w:p>
        </w:tc>
        <w:tc>
          <w:tcPr>
            <w:tcW w:w="680" w:type="dxa"/>
            <w:vAlign w:val="bottom"/>
            <w:shd w:val="clear" w:color="auto" w:fill="CCEEFF"/>
          </w:tcPr>
          <w:p>
            <w:pPr>
              <w:jc w:val="right"/>
              <w:ind w:right="22"/>
              <w:spacing w:after="0" w:line="135" w:lineRule="exact"/>
              <w:rPr>
                <w:sz w:val="20"/>
                <w:szCs w:val="20"/>
                <w:color w:val="auto"/>
              </w:rPr>
            </w:pPr>
            <w:r>
              <w:rPr>
                <w:rFonts w:ascii="Arial" w:cs="Arial" w:eastAsia="Arial" w:hAnsi="Arial"/>
                <w:sz w:val="12"/>
                <w:szCs w:val="12"/>
                <w:color w:val="auto"/>
              </w:rPr>
              <w:t>3,121,094</w:t>
            </w:r>
          </w:p>
        </w:tc>
        <w:tc>
          <w:tcPr>
            <w:tcW w:w="72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3,121,094</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3,121,094</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240" w:top="460" w:right="41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240"/>
          </w:cols>
          <w:pgMar w:left="240" w:top="460" w:right="41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85"/>
              </w:rPr>
              <w:t>Basis Point</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Issuer Name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2"/>
              <w:spacing w:after="0" w:line="135" w:lineRule="exact"/>
              <w:rPr>
                <w:sz w:val="20"/>
                <w:szCs w:val="20"/>
                <w:color w:val="auto"/>
              </w:rPr>
            </w:pPr>
            <w:r>
              <w:rPr>
                <w:rFonts w:ascii="Arial" w:cs="Arial" w:eastAsia="Arial" w:hAnsi="Arial"/>
                <w:sz w:val="12"/>
                <w:szCs w:val="12"/>
                <w:b w:val="1"/>
                <w:bCs w:val="1"/>
                <w:color w:val="auto"/>
              </w:rPr>
              <w:t>Current</w:t>
            </w:r>
          </w:p>
        </w:tc>
        <w:tc>
          <w:tcPr>
            <w:tcW w:w="8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580" w:type="dxa"/>
            <w:vAlign w:val="bottom"/>
          </w:tcPr>
          <w:p>
            <w:pPr>
              <w:jc w:val="right"/>
              <w:ind w:right="122"/>
              <w:spacing w:after="0" w:line="135" w:lineRule="exact"/>
              <w:rPr>
                <w:sz w:val="20"/>
                <w:szCs w:val="20"/>
                <w:color w:val="auto"/>
              </w:rPr>
            </w:pPr>
            <w:r>
              <w:rPr>
                <w:rFonts w:ascii="Arial" w:cs="Arial" w:eastAsia="Arial" w:hAnsi="Arial"/>
                <w:sz w:val="12"/>
                <w:szCs w:val="12"/>
                <w:b w:val="1"/>
                <w:bCs w:val="1"/>
                <w:color w:val="auto"/>
              </w:rPr>
              <w:t>Par /</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Maturity</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760" w:type="dxa"/>
            <w:vAlign w:val="bottom"/>
            <w:gridSpan w:val="2"/>
          </w:tcPr>
          <w:p>
            <w:pPr>
              <w:jc w:val="right"/>
              <w:ind w:right="242"/>
              <w:spacing w:after="0"/>
              <w:rPr>
                <w:sz w:val="20"/>
                <w:szCs w:val="20"/>
                <w:color w:val="auto"/>
              </w:rPr>
            </w:pPr>
            <w:r>
              <w:rPr>
                <w:rFonts w:ascii="Arial" w:cs="Arial" w:eastAsia="Arial" w:hAnsi="Arial"/>
                <w:sz w:val="12"/>
                <w:szCs w:val="12"/>
                <w:b w:val="1"/>
                <w:bCs w:val="1"/>
                <w:color w:val="auto"/>
                <w:w w:val="96"/>
              </w:rPr>
              <w:t>Coupon</w:t>
            </w: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580" w:type="dxa"/>
            <w:vAlign w:val="bottom"/>
          </w:tcPr>
          <w:p>
            <w:pPr>
              <w:jc w:val="right"/>
              <w:ind w:right="62"/>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660" w:type="dxa"/>
            <w:vAlign w:val="bottom"/>
          </w:tcPr>
          <w:p>
            <w:pPr>
              <w:jc w:val="right"/>
              <w:ind w:right="162"/>
              <w:spacing w:after="0"/>
              <w:rPr>
                <w:sz w:val="20"/>
                <w:szCs w:val="20"/>
                <w:color w:val="auto"/>
              </w:rPr>
            </w:pPr>
            <w:r>
              <w:rPr>
                <w:rFonts w:ascii="Arial" w:cs="Arial" w:eastAsia="Arial" w:hAnsi="Arial"/>
                <w:sz w:val="12"/>
                <w:szCs w:val="12"/>
                <w:b w:val="1"/>
                <w:bCs w:val="1"/>
                <w:color w:val="auto"/>
              </w:rPr>
              <w:t>Cost</w:t>
            </w:r>
          </w:p>
        </w:tc>
        <w:tc>
          <w:tcPr>
            <w:tcW w:w="9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 xml:space="preserve">Vistage Worldwide, Inc. </w:t>
            </w:r>
            <w:r>
              <w:rPr>
                <w:rFonts w:ascii="Arial" w:cs="Arial" w:eastAsia="Arial" w:hAnsi="Arial"/>
                <w:sz w:val="9"/>
                <w:szCs w:val="9"/>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6"/>
              </w:rPr>
              <w:t>08/19/2021</w:t>
            </w:r>
          </w:p>
        </w:tc>
        <w:tc>
          <w:tcPr>
            <w:tcW w:w="40" w:type="dxa"/>
            <w:vAlign w:val="bottom"/>
            <w:tcBorders>
              <w:top w:val="single" w:sz="8" w:color="CCEEFF"/>
            </w:tcBorders>
            <w:shd w:val="clear" w:color="auto" w:fill="CCEEFF"/>
          </w:tcPr>
          <w:p>
            <w:pPr>
              <w:spacing w:after="0"/>
              <w:rPr>
                <w:sz w:val="11"/>
                <w:szCs w:val="11"/>
                <w:color w:val="auto"/>
              </w:rPr>
            </w:pPr>
          </w:p>
        </w:tc>
        <w:tc>
          <w:tcPr>
            <w:tcW w:w="18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2"/>
                <w:szCs w:val="12"/>
                <w:color w:val="auto"/>
                <w:w w:val="89"/>
              </w:rPr>
              <w:t>Media: Broadcasting and Subscription</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6.50</w:t>
            </w:r>
          </w:p>
        </w:tc>
        <w:tc>
          <w:tcPr>
            <w:tcW w:w="200" w:type="dxa"/>
            <w:vAlign w:val="bottom"/>
            <w:tcBorders>
              <w:top w:val="single" w:sz="8" w:color="CCEEFF"/>
            </w:tcBorders>
            <w:shd w:val="clear" w:color="auto" w:fill="CCEEFF"/>
          </w:tcPr>
          <w:p>
            <w:pPr>
              <w:jc w:val="right"/>
              <w:ind w:right="42"/>
              <w:spacing w:after="0" w:line="128" w:lineRule="exact"/>
              <w:rPr>
                <w:sz w:val="20"/>
                <w:szCs w:val="20"/>
                <w:color w:val="auto"/>
              </w:rPr>
            </w:pPr>
            <w:r>
              <w:rPr>
                <w:rFonts w:ascii="Arial" w:cs="Arial" w:eastAsia="Arial" w:hAnsi="Arial"/>
                <w:sz w:val="12"/>
                <w:szCs w:val="12"/>
                <w:color w:val="auto"/>
                <w:w w:val="74"/>
              </w:rPr>
              <w:t>%</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L+550</w:t>
            </w: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5,000,000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4,950,477</w:t>
            </w: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4,975,000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Wilton Brands,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08/30/2018</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Consumer Goods: Non-Durable</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8.50%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L+725</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2,703,000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2,674,736</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2,630,370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Worley Claims Services, LLC</w:t>
            </w:r>
          </w:p>
        </w:tc>
        <w:tc>
          <w:tcPr>
            <w:tcW w:w="2600" w:type="dxa"/>
            <w:vAlign w:val="bottom"/>
            <w:gridSpan w:val="5"/>
            <w:shd w:val="clear" w:color="auto" w:fill="CCEEFF"/>
          </w:tcPr>
          <w:p>
            <w:pPr>
              <w:ind w:left="100"/>
              <w:spacing w:after="0" w:line="129" w:lineRule="exact"/>
              <w:rPr>
                <w:sz w:val="20"/>
                <w:szCs w:val="20"/>
                <w:color w:val="auto"/>
              </w:rPr>
            </w:pPr>
            <w:r>
              <w:rPr>
                <w:rFonts w:ascii="Arial" w:cs="Arial" w:eastAsia="Arial" w:hAnsi="Arial"/>
                <w:sz w:val="12"/>
                <w:szCs w:val="12"/>
                <w:color w:val="auto"/>
                <w:w w:val="92"/>
              </w:rPr>
              <w:t>10/30/2020 Banking, Finance, Insurance and Real</w:t>
            </w:r>
          </w:p>
        </w:tc>
        <w:tc>
          <w:tcPr>
            <w:tcW w:w="760" w:type="dxa"/>
            <w:vAlign w:val="bottom"/>
            <w:gridSpan w:val="2"/>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29" w:lineRule="exact"/>
              <w:rPr>
                <w:sz w:val="20"/>
                <w:szCs w:val="20"/>
                <w:color w:val="auto"/>
              </w:rPr>
            </w:pPr>
            <w:r>
              <w:rPr>
                <w:rFonts w:ascii="Arial" w:cs="Arial" w:eastAsia="Arial" w:hAnsi="Arial"/>
                <w:sz w:val="12"/>
                <w:szCs w:val="12"/>
                <w:color w:val="auto"/>
              </w:rPr>
              <w:t>L+800</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6,490,688</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6,429,955</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6,490,688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2"/>
              </w:rPr>
              <w:t>Estate</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Total First Lien Secured Debt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335,790,073</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332,180,834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Second Lien Secured Debt—12.8%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 xml:space="preserve">Affinion Group, Inc. </w:t>
            </w:r>
            <w:r>
              <w:rPr>
                <w:rFonts w:ascii="Arial" w:cs="Arial" w:eastAsia="Arial" w:hAnsi="Arial"/>
                <w:sz w:val="9"/>
                <w:szCs w:val="9"/>
                <w:color w:val="auto"/>
              </w:rPr>
              <w:t>(8)</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10/31/2018</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8.50%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L+700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919,155</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893,130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 (8)</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09/01/2017</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0"/>
              </w:rPr>
              <w:t>Metals and Mining</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11.50%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1,000,000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950,000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Douglas Products and Packaging Company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12/31/2020</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Chemicals, Plastics and Rubber</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1,965,770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Howard Berger Co. LLC</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09/30/2020</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5"/>
              </w:rPr>
              <w:t>Wholesale</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10,423,463</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10,670,000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 xml:space="preserve">J.A. Cosmetics Holdings, Inc. </w:t>
            </w:r>
            <w:r>
              <w:rPr>
                <w:rFonts w:ascii="Arial" w:cs="Arial" w:eastAsia="Arial" w:hAnsi="Arial"/>
                <w:sz w:val="9"/>
                <w:szCs w:val="9"/>
                <w:color w:val="auto"/>
              </w:rPr>
              <w:t>(8)</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07/31/2019</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11.00%</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L+1,000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4,000,000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3,938,373</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4,040,000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Language Line, LLC</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07/07/2022</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Consumer Services</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10.75%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L+975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w w:val="89"/>
              </w:rPr>
              <w:t>10,750,000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10,589,814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10,723,125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Novitex Acquisition,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07/07/2021</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5"/>
              </w:rPr>
              <w:t>Business Services</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11.75%</w:t>
            </w: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2"/>
                <w:szCs w:val="12"/>
                <w:color w:val="auto"/>
              </w:rPr>
              <w:t>L+1,050</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89"/>
              </w:rPr>
              <w:t>11,000,000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10,902,202</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10,780,000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Penton Media, Inc. </w:t>
            </w:r>
            <w:r>
              <w:rPr>
                <w:rFonts w:ascii="Arial" w:cs="Arial" w:eastAsia="Arial" w:hAnsi="Arial"/>
                <w:sz w:val="9"/>
                <w:szCs w:val="9"/>
                <w:color w:val="auto"/>
              </w:rPr>
              <w:t>(8)</w:t>
            </w:r>
          </w:p>
        </w:tc>
        <w:tc>
          <w:tcPr>
            <w:tcW w:w="2600" w:type="dxa"/>
            <w:vAlign w:val="bottom"/>
            <w:gridSpan w:val="5"/>
            <w:shd w:val="clear" w:color="auto" w:fill="CCEEFF"/>
          </w:tcPr>
          <w:p>
            <w:pPr>
              <w:ind w:left="100"/>
              <w:spacing w:after="0" w:line="135" w:lineRule="exact"/>
              <w:rPr>
                <w:sz w:val="20"/>
                <w:szCs w:val="20"/>
                <w:color w:val="auto"/>
              </w:rPr>
            </w:pPr>
            <w:r>
              <w:rPr>
                <w:rFonts w:ascii="Arial" w:cs="Arial" w:eastAsia="Arial" w:hAnsi="Arial"/>
                <w:sz w:val="12"/>
                <w:szCs w:val="12"/>
                <w:color w:val="auto"/>
              </w:rPr>
              <w:t>10/02/2020  Media: Diversified and Production</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9.00%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2"/>
                <w:szCs w:val="12"/>
                <w:color w:val="auto"/>
              </w:rPr>
              <w:t>L+775</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5,252,824</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5,194,116</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5,230,920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(11)</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08/01/2017</w:t>
            </w:r>
          </w:p>
        </w:tc>
        <w:tc>
          <w:tcPr>
            <w:tcW w:w="40" w:type="dxa"/>
            <w:vAlign w:val="bottom"/>
          </w:tcPr>
          <w:p>
            <w:pPr>
              <w:spacing w:after="0"/>
              <w:rPr>
                <w:sz w:val="12"/>
                <w:szCs w:val="12"/>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8"/>
              </w:rPr>
              <w:t>Energy: Oil and Gas</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10.00%</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2,812,500</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2,697,607</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2,615,625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Second Lien Secured Debt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47,630,500</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47,902,800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Subordinated Debt/Corporate Notes—1.5% </w:t>
            </w:r>
            <w:r>
              <w:rPr>
                <w:rFonts w:ascii="Arial" w:cs="Arial" w:eastAsia="Arial" w:hAnsi="Arial"/>
                <w:sz w:val="9"/>
                <w:szCs w:val="9"/>
                <w:b w:val="1"/>
                <w:bCs w:val="1"/>
                <w:color w:val="auto"/>
              </w:rPr>
              <w:t>(8)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09/14/2018</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4,786,483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4,361,551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1,818,864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Affinion Investments LLC</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08/15/2018</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2,484,000</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2,146,500</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1,664,280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Credit Infonet, Inc.</w:t>
            </w:r>
          </w:p>
        </w:tc>
        <w:tc>
          <w:tcPr>
            <w:tcW w:w="640" w:type="dxa"/>
            <w:vAlign w:val="bottom"/>
            <w:gridSpan w:val="2"/>
            <w:shd w:val="clear" w:color="auto" w:fill="CCEEFF"/>
          </w:tcPr>
          <w:p>
            <w:pPr>
              <w:ind w:left="100"/>
              <w:spacing w:after="0" w:line="129" w:lineRule="exact"/>
              <w:rPr>
                <w:sz w:val="20"/>
                <w:szCs w:val="20"/>
                <w:color w:val="auto"/>
              </w:rPr>
            </w:pPr>
            <w:r>
              <w:rPr>
                <w:rFonts w:ascii="Arial" w:cs="Arial" w:eastAsia="Arial" w:hAnsi="Arial"/>
                <w:sz w:val="12"/>
                <w:szCs w:val="12"/>
                <w:color w:val="auto"/>
                <w:w w:val="86"/>
              </w:rPr>
              <w:t>10/26/2018</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00"/>
              <w:spacing w:after="0" w:line="129" w:lineRule="exact"/>
              <w:rPr>
                <w:sz w:val="20"/>
                <w:szCs w:val="20"/>
                <w:color w:val="auto"/>
              </w:rPr>
            </w:pPr>
            <w:r>
              <w:rPr>
                <w:rFonts w:ascii="Arial" w:cs="Arial" w:eastAsia="Arial" w:hAnsi="Arial"/>
                <w:sz w:val="12"/>
                <w:szCs w:val="12"/>
                <w:color w:val="auto"/>
                <w:w w:val="89"/>
              </w:rPr>
              <w:t>High Tech Industries</w:t>
            </w:r>
          </w:p>
        </w:tc>
        <w:tc>
          <w:tcPr>
            <w:tcW w:w="760" w:type="dxa"/>
            <w:vAlign w:val="bottom"/>
            <w:gridSpan w:val="2"/>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rPr>
              <w:t>13.00%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2,025,065</w:t>
            </w:r>
          </w:p>
        </w:tc>
        <w:tc>
          <w:tcPr>
            <w:tcW w:w="8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1,999,885</w:t>
            </w:r>
          </w:p>
        </w:tc>
        <w:tc>
          <w:tcPr>
            <w:tcW w:w="8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rPr>
              <w:t>1,992,841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(PIK 1.75%)</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UniTek Global Services, Inc.</w:t>
            </w: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color w:val="auto"/>
                <w:w w:val="86"/>
              </w:rPr>
              <w:t>07/15/2019</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87"/>
              </w:rPr>
              <w:t>Telecommunications</w:t>
            </w:r>
          </w:p>
        </w:tc>
        <w:tc>
          <w:tcPr>
            <w:tcW w:w="760" w:type="dxa"/>
            <w:vAlign w:val="bottom"/>
            <w:gridSpan w:val="2"/>
          </w:tcPr>
          <w:p>
            <w:pPr>
              <w:jc w:val="right"/>
              <w:ind w:right="42"/>
              <w:spacing w:after="0" w:line="129" w:lineRule="exact"/>
              <w:rPr>
                <w:sz w:val="20"/>
                <w:szCs w:val="20"/>
                <w:color w:val="auto"/>
              </w:rPr>
            </w:pPr>
            <w:r>
              <w:rPr>
                <w:rFonts w:ascii="Arial" w:cs="Arial" w:eastAsia="Arial" w:hAnsi="Arial"/>
                <w:sz w:val="12"/>
                <w:szCs w:val="12"/>
                <w:color w:val="auto"/>
              </w:rPr>
              <w:t>15.00%</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126,259</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126,259</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126,259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
              <w:spacing w:after="0"/>
              <w:rPr>
                <w:sz w:val="20"/>
                <w:szCs w:val="20"/>
                <w:color w:val="auto"/>
              </w:rPr>
            </w:pPr>
            <w:r>
              <w:rPr>
                <w:rFonts w:ascii="Arial" w:cs="Arial" w:eastAsia="Arial" w:hAnsi="Arial"/>
                <w:sz w:val="12"/>
                <w:szCs w:val="12"/>
                <w:color w:val="auto"/>
                <w:w w:val="95"/>
              </w:rPr>
              <w:t>(PIK 15.00%)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Subordinated Debt/Corporate Notes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8,634,195</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5,602,244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Preferred Equity—0.3% </w:t>
            </w:r>
            <w:r>
              <w:rPr>
                <w:rFonts w:ascii="Arial" w:cs="Arial" w:eastAsia="Arial" w:hAnsi="Arial"/>
                <w:sz w:val="9"/>
                <w:szCs w:val="9"/>
                <w:b w:val="1"/>
                <w:bCs w:val="1"/>
                <w:color w:val="auto"/>
              </w:rPr>
              <w:t>(7), (8)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J.A. Cosmetics US, Inc.</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8.00%</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400</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399,704</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455,490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tcPr>
          <w:p>
            <w:pPr>
              <w:spacing w:after="0"/>
              <w:rPr>
                <w:sz w:val="12"/>
                <w:szCs w:val="12"/>
                <w:color w:val="auto"/>
              </w:rPr>
            </w:pPr>
          </w:p>
        </w:tc>
        <w:tc>
          <w:tcPr>
            <w:tcW w:w="580" w:type="dxa"/>
            <w:vAlign w:val="bottom"/>
            <w:gridSpan w:val="2"/>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gridSpan w:val="2"/>
          </w:tcPr>
          <w:p>
            <w:pPr>
              <w:jc w:val="right"/>
              <w:ind w:right="42"/>
              <w:spacing w:after="0" w:line="135" w:lineRule="exact"/>
              <w:rPr>
                <w:sz w:val="20"/>
                <w:szCs w:val="20"/>
                <w:color w:val="auto"/>
              </w:rPr>
            </w:pPr>
            <w:r>
              <w:rPr>
                <w:rFonts w:ascii="Arial" w:cs="Arial" w:eastAsia="Arial" w:hAnsi="Arial"/>
                <w:sz w:val="12"/>
                <w:szCs w:val="12"/>
                <w:color w:val="auto"/>
              </w:rPr>
              <w:t>13.50%</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1,047,317</w:t>
            </w: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670,283</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691,115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Preferred Equity</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1,069,987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1,146,605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Common Equity/Warrants—0.5% </w:t>
            </w:r>
            <w:r>
              <w:rPr>
                <w:rFonts w:ascii="Arial" w:cs="Arial" w:eastAsia="Arial" w:hAnsi="Arial"/>
                <w:sz w:val="9"/>
                <w:szCs w:val="9"/>
                <w:b w:val="1"/>
                <w:bCs w:val="1"/>
                <w:color w:val="auto"/>
              </w:rPr>
              <w:t>(7), (8)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A2Z Wireless Holdings, Inc.</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91"/>
              </w:rPr>
              <w:t>Retail</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463</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118,817</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674,296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Affinion Group Holdings, Inc., Series A (Warrants)</w:t>
            </w:r>
          </w:p>
        </w:tc>
        <w:tc>
          <w:tcPr>
            <w:tcW w:w="640" w:type="dxa"/>
            <w:vAlign w:val="bottom"/>
            <w:gridSpan w:val="2"/>
          </w:tcPr>
          <w:p>
            <w:pPr>
              <w:ind w:left="100"/>
              <w:spacing w:after="0" w:line="135" w:lineRule="exact"/>
              <w:rPr>
                <w:sz w:val="20"/>
                <w:szCs w:val="20"/>
                <w:color w:val="auto"/>
              </w:rPr>
            </w:pPr>
            <w:r>
              <w:rPr>
                <w:rFonts w:ascii="Arial" w:cs="Arial" w:eastAsia="Arial" w:hAnsi="Arial"/>
                <w:sz w:val="12"/>
                <w:szCs w:val="12"/>
                <w:color w:val="auto"/>
                <w:w w:val="86"/>
              </w:rPr>
              <w:t>12/12/2023</w:t>
            </w:r>
          </w:p>
        </w:tc>
        <w:tc>
          <w:tcPr>
            <w:tcW w:w="40" w:type="dxa"/>
            <w:vAlign w:val="bottom"/>
          </w:tcPr>
          <w:p>
            <w:pPr>
              <w:spacing w:after="0"/>
              <w:rPr>
                <w:sz w:val="11"/>
                <w:szCs w:val="11"/>
                <w:color w:val="auto"/>
              </w:rPr>
            </w:pPr>
          </w:p>
        </w:tc>
        <w:tc>
          <w:tcPr>
            <w:tcW w:w="1920" w:type="dxa"/>
            <w:vAlign w:val="bottom"/>
            <w:gridSpan w:val="2"/>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554,715</w:t>
            </w:r>
          </w:p>
        </w:tc>
        <w:tc>
          <w:tcPr>
            <w:tcW w:w="80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1,186,649</w:t>
            </w:r>
          </w:p>
        </w:tc>
        <w:tc>
          <w:tcPr>
            <w:tcW w:w="820" w:type="dxa"/>
            <w:vAlign w:val="bottom"/>
            <w:gridSpan w:val="2"/>
          </w:tcPr>
          <w:p>
            <w:pPr>
              <w:jc w:val="right"/>
              <w:spacing w:after="0" w:line="135" w:lineRule="exact"/>
              <w:rPr>
                <w:sz w:val="20"/>
                <w:szCs w:val="20"/>
                <w:color w:val="auto"/>
              </w:rPr>
            </w:pPr>
            <w:r>
              <w:rPr>
                <w:rFonts w:ascii="Arial" w:cs="Arial" w:eastAsia="Arial" w:hAnsi="Arial"/>
                <w:sz w:val="12"/>
                <w:szCs w:val="12"/>
                <w:color w:val="auto"/>
              </w:rPr>
              <w:t>291,226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Affinion Group Holdings, Inc., Series B (Warrants)</w:t>
            </w:r>
          </w:p>
        </w:tc>
        <w:tc>
          <w:tcPr>
            <w:tcW w:w="64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2"/>
                <w:szCs w:val="12"/>
                <w:color w:val="auto"/>
                <w:w w:val="86"/>
              </w:rPr>
              <w:t>12/12/2023</w:t>
            </w:r>
          </w:p>
        </w:tc>
        <w:tc>
          <w:tcPr>
            <w:tcW w:w="4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1,135,743</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22,715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Faraday Holdings, LLC</w:t>
            </w:r>
          </w:p>
        </w:tc>
        <w:tc>
          <w:tcPr>
            <w:tcW w:w="100" w:type="dxa"/>
            <w:vAlign w:val="bottom"/>
          </w:tcPr>
          <w:p>
            <w:pPr>
              <w:spacing w:after="0"/>
              <w:rPr>
                <w:sz w:val="11"/>
                <w:szCs w:val="11"/>
                <w:color w:val="auto"/>
              </w:rPr>
            </w:pPr>
          </w:p>
        </w:tc>
        <w:tc>
          <w:tcPr>
            <w:tcW w:w="580" w:type="dxa"/>
            <w:vAlign w:val="bottom"/>
            <w:gridSpan w:val="2"/>
          </w:tcPr>
          <w:p>
            <w:pPr>
              <w:ind w:left="180"/>
              <w:spacing w:after="0" w:line="129" w:lineRule="exact"/>
              <w:rPr>
                <w:sz w:val="20"/>
                <w:szCs w:val="20"/>
                <w:color w:val="auto"/>
              </w:rPr>
            </w:pPr>
            <w:r>
              <w:rPr>
                <w:rFonts w:ascii="Arial" w:cs="Arial" w:eastAsia="Arial" w:hAnsi="Arial"/>
                <w:sz w:val="12"/>
                <w:szCs w:val="12"/>
                <w:color w:val="auto"/>
              </w:rPr>
              <w:t>—</w:t>
            </w: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0"/>
              </w:rPr>
              <w:t>Construction and Building</w:t>
            </w:r>
          </w:p>
        </w:tc>
        <w:tc>
          <w:tcPr>
            <w:tcW w:w="76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939</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45,761</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52,466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gridSpan w:val="2"/>
          </w:tcPr>
          <w:p>
            <w:pPr>
              <w:spacing w:after="0"/>
              <w:rPr>
                <w:sz w:val="20"/>
                <w:szCs w:val="20"/>
                <w:color w:val="auto"/>
              </w:rPr>
            </w:pPr>
            <w:r>
              <w:rPr>
                <w:rFonts w:ascii="Arial" w:cs="Arial" w:eastAsia="Arial" w:hAnsi="Arial"/>
                <w:sz w:val="12"/>
                <w:szCs w:val="12"/>
                <w:color w:val="auto"/>
              </w:rPr>
              <w:t>(Interior Specialists, Inc.)</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J.A. Cosmetics US, Inc.</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86"/>
              </w:rPr>
              <w:t>Consumer Goods: Durable</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215,689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Patriot National, Inc. (Warrants)</w:t>
            </w:r>
          </w:p>
        </w:tc>
        <w:tc>
          <w:tcPr>
            <w:tcW w:w="2600" w:type="dxa"/>
            <w:vAlign w:val="bottom"/>
            <w:gridSpan w:val="5"/>
          </w:tcPr>
          <w:p>
            <w:pPr>
              <w:ind w:left="100"/>
              <w:spacing w:after="0" w:line="129" w:lineRule="exact"/>
              <w:rPr>
                <w:sz w:val="20"/>
                <w:szCs w:val="20"/>
                <w:color w:val="auto"/>
              </w:rPr>
            </w:pPr>
            <w:r>
              <w:rPr>
                <w:rFonts w:ascii="Arial" w:cs="Arial" w:eastAsia="Arial" w:hAnsi="Arial"/>
                <w:sz w:val="12"/>
                <w:szCs w:val="12"/>
                <w:color w:val="auto"/>
                <w:w w:val="92"/>
              </w:rPr>
              <w:t>11/27/2023 Banking, Finance, Insurance and Real</w:t>
            </w:r>
          </w:p>
        </w:tc>
        <w:tc>
          <w:tcPr>
            <w:tcW w:w="76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14,484</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28,002</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190,609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w w:val="82"/>
              </w:rPr>
              <w:t>Estate</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UniTek Global Services, Inc.</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2"/>
                <w:szCs w:val="12"/>
                <w:color w:val="auto"/>
              </w:rPr>
              <w:t>—</w:t>
            </w:r>
          </w:p>
        </w:tc>
        <w:tc>
          <w:tcPr>
            <w:tcW w:w="192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2"/>
                <w:szCs w:val="12"/>
                <w:color w:val="auto"/>
                <w:w w:val="87"/>
              </w:rPr>
              <w:t>Telecommunications</w:t>
            </w:r>
          </w:p>
        </w:tc>
        <w:tc>
          <w:tcPr>
            <w:tcW w:w="760" w:type="dxa"/>
            <w:vAlign w:val="bottom"/>
            <w:gridSpan w:val="2"/>
            <w:shd w:val="clear" w:color="auto" w:fill="CCEEFF"/>
          </w:tcPr>
          <w:p>
            <w:pPr>
              <w:ind w:left="3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149,617</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2"/>
              <w:spacing w:after="0" w:line="135"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line="129" w:lineRule="exact"/>
              <w:rPr>
                <w:sz w:val="20"/>
                <w:szCs w:val="20"/>
                <w:color w:val="auto"/>
              </w:rPr>
            </w:pPr>
            <w:r>
              <w:rPr>
                <w:rFonts w:ascii="Arial" w:cs="Arial" w:eastAsia="Arial" w:hAnsi="Arial"/>
                <w:sz w:val="12"/>
                <w:szCs w:val="12"/>
                <w:color w:val="auto"/>
              </w:rPr>
              <w:t>Vestcom Parent Holdings, Inc.</w:t>
            </w:r>
          </w:p>
        </w:tc>
        <w:tc>
          <w:tcPr>
            <w:tcW w:w="100" w:type="dxa"/>
            <w:vAlign w:val="bottom"/>
          </w:tcPr>
          <w:p>
            <w:pPr>
              <w:spacing w:after="0"/>
              <w:rPr>
                <w:sz w:val="11"/>
                <w:szCs w:val="11"/>
                <w:color w:val="auto"/>
              </w:rPr>
            </w:pPr>
          </w:p>
        </w:tc>
        <w:tc>
          <w:tcPr>
            <w:tcW w:w="580" w:type="dxa"/>
            <w:vAlign w:val="bottom"/>
            <w:gridSpan w:val="2"/>
          </w:tcPr>
          <w:p>
            <w:pPr>
              <w:ind w:left="180"/>
              <w:spacing w:after="0" w:line="129" w:lineRule="exact"/>
              <w:rPr>
                <w:sz w:val="20"/>
                <w:szCs w:val="20"/>
                <w:color w:val="auto"/>
              </w:rPr>
            </w:pPr>
            <w:r>
              <w:rPr>
                <w:rFonts w:ascii="Arial" w:cs="Arial" w:eastAsia="Arial" w:hAnsi="Arial"/>
                <w:sz w:val="12"/>
                <w:szCs w:val="12"/>
                <w:color w:val="auto"/>
              </w:rPr>
              <w:t>—</w:t>
            </w:r>
          </w:p>
        </w:tc>
        <w:tc>
          <w:tcPr>
            <w:tcW w:w="1920" w:type="dxa"/>
            <w:vAlign w:val="bottom"/>
            <w:gridSpan w:val="2"/>
          </w:tcPr>
          <w:p>
            <w:pPr>
              <w:jc w:val="center"/>
              <w:ind w:right="120"/>
              <w:spacing w:after="0" w:line="129" w:lineRule="exact"/>
              <w:rPr>
                <w:sz w:val="20"/>
                <w:szCs w:val="20"/>
                <w:color w:val="auto"/>
              </w:rPr>
            </w:pPr>
            <w:r>
              <w:rPr>
                <w:rFonts w:ascii="Arial" w:cs="Arial" w:eastAsia="Arial" w:hAnsi="Arial"/>
                <w:sz w:val="12"/>
                <w:szCs w:val="12"/>
                <w:color w:val="auto"/>
                <w:w w:val="92"/>
              </w:rPr>
              <w:t>Media: Advertising, Printing and</w:t>
            </w:r>
          </w:p>
        </w:tc>
        <w:tc>
          <w:tcPr>
            <w:tcW w:w="760" w:type="dxa"/>
            <w:vAlign w:val="bottom"/>
            <w:gridSpan w:val="2"/>
          </w:tcPr>
          <w:p>
            <w:pPr>
              <w:ind w:left="38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15,179</w:t>
            </w:r>
          </w:p>
        </w:tc>
        <w:tc>
          <w:tcPr>
            <w:tcW w:w="80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56,895</w:t>
            </w:r>
          </w:p>
        </w:tc>
        <w:tc>
          <w:tcPr>
            <w:tcW w:w="820" w:type="dxa"/>
            <w:vAlign w:val="bottom"/>
            <w:gridSpan w:val="2"/>
          </w:tcPr>
          <w:p>
            <w:pPr>
              <w:jc w:val="right"/>
              <w:spacing w:after="0" w:line="129" w:lineRule="exact"/>
              <w:rPr>
                <w:sz w:val="20"/>
                <w:szCs w:val="20"/>
                <w:color w:val="auto"/>
              </w:rPr>
            </w:pPr>
            <w:r>
              <w:rPr>
                <w:rFonts w:ascii="Arial" w:cs="Arial" w:eastAsia="Arial" w:hAnsi="Arial"/>
                <w:sz w:val="12"/>
                <w:szCs w:val="12"/>
                <w:color w:val="auto"/>
              </w:rPr>
              <w:t>255,899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Publishing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Common Equity/Warrants</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1,436,420</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1,702,900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Non-Affiliated Portfolio Companies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394,561,175</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388,535,383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Investments in Controlled, Affiliated Portfolio Companies—0.7%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b w:val="1"/>
                <w:bCs w:val="1"/>
                <w:color w:val="auto"/>
              </w:rPr>
              <w:t>First Lien Secured Debt—0.7%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 xml:space="preserve">GMC Television Broadcasting Holdings, LLC </w:t>
            </w:r>
            <w:r>
              <w:rPr>
                <w:rFonts w:ascii="Arial" w:cs="Arial" w:eastAsia="Arial" w:hAnsi="Arial"/>
                <w:sz w:val="9"/>
                <w:szCs w:val="9"/>
                <w:color w:val="auto"/>
              </w:rPr>
              <w:t>(8), (12)</w:t>
            </w:r>
          </w:p>
        </w:tc>
        <w:tc>
          <w:tcPr>
            <w:tcW w:w="2600" w:type="dxa"/>
            <w:vAlign w:val="bottom"/>
            <w:gridSpan w:val="5"/>
            <w:shd w:val="clear" w:color="auto" w:fill="CCEEFF"/>
          </w:tcPr>
          <w:p>
            <w:pPr>
              <w:ind w:left="100"/>
              <w:spacing w:after="0" w:line="135" w:lineRule="exact"/>
              <w:rPr>
                <w:sz w:val="20"/>
                <w:szCs w:val="20"/>
                <w:color w:val="auto"/>
              </w:rPr>
            </w:pPr>
            <w:r>
              <w:rPr>
                <w:rFonts w:ascii="Arial" w:cs="Arial" w:eastAsia="Arial" w:hAnsi="Arial"/>
                <w:sz w:val="12"/>
                <w:szCs w:val="12"/>
                <w:color w:val="auto"/>
                <w:w w:val="93"/>
              </w:rPr>
              <w:t>12/30/2016 Media: Broadcasting and Subscription</w:t>
            </w:r>
          </w:p>
        </w:tc>
        <w:tc>
          <w:tcPr>
            <w:tcW w:w="76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2"/>
                <w:szCs w:val="12"/>
                <w:color w:val="auto"/>
              </w:rPr>
              <w:t>4.33%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L+400</w:t>
            </w:r>
            <w:r>
              <w:rPr>
                <w:rFonts w:ascii="Arial" w:cs="Arial" w:eastAsia="Arial" w:hAnsi="Arial"/>
                <w:sz w:val="9"/>
                <w:szCs w:val="9"/>
                <w:color w:val="auto"/>
              </w:rPr>
              <w:t>(9)</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3,702,009</w:t>
            </w:r>
          </w:p>
        </w:tc>
        <w:tc>
          <w:tcPr>
            <w:tcW w:w="14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2,777,132</w:t>
            </w:r>
          </w:p>
        </w:tc>
        <w:tc>
          <w:tcPr>
            <w:tcW w:w="16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2,776,507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Investments—104.9%</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397,338,307</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391,311,890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Equivalents—5.8%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line="135" w:lineRule="exact"/>
              <w:rPr>
                <w:sz w:val="20"/>
                <w:szCs w:val="20"/>
                <w:color w:val="auto"/>
              </w:rPr>
            </w:pPr>
            <w:r>
              <w:rPr>
                <w:rFonts w:ascii="Arial" w:cs="Arial" w:eastAsia="Arial" w:hAnsi="Arial"/>
                <w:sz w:val="12"/>
                <w:szCs w:val="12"/>
                <w:color w:val="auto"/>
              </w:rPr>
              <w:t>BlackRock Liquidity Funds, Temp Cash and Temp Fund, Institutional Shares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21,428,514</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21,428,514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Total Investments and Cash Equivalents—110.7%</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$ 418,766,821</w:t>
            </w: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$ 412,740,404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in Excess of Other Assets—(10.7)%</w:t>
            </w: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3"/>
          </w:tcPr>
          <w:p>
            <w:pPr>
              <w:jc w:val="right"/>
              <w:ind w:right="60"/>
              <w:spacing w:after="0" w:line="129" w:lineRule="exact"/>
              <w:rPr>
                <w:sz w:val="20"/>
                <w:szCs w:val="20"/>
                <w:color w:val="auto"/>
              </w:rPr>
            </w:pPr>
            <w:r>
              <w:rPr>
                <w:rFonts w:ascii="Arial" w:cs="Arial" w:eastAsia="Arial" w:hAnsi="Arial"/>
                <w:sz w:val="12"/>
                <w:szCs w:val="12"/>
                <w:color w:val="auto"/>
              </w:rPr>
              <w:t>(39,849,955)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Assets—100.0%</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2"/>
                <w:szCs w:val="12"/>
                <w:color w:val="auto"/>
              </w:rPr>
              <w:t>$ 372,890,449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4662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6" w:lineRule="exact"/>
        <w:rPr>
          <w:sz w:val="20"/>
          <w:szCs w:val="20"/>
          <w:color w:val="auto"/>
        </w:rPr>
      </w:pPr>
    </w:p>
    <w:p>
      <w:pPr>
        <w:ind w:left="520" w:right="80" w:hanging="316"/>
        <w:spacing w:after="0" w:line="243"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52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520" w:right="8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 w:lineRule="exact"/>
        <w:rPr>
          <w:rFonts w:ascii="Arial" w:cs="Arial" w:eastAsia="Arial" w:hAnsi="Arial"/>
          <w:sz w:val="12"/>
          <w:szCs w:val="12"/>
          <w:color w:val="auto"/>
        </w:rPr>
      </w:pPr>
    </w:p>
    <w:p>
      <w:pPr>
        <w:ind w:left="520" w:right="30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520" w:hanging="316"/>
        <w:spacing w:after="0"/>
        <w:tabs>
          <w:tab w:leader="none" w:pos="5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1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40" w:right="24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CONSOLIDATED SCHEDULE OF INVESTMENTS—(Continued) SEPTEMBER 30, 2015</w:t>
      </w:r>
    </w:p>
    <w:p>
      <w:pPr>
        <w:spacing w:after="0" w:line="215" w:lineRule="exact"/>
        <w:rPr>
          <w:sz w:val="20"/>
          <w:szCs w:val="20"/>
          <w:color w:val="auto"/>
        </w:rPr>
      </w:pPr>
    </w:p>
    <w:p>
      <w:pPr>
        <w:ind w:left="520" w:hanging="316"/>
        <w:spacing w:after="0"/>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securities are not pledged as collateral under the Credit Facility. All other securities are pledged as collateral under the Credit Facility and held through Funding I.</w:t>
      </w:r>
    </w:p>
    <w:p>
      <w:pPr>
        <w:spacing w:after="0" w:line="7" w:lineRule="exact"/>
        <w:rPr>
          <w:rFonts w:ascii="Arial" w:cs="Arial" w:eastAsia="Arial" w:hAnsi="Arial"/>
          <w:sz w:val="12"/>
          <w:szCs w:val="12"/>
          <w:color w:val="auto"/>
        </w:rPr>
      </w:pPr>
    </w:p>
    <w:p>
      <w:pPr>
        <w:ind w:left="520" w:hanging="316"/>
        <w:spacing w:after="0" w:line="234" w:lineRule="auto"/>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520" w:hanging="316"/>
        <w:spacing w:after="0"/>
        <w:tabs>
          <w:tab w:leader="none" w:pos="52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520" w:hanging="316"/>
        <w:spacing w:after="0" w:line="234" w:lineRule="auto"/>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1" w:lineRule="exact"/>
        <w:rPr>
          <w:rFonts w:ascii="Arial" w:cs="Arial" w:eastAsia="Arial" w:hAnsi="Arial"/>
          <w:sz w:val="12"/>
          <w:szCs w:val="12"/>
          <w:color w:val="auto"/>
        </w:rPr>
      </w:pPr>
    </w:p>
    <w:p>
      <w:pPr>
        <w:ind w:left="520" w:hanging="316"/>
        <w:spacing w:after="0"/>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Became a controlled affiliate during the quarter ended September 30, 2015.</w:t>
      </w:r>
    </w:p>
    <w:p>
      <w:pPr>
        <w:spacing w:after="0" w:line="1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240" w:top="460"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 SEPTEMBER 30, 2016</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70"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entered into the Investment Management Agreement with the Investment Adviser, an external adviser that manages our day-to-day operations.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also entered into the Administration Agreement with the Administrator, which provides the administrative services necessary for us to operate.</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$350 million as of September 30, 2016 at LIBOR plus 200 basis points during the revolving period. The Credit Facility is secured by all of the assets held by Funding I. See Note 11.</w:t>
      </w:r>
    </w:p>
    <w:p>
      <w:pPr>
        <w:spacing w:after="0" w:line="193" w:lineRule="exact"/>
        <w:rPr>
          <w:sz w:val="20"/>
          <w:szCs w:val="20"/>
          <w:color w:val="auto"/>
        </w:rPr>
      </w:pPr>
    </w:p>
    <w:p>
      <w:pPr>
        <w:ind w:left="200" w:right="240" w:firstLine="441"/>
        <w:spacing w:after="0" w:line="312" w:lineRule="auto"/>
        <w:rPr>
          <w:sz w:val="20"/>
          <w:szCs w:val="20"/>
          <w:color w:val="auto"/>
        </w:rPr>
      </w:pPr>
      <w:r>
        <w:rPr>
          <w:rFonts w:ascii="Arial" w:cs="Arial" w:eastAsia="Arial" w:hAnsi="Arial"/>
          <w:sz w:val="16"/>
          <w:szCs w:val="16"/>
          <w:color w:val="auto"/>
        </w:rPr>
        <w:t>We have formed and expect to continue to form certain Taxable Subsidiaries which are taxed as corporations for federal income tax purposes. Accordingly, the Taxable Subsidiaries will pay income taxes at regular corporate income tax rates. These Taxable Subsidiaries allow us to hold equity securities of portfolio companies organized as pass-through entities while continuing to satisfy the requirements of a RIC under the Code.</w:t>
      </w:r>
    </w:p>
    <w:p>
      <w:pPr>
        <w:spacing w:after="0" w:line="147"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In August 2015, we completed the acquisition of MCG pursuant to the Agreement and Plan of Merger by and among MCG, our Investment Adviser and the Company. As a result of the transactions completed by the Merger Agreement, MCG was ultimately merged with and into PFLT Funding II, LLC with PFLT Funding II, LLC as the surviving company. See Note 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jc w:val="both"/>
        <w:ind w:left="200" w:right="560"/>
        <w:spacing w:after="0" w:line="302" w:lineRule="auto"/>
        <w:rPr>
          <w:sz w:val="20"/>
          <w:szCs w:val="20"/>
          <w:color w:val="auto"/>
        </w:rPr>
      </w:pPr>
      <w:r>
        <w:rPr>
          <w:rFonts w:ascii="Arial" w:cs="Arial" w:eastAsia="Arial" w:hAnsi="Arial"/>
          <w:sz w:val="16"/>
          <w:szCs w:val="16"/>
          <w:color w:val="auto"/>
        </w:rPr>
        <w:t>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5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5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7" w:lineRule="exact"/>
        <w:rPr>
          <w:sz w:val="20"/>
          <w:szCs w:val="20"/>
          <w:color w:val="auto"/>
        </w:rPr>
      </w:pPr>
    </w:p>
    <w:p>
      <w:pPr>
        <w:ind w:left="1060" w:right="10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60" w:right="240" w:hanging="424"/>
        <w:spacing w:after="0" w:line="279" w:lineRule="auto"/>
        <w:tabs>
          <w:tab w:leader="none" w:pos="10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60" w:right="180" w:hanging="424"/>
        <w:spacing w:after="0" w:line="312" w:lineRule="auto"/>
        <w:tabs>
          <w:tab w:leader="none" w:pos="10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1060" w:right="260" w:hanging="424"/>
        <w:spacing w:after="0" w:line="277" w:lineRule="auto"/>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 Litigation settlements are accounted for in accordance with the gain contingency provisions of ASC 450-30.</w:t>
      </w:r>
    </w:p>
    <w:p>
      <w:pPr>
        <w:spacing w:after="0" w:line="19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complied with the requirements of Subchapter M of the Code and expect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level of federal income taxes. Although we are not subject to federal income taxes as a RIC, we may elect to retain a</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portion of our calendar year income, which may result in an excise tax. For the fiscal years ended September 30, 2016, 2015 and 2014, we had accrued an excise tax of zero, $0.4 million and $0.5 million, respectively.</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recognize the effect of a tax position in our Consolidated Financial Statements when it is more likely than not, based on the technical merits, that the position will be sustained upon examination by the applicable tax authority. Tax benefits of positions not considered to satisfy the “more-likely-than-not” threshold would be recorded as a tax expense. We did not have any material uncertain tax positions or any unrecognized tax benefits that met the recognition or measurement criteria of ASC 740-10-25 as of the periods presented herein.</w:t>
      </w:r>
    </w:p>
    <w:p>
      <w:pPr>
        <w:spacing w:after="0" w:line="17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 Foreign Currency Translation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060" w:hanging="424"/>
        <w:spacing w:after="0"/>
        <w:tabs>
          <w:tab w:leader="none" w:pos="10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 Asset Transfers and Servicing</w:t>
      </w:r>
    </w:p>
    <w:p>
      <w:pPr>
        <w:spacing w:after="0" w:line="117" w:lineRule="exact"/>
        <w:rPr>
          <w:sz w:val="20"/>
          <w:szCs w:val="20"/>
          <w:color w:val="auto"/>
        </w:rPr>
      </w:pPr>
    </w:p>
    <w:p>
      <w:pPr>
        <w:jc w:val="both"/>
        <w:ind w:left="200" w:right="180" w:firstLine="441"/>
        <w:spacing w:after="0" w:line="286" w:lineRule="auto"/>
        <w:rPr>
          <w:sz w:val="20"/>
          <w:szCs w:val="20"/>
          <w:color w:val="auto"/>
        </w:rPr>
      </w:pPr>
      <w:r>
        <w:rPr>
          <w:rFonts w:ascii="Arial" w:cs="Arial" w:eastAsia="Arial" w:hAnsi="Arial"/>
          <w:sz w:val="17"/>
          <w:szCs w:val="17"/>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such assets are not intended to be available to the creditors of PennantPark Floating Rate Capital Ltd. or any of its affiliates.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Advisers,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89"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2016, 2015 and 2014, the Investment Adviser earned a base management fee of $5.0 million, $3.6 million and $3.7 million, respectively, from us.</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240" w:top="460"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years ended September 30, 2016, 2015 and 2014, the Investment Adviser earned $3.7 million, $2.2 million and $2.6 million, respectively, in incentive fees on net investment income from us.</w:t>
      </w:r>
    </w:p>
    <w:p>
      <w:pPr>
        <w:spacing w:after="0" w:line="17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2016, 2015 and 2014 the Investment Adviser accrued an incentive fee on capital gains of approximately zero, $(0.4) million and $0.8 million, respectively, as calculated under the Investment Management Agreement (as described above).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2016, 2015 and 2014 was $1.1 million, $(0.7) million and $0.1 million, respectively.</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its allocable portion of overhead and other expenses incurred by the Administrator in performing its obligations under the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years ended September 30, 2016, 2015 and 2014, the Investment Adviser was reimbursed approximately $0.8 million, $0.5 million and $0.5 million, respectively, from us, including expenses the Investment Adviser incurred on behalf of the Administrator, for services described above.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Purchases of investments, including PIK, for the years ended September 30, 2016, 2015 and 2014 totaled $364.6 million, $224.8 million and $248.8 million, respectively. Sales and repayments of investments for the same periods totaled $164.2 million, $195.0 million and $225.6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340" w:type="dxa"/>
            <w:vAlign w:val="bottom"/>
          </w:tcPr>
          <w:p>
            <w:pPr>
              <w:spacing w:after="0"/>
              <w:rPr>
                <w:sz w:val="14"/>
                <w:szCs w:val="14"/>
                <w:color w:val="auto"/>
              </w:rPr>
            </w:pPr>
          </w:p>
        </w:tc>
        <w:tc>
          <w:tcPr>
            <w:tcW w:w="2460" w:type="dxa"/>
            <w:vAlign w:val="bottom"/>
            <w:gridSpan w:val="3"/>
          </w:tcPr>
          <w:p>
            <w:pPr>
              <w:jc w:val="right"/>
              <w:ind w:right="554"/>
              <w:spacing w:after="0"/>
              <w:rPr>
                <w:sz w:val="20"/>
                <w:szCs w:val="20"/>
                <w:color w:val="auto"/>
              </w:rPr>
            </w:pPr>
            <w:r>
              <w:rPr>
                <w:rFonts w:ascii="Arial" w:cs="Arial" w:eastAsia="Arial" w:hAnsi="Arial"/>
                <w:sz w:val="14"/>
                <w:szCs w:val="14"/>
                <w:b w:val="1"/>
                <w:bCs w:val="1"/>
                <w:color w:val="auto"/>
              </w:rPr>
              <w:t>September 30, 2016</w:t>
            </w:r>
          </w:p>
        </w:tc>
        <w:tc>
          <w:tcPr>
            <w:tcW w:w="380" w:type="dxa"/>
            <w:vAlign w:val="bottom"/>
          </w:tcPr>
          <w:p>
            <w:pPr>
              <w:spacing w:after="0"/>
              <w:rPr>
                <w:sz w:val="14"/>
                <w:szCs w:val="14"/>
                <w:color w:val="auto"/>
              </w:rPr>
            </w:pPr>
          </w:p>
        </w:tc>
        <w:tc>
          <w:tcPr>
            <w:tcW w:w="258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280" w:type="dxa"/>
            <w:vAlign w:val="bottom"/>
            <w:gridSpan w:val="3"/>
            <w:vMerge w:val="continue"/>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60" w:type="dxa"/>
            <w:vAlign w:val="bottom"/>
            <w:tcBorders>
              <w:top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Cost</w:t>
            </w:r>
          </w:p>
        </w:tc>
        <w:tc>
          <w:tcPr>
            <w:tcW w:w="3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$ 549,736,982</w:t>
            </w:r>
          </w:p>
        </w:tc>
        <w:tc>
          <w:tcPr>
            <w:tcW w:w="3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$ 548,410,095</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$ 338,567,205</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$ 334,957,341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38,404,428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47,630,500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47,902,800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3,228,083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8,634,195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equity / common equity / warrants</w:t>
            </w:r>
          </w:p>
        </w:tc>
        <w:tc>
          <w:tcPr>
            <w:tcW w:w="1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6,540,774</w:t>
            </w:r>
          </w:p>
        </w:tc>
        <w:tc>
          <w:tcPr>
            <w:tcW w:w="3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2,506,407</w:t>
            </w:r>
          </w:p>
        </w:tc>
        <w:tc>
          <w:tcPr>
            <w:tcW w:w="38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597,910,267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397,338,307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28,903,359</w:t>
            </w:r>
          </w:p>
        </w:tc>
        <w:tc>
          <w:tcPr>
            <w:tcW w:w="3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3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38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cash and cash equivalents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$ 626,813,626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$ 627,798,498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$ 418,766,821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$ 412,740,404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80" w:type="dxa"/>
            <w:vAlign w:val="bottom"/>
            <w:gridSpan w:val="2"/>
          </w:tcPr>
          <w:p>
            <w:pPr>
              <w:jc w:val="right"/>
              <w:ind w:right="897"/>
              <w:spacing w:after="0"/>
              <w:rPr>
                <w:sz w:val="20"/>
                <w:szCs w:val="20"/>
                <w:color w:val="auto"/>
              </w:rPr>
            </w:pPr>
            <w:r>
              <w:rPr>
                <w:rFonts w:ascii="Arial" w:cs="Arial" w:eastAsia="Arial" w:hAnsi="Arial"/>
                <w:sz w:val="18"/>
                <w:szCs w:val="18"/>
                <w:color w:val="auto"/>
              </w:rPr>
              <w:t>F-21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620" w:right="23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Pharmaceuticals</w:t>
            </w: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49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High Tech Industries</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Capital Equipment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Retail</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Banking, Finance, Insurance and Real Estate</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60"/>
          </w:cols>
          <w:pgMar w:left="240" w:top="459" w:right="5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60" w:right="1320" w:hanging="1012"/>
        <w:spacing w:after="0" w:line="277" w:lineRule="auto"/>
        <w:tabs>
          <w:tab w:leader="none" w:pos="16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60" w:right="580" w:hanging="1012"/>
        <w:spacing w:after="0" w:line="264" w:lineRule="auto"/>
        <w:tabs>
          <w:tab w:leader="none" w:pos="16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660" w:right="1020" w:hanging="1012"/>
        <w:spacing w:after="0" w:line="277" w:lineRule="auto"/>
        <w:tabs>
          <w:tab w:leader="none" w:pos="16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7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resulted in one reclassification from Level 2 to 1 and one reclassification from Level 3 to Level 2 during the year ended September 30, 2016. During the year ended September 30, 2015, there were two reclassifications from Level 2 to 3 and one reclassification from Level 3 to 2.</w:t>
      </w:r>
    </w:p>
    <w:p>
      <w:pPr>
        <w:spacing w:after="0" w:line="173"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 and 2(e).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20" w:right="248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58"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240" w:top="460" w:right="49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14"/>
                <w:szCs w:val="14"/>
                <w:color w:val="auto"/>
              </w:rPr>
            </w:pP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September 30, 2016</w:t>
            </w:r>
          </w:p>
        </w:tc>
        <w:tc>
          <w:tcPr>
            <w:tcW w:w="26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273,399,858</w:t>
            </w:r>
          </w:p>
        </w:tc>
        <w:tc>
          <w:tcPr>
            <w:tcW w:w="26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Comparable</w:t>
            </w:r>
          </w:p>
        </w:tc>
        <w:tc>
          <w:tcPr>
            <w:tcW w:w="220" w:type="dxa"/>
            <w:vAlign w:val="bottom"/>
            <w:vMerge w:val="continue"/>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Broker/Dealer bid quotes</w:t>
            </w:r>
          </w:p>
        </w:tc>
        <w:tc>
          <w:tcPr>
            <w:tcW w:w="2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Debt investments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5.3% – 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314,767,301</w:t>
            </w: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investments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4.3x – 9.0x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7,655,677</w:t>
            </w:r>
          </w:p>
        </w:tc>
        <w:tc>
          <w:tcPr>
            <w:tcW w:w="260" w:type="dxa"/>
            <w:vAlign w:val="bottom"/>
            <w:shd w:val="clear" w:color="auto" w:fill="CCEEFF"/>
          </w:tcPr>
          <w:p>
            <w:pPr>
              <w:spacing w:after="0"/>
              <w:rPr>
                <w:sz w:val="20"/>
                <w:szCs w:val="20"/>
                <w:color w:val="auto"/>
              </w:rPr>
            </w:pP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Enterprise Market Value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8"/>
              </w:rPr>
              <w:t>EBITDA multiple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(7.2x)</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340"/>
              <w:spacing w:after="0"/>
              <w:rPr>
                <w:sz w:val="20"/>
                <w:szCs w:val="20"/>
                <w:color w:val="auto"/>
              </w:rPr>
            </w:pPr>
            <w:r>
              <w:rPr>
                <w:rFonts w:ascii="Arial" w:cs="Arial" w:eastAsia="Arial" w:hAnsi="Arial"/>
                <w:sz w:val="18"/>
                <w:szCs w:val="18"/>
                <w:color w:val="auto"/>
              </w:rPr>
              <w:t>Total Level 3 investments</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595,822,836</w:t>
            </w:r>
          </w:p>
        </w:tc>
        <w:tc>
          <w:tcPr>
            <w:tcW w:w="2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232,389,498</w:t>
            </w: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Fair Value as of</w:t>
            </w:r>
          </w:p>
        </w:tc>
        <w:tc>
          <w:tcPr>
            <w:tcW w:w="260" w:type="dxa"/>
            <w:vAlign w:val="bottom"/>
          </w:tcPr>
          <w:p>
            <w:pPr>
              <w:spacing w:after="0"/>
              <w:rPr>
                <w:sz w:val="24"/>
                <w:szCs w:val="24"/>
                <w:color w:val="auto"/>
              </w:rPr>
            </w:pP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Unobservable Input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0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259,566,475</w:t>
            </w:r>
          </w:p>
        </w:tc>
        <w:tc>
          <w:tcPr>
            <w:tcW w:w="260" w:type="dxa"/>
            <w:vAlign w:val="bottom"/>
            <w:vMerge w:val="continue"/>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Market Comparable</w:t>
            </w:r>
          </w:p>
        </w:tc>
        <w:tc>
          <w:tcPr>
            <w:tcW w:w="220" w:type="dxa"/>
            <w:vAlign w:val="bottom"/>
            <w:vMerge w:val="continue"/>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Broker/Dealer bid quotes</w:t>
            </w:r>
          </w:p>
        </w:tc>
        <w:tc>
          <w:tcPr>
            <w:tcW w:w="22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Debt investments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0"/>
              </w:rPr>
              <w:t>5.5% – 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128,895,910</w:t>
            </w: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313,941</w:t>
            </w:r>
          </w:p>
        </w:tc>
        <w:tc>
          <w:tcPr>
            <w:tcW w:w="2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Broker/Dealer bid quotes</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line="201" w:lineRule="exact"/>
              <w:rPr>
                <w:sz w:val="20"/>
                <w:szCs w:val="20"/>
                <w:color w:val="auto"/>
              </w:rPr>
            </w:pPr>
            <w:r>
              <w:rPr>
                <w:rFonts w:ascii="Arial" w:cs="Arial" w:eastAsia="Arial" w:hAnsi="Arial"/>
                <w:sz w:val="18"/>
                <w:szCs w:val="18"/>
                <w:color w:val="auto"/>
              </w:rPr>
              <w:t>Equity investments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1"/>
              </w:rPr>
              <w:t>6.0x – 10.5x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2,344,955</w:t>
            </w:r>
          </w:p>
        </w:tc>
        <w:tc>
          <w:tcPr>
            <w:tcW w:w="260" w:type="dxa"/>
            <w:vAlign w:val="bottom"/>
          </w:tcPr>
          <w:p>
            <w:pPr>
              <w:spacing w:after="0"/>
              <w:rPr>
                <w:sz w:val="20"/>
                <w:szCs w:val="20"/>
                <w:color w:val="auto"/>
              </w:rPr>
            </w:pPr>
          </w:p>
        </w:tc>
        <w:tc>
          <w:tcPr>
            <w:tcW w:w="232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Enterprise Market Value</w:t>
            </w:r>
          </w:p>
        </w:tc>
        <w:tc>
          <w:tcPr>
            <w:tcW w:w="238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EBITDA multiple</w:t>
            </w:r>
          </w:p>
        </w:tc>
        <w:tc>
          <w:tcPr>
            <w:tcW w:w="1460" w:type="dxa"/>
            <w:vAlign w:val="bottom"/>
          </w:tcPr>
          <w:p>
            <w:pPr>
              <w:jc w:val="center"/>
              <w:spacing w:after="0"/>
              <w:rPr>
                <w:sz w:val="20"/>
                <w:szCs w:val="20"/>
                <w:color w:val="auto"/>
              </w:rPr>
            </w:pPr>
            <w:r>
              <w:rPr>
                <w:rFonts w:ascii="Arial" w:cs="Arial" w:eastAsia="Arial" w:hAnsi="Arial"/>
                <w:sz w:val="18"/>
                <w:szCs w:val="18"/>
                <w:color w:val="auto"/>
                <w:w w:val="95"/>
              </w:rPr>
              <w:t>(7.6x)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Level 3 investments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391,121,281</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1"/>
              </w:rPr>
              <w:t>Market Comparable</w:t>
            </w:r>
          </w:p>
        </w:tc>
        <w:tc>
          <w:tcPr>
            <w:tcW w:w="23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3"/>
              </w:rPr>
              <w:t>Market Yield</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2"/>
              </w:rPr>
              <w:t>2.9%</w:t>
            </w:r>
          </w:p>
        </w:tc>
        <w:tc>
          <w:tcPr>
            <w:tcW w:w="0" w:type="dxa"/>
            <w:vAlign w:val="bottom"/>
          </w:tcPr>
          <w:p>
            <w:pPr>
              <w:spacing w:after="0" w:line="20" w:lineRule="exact"/>
              <w:rPr>
                <w:sz w:val="1"/>
                <w:szCs w:val="1"/>
                <w:color w:val="auto"/>
              </w:rPr>
            </w:pPr>
          </w:p>
        </w:tc>
      </w:tr>
      <w:tr>
        <w:trPr>
          <w:trHeight w:val="210"/>
        </w:trPr>
        <w:tc>
          <w:tcPr>
            <w:tcW w:w="270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29,600,000</w:t>
            </w:r>
          </w:p>
        </w:tc>
        <w:tc>
          <w:tcPr>
            <w:tcW w:w="260" w:type="dxa"/>
            <w:vAlign w:val="bottom"/>
          </w:tcPr>
          <w:p>
            <w:pPr>
              <w:spacing w:after="0"/>
              <w:rPr>
                <w:sz w:val="18"/>
                <w:szCs w:val="18"/>
                <w:color w:val="auto"/>
              </w:rPr>
            </w:pPr>
          </w:p>
        </w:tc>
        <w:tc>
          <w:tcPr>
            <w:tcW w:w="2320" w:type="dxa"/>
            <w:vAlign w:val="bottom"/>
            <w:gridSpan w:val="2"/>
            <w:vMerge w:val="continue"/>
          </w:tcPr>
          <w:p>
            <w:pPr>
              <w:spacing w:after="0"/>
              <w:rPr>
                <w:sz w:val="18"/>
                <w:szCs w:val="18"/>
                <w:color w:val="auto"/>
              </w:rPr>
            </w:pPr>
          </w:p>
        </w:tc>
        <w:tc>
          <w:tcPr>
            <w:tcW w:w="238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2"/>
            <w:vMerge w:val="restart"/>
          </w:tcPr>
          <w:p>
            <w:pPr>
              <w:ind w:left="460"/>
              <w:spacing w:after="0"/>
              <w:rPr>
                <w:sz w:val="20"/>
                <w:szCs w:val="20"/>
                <w:color w:val="auto"/>
              </w:rPr>
            </w:pPr>
            <w:r>
              <w:rPr>
                <w:rFonts w:ascii="Arial" w:cs="Arial" w:eastAsia="Arial" w:hAnsi="Arial"/>
                <w:sz w:val="18"/>
                <w:szCs w:val="18"/>
                <w:color w:val="auto"/>
              </w:rPr>
              <w:t>F-25</w:t>
            </w: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investments, cash and cash equivalents and Credit Facility were categorized as follows in the fair value hierarchy for ASC 820 purposes: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Fair Value at September 30, 2016</w:t>
            </w: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3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(First lien)</w:t>
            </w:r>
          </w:p>
        </w:tc>
        <w:tc>
          <w:tcPr>
            <w:tcW w:w="13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$ 548,410,095</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548,410,095</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Debt investments (Second lien)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36,596,692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36,596,692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(Subordinated debt / corporate notes)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10,720,366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2,957,767</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7,655,677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598,887,525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2,957,767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28,910,973</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28,910,973</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$ 627,798,498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29,017,895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2,957,767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595,822,836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$ 232,389,498</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232,389,498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Fair Value at September 30, 2015</w:t>
            </w: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940" w:type="dxa"/>
            <w:vAlign w:val="bottom"/>
            <w:shd w:val="clear" w:color="auto" w:fill="CCEEFF"/>
          </w:tcPr>
          <w:p>
            <w:pPr>
              <w:spacing w:after="0" w:line="20" w:lineRule="exact"/>
              <w:rPr>
                <w:sz w:val="1"/>
                <w:szCs w:val="1"/>
                <w:color w:val="auto"/>
              </w:rPr>
            </w:pPr>
          </w:p>
        </w:tc>
        <w:tc>
          <w:tcPr>
            <w:tcW w:w="13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(First lien)</w:t>
            </w:r>
          </w:p>
        </w:tc>
        <w:tc>
          <w:tcPr>
            <w:tcW w:w="13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$ 334,957,341</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334,957,341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Debt investments (Second lien)</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47,902,800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47,902,800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 (Subordinated debt / corporate notes)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5,602,244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3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2,849,505</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190,609</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2,658,896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391,311,890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391,121,281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Cash equivalents</w:t>
            </w:r>
          </w:p>
        </w:tc>
        <w:tc>
          <w:tcPr>
            <w:tcW w:w="13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21,428,514</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21,428,514</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cash and cash equivalents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$ 412,740,404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21,428,514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391,121,281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Long-Term Credit Facility</w:t>
            </w:r>
          </w:p>
        </w:tc>
        <w:tc>
          <w:tcPr>
            <w:tcW w:w="1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gridSpan w:val="3"/>
            <w:vMerge w:val="continue"/>
          </w:tcPr>
          <w:p>
            <w:pPr>
              <w:spacing w:after="0"/>
              <w:rPr>
                <w:sz w:val="18"/>
                <w:szCs w:val="18"/>
                <w:color w:val="auto"/>
              </w:rPr>
            </w:pPr>
          </w:p>
        </w:tc>
        <w:tc>
          <w:tcPr>
            <w:tcW w:w="13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29,600,000</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320" w:type="dxa"/>
            <w:vAlign w:val="bottom"/>
            <w:gridSpan w:val="2"/>
          </w:tcPr>
          <w:p>
            <w:pPr>
              <w:jc w:val="right"/>
              <w:ind w:right="1214"/>
              <w:spacing w:after="0"/>
              <w:rPr>
                <w:sz w:val="20"/>
                <w:szCs w:val="20"/>
                <w:color w:val="auto"/>
              </w:rPr>
            </w:pPr>
            <w:r>
              <w:rPr>
                <w:rFonts w:ascii="Arial" w:cs="Arial" w:eastAsia="Arial" w:hAnsi="Arial"/>
                <w:sz w:val="18"/>
                <w:szCs w:val="18"/>
                <w:color w:val="auto"/>
              </w:rPr>
              <w:t>F-26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tables below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jc w:val="center"/>
              <w:ind w:left="794"/>
              <w:spacing w:after="0"/>
              <w:rPr>
                <w:sz w:val="20"/>
                <w:szCs w:val="20"/>
                <w:color w:val="auto"/>
              </w:rPr>
            </w:pPr>
            <w:r>
              <w:rPr>
                <w:rFonts w:ascii="Arial" w:cs="Arial" w:eastAsia="Arial" w:hAnsi="Arial"/>
                <w:sz w:val="14"/>
                <w:szCs w:val="14"/>
                <w:b w:val="1"/>
                <w:bCs w:val="1"/>
                <w:color w:val="auto"/>
                <w:w w:val="92"/>
              </w:rPr>
              <w:t>Year Ended September 30, 2016</w:t>
            </w: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First Lien</w:t>
            </w:r>
          </w:p>
        </w:tc>
        <w:tc>
          <w:tcPr>
            <w:tcW w:w="20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debt and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6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9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56,163,940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391,121,281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Net realized gains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744,464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(2,223,584)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(1,479,120)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unrealized appreciation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4,804,379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7,087,355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Purchases, PIK, net discount accretion and non-cash exchanges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357,140,895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9,088,987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366,229,882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(146,715,581)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(17,463,214)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(164,178,795)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(2,957,767)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(2,957,767)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548,410,095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47,412,741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595,822,836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w w:val="96"/>
              </w:rPr>
              <w:t>Net change in unrealized appreciation (depreciation) reported within the net change in</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w w:val="94"/>
              </w:rPr>
              <w:t>unrealized appreciation on investments in our Consolidated Statements of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2,617,111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(693,738)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1,923,373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left="794"/>
              <w:spacing w:after="0"/>
              <w:rPr>
                <w:sz w:val="20"/>
                <w:szCs w:val="20"/>
                <w:color w:val="auto"/>
              </w:rPr>
            </w:pPr>
            <w:r>
              <w:rPr>
                <w:rFonts w:ascii="Arial" w:cs="Arial" w:eastAsia="Arial" w:hAnsi="Arial"/>
                <w:sz w:val="14"/>
                <w:szCs w:val="14"/>
                <w:b w:val="1"/>
                <w:bCs w:val="1"/>
                <w:color w:val="auto"/>
                <w:w w:val="92"/>
              </w:rPr>
              <w:t>Year Ended September 30, 2015</w:t>
            </w: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Second lien,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subordinated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First Lien</w:t>
            </w:r>
          </w:p>
        </w:tc>
        <w:tc>
          <w:tcPr>
            <w:tcW w:w="20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debt and 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62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9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302,565,355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40,707,230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343,272,585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Net realized (losses) gains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(175,862)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667,008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491,146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unrealized 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(3,286,024)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(2,397,090)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(5,683,114)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 xml:space="preserve">Purchases, PIK, net discount accretion and non-cash exchanges </w:t>
            </w: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215,410,313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27,790,325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243,200,638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repayments and non-cash exchanges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(179,556,441)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(15,493,137)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(195,049,578)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40" w:type="dxa"/>
            <w:vAlign w:val="bottom"/>
            <w:gridSpan w:val="3"/>
          </w:tcPr>
          <w:p>
            <w:pPr>
              <w:ind w:left="180"/>
              <w:spacing w:after="0"/>
              <w:rPr>
                <w:sz w:val="20"/>
                <w:szCs w:val="20"/>
                <w:color w:val="auto"/>
              </w:rPr>
            </w:pPr>
            <w:r>
              <w:rPr>
                <w:rFonts w:ascii="Arial" w:cs="Arial" w:eastAsia="Arial" w:hAnsi="Arial"/>
                <w:sz w:val="18"/>
                <w:szCs w:val="18"/>
                <w:color w:val="auto"/>
              </w:rPr>
              <w:t>Transfers in and/or out of Level 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4,889,604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4,889,604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334,957,341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56,163,940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391,121,281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5"/>
            <w:vMerge w:val="restart"/>
          </w:tcPr>
          <w:p>
            <w:pPr>
              <w:spacing w:after="0"/>
              <w:rPr>
                <w:sz w:val="20"/>
                <w:szCs w:val="20"/>
                <w:color w:val="auto"/>
              </w:rPr>
            </w:pPr>
            <w:r>
              <w:rPr>
                <w:rFonts w:ascii="Arial" w:cs="Arial" w:eastAsia="Arial" w:hAnsi="Arial"/>
                <w:sz w:val="18"/>
                <w:szCs w:val="18"/>
                <w:color w:val="auto"/>
              </w:rPr>
              <w:t>Net change in unrealized depreciation reported within the net change in unrealized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w w:val="93"/>
              </w:rPr>
              <w:t>appreciation on investments in our Consolidated Statements of Operations attributable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to our Level 3 assets still held at the reporting date.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(3,449,989)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(2,257,945)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(5,707,934)</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5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80" w:type="dxa"/>
            <w:vAlign w:val="bottom"/>
            <w:gridSpan w:val="2"/>
          </w:tcPr>
          <w:p>
            <w:pPr>
              <w:spacing w:after="0"/>
              <w:rPr>
                <w:sz w:val="20"/>
                <w:szCs w:val="20"/>
                <w:color w:val="auto"/>
              </w:rPr>
            </w:pPr>
            <w:r>
              <w:rPr>
                <w:rFonts w:ascii="Arial" w:cs="Arial" w:eastAsia="Arial" w:hAnsi="Arial"/>
                <w:sz w:val="15"/>
                <w:szCs w:val="15"/>
                <w:color w:val="auto"/>
                <w:w w:val="87"/>
              </w:rPr>
              <w:t>(1)</w:t>
            </w:r>
          </w:p>
        </w:tc>
        <w:tc>
          <w:tcPr>
            <w:tcW w:w="6440" w:type="dxa"/>
            <w:vAlign w:val="bottom"/>
            <w:gridSpan w:val="3"/>
          </w:tcPr>
          <w:p>
            <w:pPr>
              <w:ind w:left="260"/>
              <w:spacing w:after="0"/>
              <w:rPr>
                <w:sz w:val="20"/>
                <w:szCs w:val="20"/>
                <w:color w:val="auto"/>
              </w:rPr>
            </w:pPr>
            <w:r>
              <w:rPr>
                <w:rFonts w:ascii="Arial" w:cs="Arial" w:eastAsia="Arial" w:hAnsi="Arial"/>
                <w:sz w:val="18"/>
                <w:szCs w:val="18"/>
                <w:color w:val="auto"/>
              </w:rPr>
              <w:t>Includes assets acquired from MCG.</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20" w:type="dxa"/>
            <w:vAlign w:val="bottom"/>
          </w:tcPr>
          <w:p>
            <w:pPr>
              <w:ind w:left="4240"/>
              <w:spacing w:after="0"/>
              <w:rPr>
                <w:sz w:val="20"/>
                <w:szCs w:val="20"/>
                <w:color w:val="auto"/>
              </w:rPr>
            </w:pPr>
            <w:r>
              <w:rPr>
                <w:rFonts w:ascii="Arial" w:cs="Arial" w:eastAsia="Arial" w:hAnsi="Arial"/>
                <w:sz w:val="18"/>
                <w:szCs w:val="18"/>
                <w:color w:val="auto"/>
              </w:rPr>
              <w:t>F-27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71"/>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60" w:type="dxa"/>
            <w:vAlign w:val="bottom"/>
          </w:tcPr>
          <w:p>
            <w:pPr>
              <w:spacing w:after="0"/>
              <w:rPr>
                <w:sz w:val="14"/>
                <w:szCs w:val="14"/>
                <w:color w:val="auto"/>
              </w:rPr>
            </w:pPr>
          </w:p>
        </w:tc>
        <w:tc>
          <w:tcPr>
            <w:tcW w:w="26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2"/>
        </w:trPr>
        <w:tc>
          <w:tcPr>
            <w:tcW w:w="8360" w:type="dxa"/>
            <w:vAlign w:val="bottom"/>
            <w:gridSpan w:val="3"/>
            <w:vMerge w:val="continue"/>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7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 (cost —$29,600,000 and $146,400,000,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29,600,000</w:t>
            </w:r>
          </w:p>
        </w:tc>
        <w:tc>
          <w:tcPr>
            <w:tcW w:w="5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40"/>
              <w:spacing w:after="0"/>
              <w:rPr>
                <w:sz w:val="20"/>
                <w:szCs w:val="20"/>
                <w:color w:val="auto"/>
              </w:rPr>
            </w:pPr>
            <w:r>
              <w:rPr>
                <w:rFonts w:ascii="Arial" w:cs="Arial" w:eastAsia="Arial" w:hAnsi="Arial"/>
                <w:sz w:val="18"/>
                <w:szCs w:val="18"/>
                <w:color w:val="auto"/>
              </w:rPr>
              <w:t>Total unrealized depreciation included in earnings</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(518,002)</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Borrowings</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260,707,500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ind w:left="340"/>
              <w:spacing w:after="0"/>
              <w:rPr>
                <w:sz w:val="20"/>
                <w:szCs w:val="20"/>
                <w:color w:val="auto"/>
              </w:rPr>
            </w:pPr>
            <w:r>
              <w:rPr>
                <w:rFonts w:ascii="Arial" w:cs="Arial" w:eastAsia="Arial" w:hAnsi="Arial"/>
                <w:sz w:val="18"/>
                <w:szCs w:val="18"/>
                <w:color w:val="auto"/>
              </w:rPr>
              <w:t>Repayments</w:t>
            </w: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(57,400,000)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0"/>
              </w:rPr>
              <w:t>(247,500,000)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Transfers in and/or out of Level 3</w:t>
            </w: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color w:val="auto"/>
              </w:rPr>
              <w:t>Ending Balance (cost – $232,907,500 and $29,600,000, respectively)</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232,389,498</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160" w:firstLine="441"/>
        <w:spacing w:after="0" w:line="277" w:lineRule="auto"/>
        <w:rPr>
          <w:sz w:val="20"/>
          <w:szCs w:val="20"/>
          <w:color w:val="auto"/>
        </w:rPr>
      </w:pPr>
      <w:r>
        <w:rPr>
          <w:rFonts w:ascii="Arial" w:cs="Arial" w:eastAsia="Arial" w:hAnsi="Arial"/>
          <w:sz w:val="18"/>
          <w:szCs w:val="18"/>
          <w:color w:val="auto"/>
        </w:rPr>
        <w:t>As of September 30, 2016, we had outstanding non-U.S. dollar borrowings on our Credit Facility. Net change in fair value from foreign currency translating on outstanding borrowings is listed below:</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4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Local Currency</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
              <w:spacing w:after="0"/>
              <w:rPr>
                <w:sz w:val="20"/>
                <w:szCs w:val="20"/>
                <w:color w:val="auto"/>
              </w:rPr>
            </w:pPr>
            <w:r>
              <w:rPr>
                <w:rFonts w:ascii="Arial" w:cs="Arial" w:eastAsia="Arial" w:hAnsi="Arial"/>
                <w:sz w:val="14"/>
                <w:szCs w:val="14"/>
                <w:b w:val="1"/>
                <w:bCs w:val="1"/>
                <w:color w:val="auto"/>
                <w:w w:val="98"/>
              </w:rPr>
              <w:t>Original</w:t>
            </w:r>
          </w:p>
        </w:tc>
        <w:tc>
          <w:tcPr>
            <w:tcW w:w="700" w:type="dxa"/>
            <w:vAlign w:val="bottom"/>
          </w:tcPr>
          <w:p>
            <w:pPr>
              <w:spacing w:after="0"/>
              <w:rPr>
                <w:sz w:val="14"/>
                <w:szCs w:val="14"/>
                <w:color w:val="auto"/>
              </w:rPr>
            </w:pPr>
          </w:p>
        </w:tc>
        <w:tc>
          <w:tcPr>
            <w:tcW w:w="17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5"/>
              </w:rPr>
              <w:t>Current Value</w:t>
            </w:r>
          </w:p>
        </w:tc>
        <w:tc>
          <w:tcPr>
            <w:tcW w:w="14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Reset Date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Change in Fair</w:t>
            </w:r>
          </w:p>
        </w:tc>
        <w:tc>
          <w:tcPr>
            <w:tcW w:w="0" w:type="dxa"/>
            <w:vAlign w:val="bottom"/>
          </w:tcPr>
          <w:p>
            <w:pPr>
              <w:spacing w:after="0"/>
              <w:rPr>
                <w:sz w:val="1"/>
                <w:szCs w:val="1"/>
                <w:color w:val="auto"/>
              </w:rPr>
            </w:pPr>
          </w:p>
        </w:tc>
      </w:tr>
      <w:tr>
        <w:trPr>
          <w:trHeight w:val="171"/>
        </w:trPr>
        <w:tc>
          <w:tcPr>
            <w:tcW w:w="17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Borrowing Cost</w:t>
            </w:r>
          </w:p>
        </w:tc>
        <w:tc>
          <w:tcPr>
            <w:tcW w:w="7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Canadian Dollars</w:t>
            </w:r>
          </w:p>
        </w:tc>
        <w:tc>
          <w:tcPr>
            <w:tcW w:w="440" w:type="dxa"/>
            <w:vAlign w:val="bottom"/>
            <w:vMerge w:val="continue"/>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  17,500,000</w:t>
            </w: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12,407,501</w:t>
            </w:r>
          </w:p>
        </w:tc>
        <w:tc>
          <w:tcPr>
            <w:tcW w:w="70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13,338,920</w:t>
            </w:r>
          </w:p>
        </w:tc>
        <w:tc>
          <w:tcPr>
            <w:tcW w:w="700" w:type="dxa"/>
            <w:vAlign w:val="bottom"/>
            <w:vMerge w:val="continue"/>
            <w:shd w:val="clear" w:color="auto" w:fill="CCEEFF"/>
          </w:tcPr>
          <w:p>
            <w:pPr>
              <w:spacing w:after="0"/>
              <w:rPr>
                <w:sz w:val="18"/>
                <w:szCs w:val="18"/>
                <w:color w:val="auto"/>
              </w:rPr>
            </w:pP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October 3, 2016</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931,419</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$0.9 million, $2.3 million and $0.7 million relating to amendment fees on the Credit Facility during the years ended September 30, 2016, 2015 and 2014,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2016 and 2015, our Credit Facility had a net change in unrealized depreciation of $0.5 million and $0.5 million, respectively. As of September 30, 2016 and 2015, the net unrealized depreciation on our Credit Facility totaled $0.5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September 30, 2016 were as follows:</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Fair Value at</w:t>
            </w:r>
          </w:p>
        </w:tc>
        <w:tc>
          <w:tcPr>
            <w:tcW w:w="1120" w:type="dxa"/>
            <w:vAlign w:val="bottom"/>
            <w:gridSpan w:val="3"/>
          </w:tcPr>
          <w:p>
            <w:pPr>
              <w:ind w:left="260"/>
              <w:spacing w:after="0"/>
              <w:rPr>
                <w:sz w:val="20"/>
                <w:szCs w:val="20"/>
                <w:color w:val="auto"/>
              </w:rPr>
            </w:pPr>
            <w:r>
              <w:rPr>
                <w:rFonts w:ascii="Arial" w:cs="Arial" w:eastAsia="Arial" w:hAnsi="Arial"/>
                <w:sz w:val="14"/>
                <w:szCs w:val="14"/>
                <w:b w:val="1"/>
                <w:bCs w:val="1"/>
                <w:color w:val="auto"/>
                <w:w w:val="87"/>
              </w:rPr>
              <w:t>Purchases of /</w:t>
            </w:r>
          </w:p>
        </w:tc>
        <w:tc>
          <w:tcPr>
            <w:tcW w:w="26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Sale of /</w:t>
            </w:r>
          </w:p>
        </w:tc>
        <w:tc>
          <w:tcPr>
            <w:tcW w:w="14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Advances to</w:t>
            </w:r>
          </w:p>
        </w:tc>
        <w:tc>
          <w:tcPr>
            <w:tcW w:w="2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Affiliates</w:t>
            </w:r>
          </w:p>
        </w:tc>
        <w:tc>
          <w:tcPr>
            <w:tcW w:w="1340" w:type="dxa"/>
            <w:vAlign w:val="bottom"/>
            <w:gridSpan w:val="3"/>
          </w:tcPr>
          <w:p>
            <w:pPr>
              <w:ind w:left="260"/>
              <w:spacing w:after="0"/>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Accrued</w:t>
            </w:r>
          </w:p>
        </w:tc>
        <w:tc>
          <w:tcPr>
            <w:tcW w:w="1480" w:type="dxa"/>
            <w:vAlign w:val="bottom"/>
            <w:gridSpan w:val="3"/>
          </w:tcPr>
          <w:p>
            <w:pPr>
              <w:ind w:left="280"/>
              <w:spacing w:after="0"/>
              <w:rPr>
                <w:sz w:val="20"/>
                <w:szCs w:val="20"/>
                <w:color w:val="auto"/>
              </w:rPr>
            </w:pPr>
            <w:r>
              <w:rPr>
                <w:rFonts w:ascii="Arial" w:cs="Arial" w:eastAsia="Arial" w:hAnsi="Arial"/>
                <w:sz w:val="14"/>
                <w:szCs w:val="14"/>
                <w:b w:val="1"/>
                <w:bCs w:val="1"/>
                <w:color w:val="auto"/>
                <w:w w:val="90"/>
              </w:rPr>
              <w:t>September 30, 2016</w:t>
            </w:r>
          </w:p>
        </w:tc>
        <w:tc>
          <w:tcPr>
            <w:tcW w:w="1240" w:type="dxa"/>
            <w:vAlign w:val="bottom"/>
            <w:gridSpan w:val="4"/>
          </w:tcPr>
          <w:p>
            <w:pPr>
              <w:ind w:left="280"/>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9"/>
              </w:rPr>
              <w:t>GMC Television Broadcasting Holdings, LLC</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2,776,507</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ind w:lef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(2,777,132)</w:t>
            </w:r>
          </w:p>
        </w:tc>
        <w:tc>
          <w:tcPr>
            <w:tcW w:w="820" w:type="dxa"/>
            <w:vAlign w:val="bottom"/>
            <w:gridSpan w:val="2"/>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105,502</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Affiliates</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2,776,507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ind w:left="26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 xml:space="preserve"> (2,777,132)</w:t>
            </w:r>
          </w:p>
        </w:tc>
        <w:tc>
          <w:tcPr>
            <w:tcW w:w="82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105,502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information sets forth the computation of basic and diluted per share net increase in net assets resulting from operations: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5"/>
              <w:spacing w:after="0"/>
              <w:rPr>
                <w:sz w:val="20"/>
                <w:szCs w:val="20"/>
                <w:color w:val="auto"/>
              </w:rPr>
            </w:pPr>
            <w:r>
              <w:rPr>
                <w:rFonts w:ascii="Arial" w:cs="Arial" w:eastAsia="Arial" w:hAnsi="Arial"/>
                <w:sz w:val="14"/>
                <w:szCs w:val="14"/>
                <w:b w:val="1"/>
                <w:bCs w:val="1"/>
                <w:color w:val="auto"/>
                <w:w w:val="91"/>
              </w:rPr>
              <w:t>Years 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33,488,663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12,504,245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20,513,971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26,730,074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16,291,965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14,898,056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of September 30, 2016 and 2015, the cost of investments for federal income tax purposes was $600.1 million and $399.6 million, respectively, resulting in a gross unrealized appreciation of $10.6 million and $3.3 million, respectively, and depreciation of $11.8 million and $11.6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amounts were reclassified for tax purposes: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w w:val="89"/>
              </w:rPr>
              <w:t>Years Ended 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96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76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paid-in capital</w:t>
            </w:r>
          </w:p>
        </w:tc>
        <w:tc>
          <w:tcPr>
            <w:tcW w:w="20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$(308,435)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$(429,892)</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$(254,753)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Increase in accumulated net realized gain</w:t>
            </w:r>
          </w:p>
        </w:tc>
        <w:tc>
          <w:tcPr>
            <w:tcW w:w="20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9,384</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3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308,435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429,892</w:t>
            </w:r>
          </w:p>
        </w:tc>
        <w:tc>
          <w:tcPr>
            <w:tcW w:w="4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245,369</w:t>
            </w:r>
          </w:p>
        </w:tc>
      </w:tr>
      <w:tr>
        <w:trPr>
          <w:trHeight w:val="365"/>
        </w:trPr>
        <w:tc>
          <w:tcPr>
            <w:tcW w:w="3960" w:type="dxa"/>
            <w:vAlign w:val="bottom"/>
          </w:tcPr>
          <w:p>
            <w:pPr>
              <w:spacing w:after="0"/>
              <w:rPr>
                <w:sz w:val="24"/>
                <w:szCs w:val="24"/>
                <w:color w:val="auto"/>
              </w:rPr>
            </w:pPr>
          </w:p>
        </w:tc>
        <w:tc>
          <w:tcPr>
            <w:tcW w:w="3020" w:type="dxa"/>
            <w:vAlign w:val="bottom"/>
            <w:gridSpan w:val="3"/>
          </w:tcPr>
          <w:p>
            <w:pPr>
              <w:jc w:val="right"/>
              <w:ind w:right="2180"/>
              <w:spacing w:after="0"/>
              <w:rPr>
                <w:sz w:val="20"/>
                <w:szCs w:val="20"/>
                <w:color w:val="auto"/>
              </w:rPr>
            </w:pPr>
            <w:r>
              <w:rPr>
                <w:rFonts w:ascii="Arial" w:cs="Arial" w:eastAsia="Arial" w:hAnsi="Arial"/>
                <w:sz w:val="18"/>
                <w:szCs w:val="18"/>
                <w:color w:val="auto"/>
              </w:rPr>
              <w:t>F-29</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12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$ 33,488,663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$ 12,504,245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20,513,971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1,376,788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 investments and Credit Facility</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(7,529,291)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5,551,614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(1,004,771)</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book-to-tax differences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642,719</w:t>
            </w: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266,378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479,425</w:t>
            </w:r>
          </w:p>
        </w:tc>
        <w:tc>
          <w:tcPr>
            <w:tcW w:w="140" w:type="dxa"/>
            <w:vAlign w:val="bottom"/>
            <w:shd w:val="clear" w:color="auto" w:fill="CCEEFF"/>
          </w:tcPr>
          <w:p>
            <w:pPr>
              <w:spacing w:after="0"/>
              <w:rPr>
                <w:sz w:val="18"/>
                <w:szCs w:val="18"/>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Taxable income before dividends paid deduction</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$ 27,978,879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$ 18,501,647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20,255,003</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undistributed taxable income on a tax basis and reconciliation to accumulated surplus on a book basis are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As of September 30,</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Undistributed ordinary income—tax basis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10,097,684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12,591,089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10,097,482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 xml:space="preserve">(Realized loss carried forward)/Undistributed long-term capital gain </w:t>
            </w:r>
            <w:r>
              <w:rPr>
                <w:rFonts w:ascii="Arial" w:cs="Arial" w:eastAsia="Arial" w:hAnsi="Arial"/>
                <w:sz w:val="15"/>
                <w:szCs w:val="15"/>
                <w:color w:val="auto"/>
              </w:rPr>
              <w:t>(1)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(1,121,514)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1,652,842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and other book to tax differences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(5,793,312)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(5,203,754)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(3,989,324)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1,502,874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(6,026,417)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surplus—book basis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4,685,732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1,360,918</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7,286,197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8" w:lineRule="exact"/>
        <w:rPr>
          <w:sz w:val="20"/>
          <w:szCs w:val="20"/>
          <w:color w:val="auto"/>
        </w:rPr>
      </w:pPr>
    </w:p>
    <w:p>
      <w:pPr>
        <w:ind w:left="640" w:right="260" w:hanging="436"/>
        <w:spacing w:after="0" w:line="277" w:lineRule="auto"/>
        <w:tabs>
          <w:tab w:leader="none" w:pos="640" w:val="left"/>
        </w:tabs>
        <w:numPr>
          <w:ilvl w:val="0"/>
          <w:numId w:val="126"/>
        </w:numPr>
        <w:rPr>
          <w:rFonts w:ascii="Arial" w:cs="Arial" w:eastAsia="Arial" w:hAnsi="Arial"/>
          <w:sz w:val="15"/>
          <w:szCs w:val="15"/>
          <w:color w:val="auto"/>
        </w:rPr>
      </w:pPr>
      <w:r>
        <w:rPr>
          <w:rFonts w:ascii="Arial" w:cs="Arial" w:eastAsia="Arial" w:hAnsi="Arial"/>
          <w:sz w:val="18"/>
          <w:szCs w:val="18"/>
          <w:color w:val="auto"/>
        </w:rPr>
        <w:t>As of September 30, 2016, the capital loss carried forward was $1.1 million. This loss can be carried forward indefinitely to be an offset against future capital gains.</w:t>
      </w:r>
    </w:p>
    <w:p>
      <w:pPr>
        <w:spacing w:after="0" w:line="170"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The tax characteristics of distributions declared are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September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Ordinary income (including short-term gains)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30,472,284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17,206,311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13,473,860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Long-term capital gain</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1,653,105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30,472,284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18,859,416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16,052,655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 based on weighted average shares</w:t>
            </w: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CASH EQUIVALENTS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40" w:right="256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2016 and 2015, cash equivalents consisted of money market funds in the amounts of $28.9 million and $21.4 million at fair value, respectively.</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12"/>
                <w:szCs w:val="12"/>
                <w:b w:val="1"/>
                <w:bCs w:val="1"/>
                <w:color w:val="auto"/>
              </w:rPr>
              <w:t>(6)</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12"/>
                <w:szCs w:val="12"/>
                <w:b w:val="1"/>
                <w:bCs w:val="1"/>
                <w:color w:val="auto"/>
              </w:rPr>
              <w:t>(6)</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Per Share Data:</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Net asset value, beginning of period</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13.95</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14.40</w:t>
            </w:r>
          </w:p>
        </w:tc>
        <w:tc>
          <w:tcPr>
            <w:tcW w:w="3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14.10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13.98</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13.44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Net investment income </w:t>
            </w:r>
            <w:r>
              <w:rPr>
                <w:rFonts w:ascii="Arial" w:cs="Arial" w:eastAsia="Arial" w:hAnsi="Arial"/>
                <w:sz w:val="14"/>
                <w:szCs w:val="14"/>
                <w:color w:val="auto"/>
              </w:rPr>
              <w:t>(1)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 xml:space="preserve">Net change in realized and unrealized gain (loss) </w:t>
            </w: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(0.31)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w w:val="96"/>
              </w:rPr>
              <w:t xml:space="preserve">Net increase in net assets resulting from operations </w:t>
            </w:r>
            <w:r>
              <w:rPr>
                <w:rFonts w:ascii="Arial" w:cs="Arial" w:eastAsia="Arial" w:hAnsi="Arial"/>
                <w:sz w:val="14"/>
                <w:szCs w:val="14"/>
                <w:color w:val="auto"/>
                <w:w w:val="96"/>
              </w:rPr>
              <w:t>(1)</w:t>
            </w:r>
          </w:p>
        </w:tc>
        <w:tc>
          <w:tcPr>
            <w:tcW w:w="2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0.77</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 xml:space="preserve">Distributions to stockholders </w:t>
            </w:r>
            <w:r>
              <w:rPr>
                <w:rFonts w:ascii="Arial" w:cs="Arial" w:eastAsia="Arial" w:hAnsi="Arial"/>
                <w:sz w:val="14"/>
                <w:szCs w:val="14"/>
                <w:color w:val="auto"/>
              </w:rPr>
              <w:t>(1), (2)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Distribution of net investment income</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(0.98)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(0.95)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ind w:left="160"/>
              <w:spacing w:after="0"/>
              <w:rPr>
                <w:sz w:val="20"/>
                <w:szCs w:val="20"/>
                <w:color w:val="auto"/>
              </w:rPr>
            </w:pPr>
            <w:r>
              <w:rPr>
                <w:rFonts w:ascii="Arial" w:cs="Arial" w:eastAsia="Arial" w:hAnsi="Arial"/>
                <w:sz w:val="17"/>
                <w:szCs w:val="17"/>
                <w:color w:val="auto"/>
              </w:rPr>
              <w:t>Distribution of realized gains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(0.18)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distributions to stockholders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 xml:space="preserve">Effect of acquisition of MCG and offering costs </w:t>
            </w: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(0.06)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(0.08)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Net asset value,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7"/>
                <w:szCs w:val="17"/>
                <w:color w:val="auto"/>
              </w:rPr>
              <w:t>Per share market value, end of period</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11.94</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Total return </w:t>
            </w:r>
            <w:r>
              <w:rPr>
                <w:rFonts w:ascii="Arial" w:cs="Arial" w:eastAsia="Arial" w:hAnsi="Arial"/>
                <w:sz w:val="14"/>
                <w:szCs w:val="14"/>
                <w:color w:val="auto"/>
              </w:rPr>
              <w:t>(3)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17.17%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Shares outstanding at end of period</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26,730,074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26,730,074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14,898,056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14,898,056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6,850,667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Ratios / Supplemental Data:</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w w:val="98"/>
              </w:rPr>
              <w:t xml:space="preserve">Ratio of operating expenses to average net assets </w:t>
            </w:r>
            <w:r>
              <w:rPr>
                <w:rFonts w:ascii="Arial" w:cs="Arial" w:eastAsia="Arial" w:hAnsi="Arial"/>
                <w:sz w:val="14"/>
                <w:szCs w:val="14"/>
                <w:color w:val="auto"/>
                <w:w w:val="98"/>
              </w:rPr>
              <w:t>(4)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3.56%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4.45%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4.43%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5"/>
              </w:rPr>
              <w:t>Ratio of Credit Facility related expenses to average net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7"/>
                <w:szCs w:val="17"/>
                <w:color w:val="auto"/>
              </w:rPr>
              <w:t>Ratio of total expenses to average net assets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5.14%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6.40%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6.09%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w w:val="98"/>
              </w:rPr>
              <w:t>Ratio of net investment income to average net 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Net assets at end of period</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375,906,828</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372,890,449</w:t>
            </w:r>
          </w:p>
        </w:tc>
        <w:tc>
          <w:tcPr>
            <w:tcW w:w="36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88"/>
              </w:rPr>
              <w:t>214,527,710</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210,066,394</w:t>
            </w:r>
          </w:p>
        </w:tc>
        <w:tc>
          <w:tcPr>
            <w:tcW w:w="3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89"/>
              </w:rPr>
              <w:t>95,743,877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debt outstanding</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140,218,095</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123,924,384</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147,599,452</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71,678,836</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46,133,607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gridSpan w:val="2"/>
          </w:tcPr>
          <w:p>
            <w:pPr>
              <w:spacing w:after="0"/>
              <w:rPr>
                <w:sz w:val="20"/>
                <w:szCs w:val="20"/>
                <w:color w:val="auto"/>
              </w:rPr>
            </w:pPr>
            <w:r>
              <w:rPr>
                <w:rFonts w:ascii="Arial" w:cs="Arial" w:eastAsia="Arial" w:hAnsi="Arial"/>
                <w:sz w:val="17"/>
                <w:szCs w:val="17"/>
                <w:color w:val="auto"/>
              </w:rPr>
              <w:t xml:space="preserve">Weighted average debt per share </w:t>
            </w:r>
            <w:r>
              <w:rPr>
                <w:rFonts w:ascii="Arial" w:cs="Arial" w:eastAsia="Arial" w:hAnsi="Arial"/>
                <w:sz w:val="14"/>
                <w:szCs w:val="14"/>
                <w:color w:val="auto"/>
              </w:rPr>
              <w:t>(1)</w:t>
            </w:r>
          </w:p>
        </w:tc>
        <w:tc>
          <w:tcPr>
            <w:tcW w:w="2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Asset coverage per unit </w:t>
            </w:r>
            <w:r>
              <w:rPr>
                <w:rFonts w:ascii="Arial" w:cs="Arial" w:eastAsia="Arial" w:hAnsi="Arial"/>
                <w:sz w:val="14"/>
                <w:szCs w:val="14"/>
                <w:color w:val="auto"/>
              </w:rPr>
              <w:t>(5)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13,598</w:t>
            </w:r>
          </w:p>
        </w:tc>
        <w:tc>
          <w:tcPr>
            <w:tcW w:w="3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3,109</w:t>
            </w:r>
          </w:p>
        </w:tc>
        <w:tc>
          <w:tcPr>
            <w:tcW w:w="3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Portfolio turnover ratio</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32.16%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62.74%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81.89%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2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226695</wp:posOffset>
            </wp:positionV>
            <wp:extent cx="62611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373"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Based on the weighted average shares outstanding for the respective periods.</w:t>
      </w:r>
    </w:p>
    <w:p>
      <w:pPr>
        <w:spacing w:after="0" w:line="20" w:lineRule="exact"/>
        <w:rPr>
          <w:rFonts w:ascii="Arial" w:cs="Arial" w:eastAsia="Arial" w:hAnsi="Arial"/>
          <w:sz w:val="15"/>
          <w:szCs w:val="15"/>
          <w:color w:val="auto"/>
        </w:rPr>
      </w:pPr>
    </w:p>
    <w:p>
      <w:pPr>
        <w:ind w:left="640" w:right="380" w:hanging="436"/>
        <w:spacing w:after="0" w:line="248" w:lineRule="auto"/>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The tax status of distributions is calculated in accordance with income tax regulations, which may differ from amounts determined under GAAP, and reported on Form 1099-DIV each calendar year.</w:t>
      </w:r>
    </w:p>
    <w:p>
      <w:pPr>
        <w:spacing w:after="0" w:line="1" w:lineRule="exact"/>
        <w:rPr>
          <w:rFonts w:ascii="Arial" w:cs="Arial" w:eastAsia="Arial" w:hAnsi="Arial"/>
          <w:sz w:val="15"/>
          <w:szCs w:val="15"/>
          <w:color w:val="auto"/>
        </w:rPr>
      </w:pPr>
    </w:p>
    <w:p>
      <w:pPr>
        <w:ind w:left="640" w:right="220" w:hanging="436"/>
        <w:spacing w:after="0" w:line="248" w:lineRule="auto"/>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Based on the change in market price per share during the period and takes into account distributions, if any, reinvested in accordance with our dividend reinvestment plan.</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Excludes Credit Facility related costs.</w:t>
      </w:r>
    </w:p>
    <w:p>
      <w:pPr>
        <w:spacing w:after="0" w:line="7" w:lineRule="exact"/>
        <w:rPr>
          <w:rFonts w:ascii="Arial" w:cs="Arial" w:eastAsia="Arial" w:hAnsi="Arial"/>
          <w:sz w:val="15"/>
          <w:szCs w:val="15"/>
          <w:color w:val="auto"/>
        </w:rPr>
      </w:pPr>
    </w:p>
    <w:p>
      <w:pPr>
        <w:ind w:left="640" w:right="300" w:hanging="436"/>
        <w:spacing w:after="0" w:line="248" w:lineRule="auto"/>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1" w:lineRule="exact"/>
        <w:rPr>
          <w:rFonts w:ascii="Arial" w:cs="Arial" w:eastAsia="Arial" w:hAnsi="Arial"/>
          <w:sz w:val="15"/>
          <w:szCs w:val="15"/>
          <w:color w:val="auto"/>
        </w:rPr>
      </w:pPr>
    </w:p>
    <w:p>
      <w:pPr>
        <w:ind w:left="640" w:hanging="436"/>
        <w:spacing w:after="0"/>
        <w:tabs>
          <w:tab w:leader="none" w:pos="640" w:val="left"/>
        </w:tabs>
        <w:numPr>
          <w:ilvl w:val="0"/>
          <w:numId w:val="127"/>
        </w:numPr>
        <w:rPr>
          <w:rFonts w:ascii="Arial" w:cs="Arial" w:eastAsia="Arial" w:hAnsi="Arial"/>
          <w:sz w:val="15"/>
          <w:szCs w:val="15"/>
          <w:color w:val="auto"/>
        </w:rPr>
      </w:pPr>
      <w:r>
        <w:rPr>
          <w:rFonts w:ascii="Arial" w:cs="Arial" w:eastAsia="Arial" w:hAnsi="Arial"/>
          <w:sz w:val="17"/>
          <w:szCs w:val="17"/>
          <w:color w:val="auto"/>
        </w:rPr>
        <w:t>Audited by predecessor auditors.</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CREDIT FACILITY</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Funding I’s multi-currency Credit Facility with the Lenders was $350 million as of September 30, 2016, subject to satisfaction of certain conditions and the regulatory restrictions that the 1940 Act imposes on us as a BDC, has an interest rate spread above LIBOR of 200 basis points, a maturity date of August 2020 and a revolving period that ends in August 2018. As of September 30, 2016 and 2015, Funding I had $232.9 million and $29.6 million of outstanding borrowings under the Credit Facility, respectively. The Credit Facility had a weighted average interest rate of 2.57% and 2.20%, excluding the undrawn commitment fees of 0.375% and 0.75%, as of September 30, 2016 and 2015, respectively. The annualized weighted average cost of debt for the years ended September 30, 2016, 2015 and 2014, inclusive of the fee on the undrawn commitment on the Credit Facility but excluding amendment costs, was 3.51%, 2.62% and 2.35%, respectively.</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8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September 30, 2016, we were in compliance with the covenants relating to our Credit Facility.</w:t>
      </w:r>
    </w:p>
    <w:p>
      <w:pPr>
        <w:spacing w:after="0" w:line="193"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60" w:right="2540"/>
        <w:spacing w:after="0" w:line="266" w:lineRule="auto"/>
        <w:rPr>
          <w:sz w:val="20"/>
          <w:szCs w:val="20"/>
          <w:color w:val="auto"/>
        </w:rPr>
      </w:pPr>
      <w:r>
        <w:rPr>
          <w:rFonts w:ascii="Arial" w:cs="Arial" w:eastAsia="Arial" w:hAnsi="Arial"/>
          <w:sz w:val="18"/>
          <w:szCs w:val="18"/>
          <w:b w:val="1"/>
          <w:bCs w:val="1"/>
          <w:color w:val="auto"/>
        </w:rPr>
        <w:t>PENNANTPARK FLOATING RATE CAPITAL LTD. AND SUBSIDIARIES NOTES TO CONSOLIDATED FINANCIAL STATEMENTS—(Continued) SEPTEMBER 30, 2016</w:t>
      </w:r>
    </w:p>
    <w:p>
      <w:pPr>
        <w:spacing w:after="0" w:line="207"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unsecured creditors of Funding I. The Investment Adviser has irrevocably directed that any management fee owed with respect to such services is to be paid to the Company so long as the Investment Adviser remains the collateral manager.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September 30, 2016 and 2015, we had $20.0 million and $4.8 million, respectively, in commitments to fund investments.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ACQUISITION OF MCG CAPITAL CORPORATION</w:t>
      </w:r>
    </w:p>
    <w:p>
      <w:pPr>
        <w:spacing w:after="0" w:line="12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We entered into the Merger Agreement with MCG on April 28, 2015 to improve our scale to be more important to borrowers, to increase our market capitalization, to reduce our expense ratio and to increase diversification.</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August 2015, we completed the acquisition of MCG whereby we acquired 100% of the net assets of MCG, approximately $166.9 million consisting of primarily cash.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Pursuant to the Merger Agreement, we issued an aggregate of approximately 11.8 million shares of our common stock to former MCG stockholders, and our Investment Adviser made an aggregate cash payment of approximately $11.3 million to former MCG stockholders. The cash payment of approximately $11.3 million by our Investment Adviser is not subject to any reimbursement arrangement and is therefore not reflected in our consolidated financial statements. We incurred transaction costs of $2.3 million, of which $2.2 million relating to our share issuance were charged to paid in capital and $0.1 million was expensed.</w:t>
      </w:r>
    </w:p>
    <w:p>
      <w:pPr>
        <w:spacing w:after="0" w:line="1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accounted for the merger with MCG under the asset acquisition method of accounting in accordance with ASC 805-50, Business Combinations—Related Issues. Under asset acquisition accounting, acquiring assets in groups requires ascertaining the cost of the net assets, as well as, allocating that cost to the individual assets and liabilities comprising the group. Under ASC 805-50-30-1, assets are recognized based on their cost to the acquiring entity, which generally includes transaction costs of the asset acquisition, and no gain or loss is recognized unless the fair value of noncash assets given as consideration differs from the assets’ carrying amounts on the acquiring entity’s records. Furthermore, ASC 805-50-30-2 provides that if the consideration given is not in the form of cash (for example, in the form of equity interests issued), measurement is based on the cost to the acquiring entity or the fair value of the net assets acquired, whichever is more clearly evident and, thus, more reliably measured. Since the acquired net assets were principally comprised of cash, we used the net assets acquired to measure the value of the common stock issued. Finally, ASC 805-50-30-3 provides that the cost of the group of assets acquired in an asset acquisition is allocated to the individual assets acquired or liabilities assumed based on their relative fair values of net identifiable assets acquired other than “non-qualifying” assets (for example, cash) and does not give rise to goodwill.</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648970</wp:posOffset>
            </wp:positionV>
            <wp:extent cx="2221230" cy="4718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21230" cy="471805"/>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6,000,000 Shares</w:t>
      </w:r>
    </w:p>
    <w:p>
      <w:pPr>
        <w:spacing w:after="0" w:line="200" w:lineRule="exact"/>
        <w:rPr>
          <w:sz w:val="20"/>
          <w:szCs w:val="20"/>
          <w:color w:val="auto"/>
        </w:rPr>
      </w:pPr>
    </w:p>
    <w:p>
      <w:pPr>
        <w:spacing w:after="0" w:line="353"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406400</wp:posOffset>
            </wp:positionV>
            <wp:extent cx="146621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Bookrunners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Keefe, Bruyette &amp; Woods,</w:t>
      </w:r>
    </w:p>
    <w:p>
      <w:pPr>
        <w:spacing w:after="0" w:line="76"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 Stifel Company</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RBC Capital Markets</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6"/>
          <w:szCs w:val="26"/>
          <w:b w:val="1"/>
          <w:bCs w:val="1"/>
          <w:color w:val="auto"/>
        </w:rPr>
        <w:t>SunTrust Robinson Humphrey</w:t>
      </w:r>
    </w:p>
    <w:p>
      <w:pPr>
        <w:spacing w:after="0" w:line="380"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109"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Comerica Securities</w:t>
      </w:r>
    </w:p>
    <w:p>
      <w:pPr>
        <w:spacing w:after="0" w:line="91"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Janney Montgomery Scott</w:t>
      </w:r>
    </w:p>
    <w:p>
      <w:pPr>
        <w:spacing w:after="0" w:line="77"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JMP Securities</w:t>
      </w:r>
    </w:p>
    <w:p>
      <w:pPr>
        <w:spacing w:after="0" w:line="77"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Ladenburg Thalmann</w:t>
      </w:r>
    </w:p>
    <w:p>
      <w:pPr>
        <w:spacing w:after="0" w:line="91"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Maxim Group LLC</w:t>
      </w:r>
    </w:p>
    <w:p>
      <w:pPr>
        <w:spacing w:after="0" w:line="200" w:lineRule="exact"/>
        <w:rPr>
          <w:sz w:val="20"/>
          <w:szCs w:val="20"/>
          <w:color w:val="auto"/>
        </w:rPr>
      </w:pPr>
    </w:p>
    <w:p>
      <w:pPr>
        <w:spacing w:after="0" w:line="35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October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480695</wp:posOffset>
            </wp:positionV>
            <wp:extent cx="699770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lowerLetter"/>
      <w:start w:val="1"/>
    </w:lvl>
    <w:lvl w:ilvl="1">
      <w:lvlJc w:val="left"/>
      <w:lvlText w:val="•"/>
      <w:numFmt w:val="bullet"/>
      <w:start w:val="1"/>
    </w:lvl>
  </w:abstractNum>
  <w:abstractNum w:abstractNumId="3">
    <w:nsid w:val="25A70BF7"/>
    <w:multiLevelType w:val="hybridMultilevel"/>
    <w:lvl w:ilvl="0">
      <w:lvlJc w:val="left"/>
      <w:lvlText w:val="(%1)"/>
      <w:numFmt w:val="decimal"/>
      <w:start w:val="1"/>
    </w:lvl>
  </w:abstractNum>
  <w:abstractNum w:abstractNumId="4">
    <w:nsid w:val="1DBABF00"/>
    <w:multiLevelType w:val="hybridMultilevel"/>
    <w:lvl w:ilvl="0">
      <w:lvlJc w:val="left"/>
      <w:lvlText w:val="(%1)"/>
      <w:numFmt w:val="decimal"/>
      <w:start w:val="7"/>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1)"/>
      <w:numFmt w:val="decimal"/>
      <w:start w:val="1"/>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1)"/>
      <w:numFmt w:val="decimal"/>
      <w:start w:val="1"/>
    </w:lvl>
  </w:abstractNum>
  <w:abstractNum w:abstractNumId="12">
    <w:nsid w:val="5F5E7FD0"/>
    <w:multiLevelType w:val="hybridMultilevel"/>
    <w:lvl w:ilvl="0">
      <w:lvlJc w:val="left"/>
      <w:lvlText w:val="%1."/>
      <w:numFmt w:val="decimal"/>
      <w:start w:val="1"/>
    </w:lvl>
  </w:abstractNum>
  <w:abstractNum w:abstractNumId="13">
    <w:nsid w:val="98A3148"/>
    <w:multiLevelType w:val="hybridMultilevel"/>
    <w:lvl w:ilvl="0">
      <w:lvlJc w:val="left"/>
      <w:lvlText w:val="(%1)"/>
      <w:numFmt w:val="decimal"/>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1)"/>
      <w:numFmt w:val="decimal"/>
      <w:start w:val="1"/>
    </w:lvl>
  </w:abstractNum>
  <w:abstractNum w:abstractNumId="16">
    <w:nsid w:val="42C296BD"/>
    <w:multiLevelType w:val="hybridMultilevel"/>
    <w:lvl w:ilvl="0">
      <w:lvlJc w:val="left"/>
      <w:lvlText w:val="(%1)"/>
      <w:numFmt w:val="decimal"/>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lowerLetter"/>
      <w:start w:val="1"/>
    </w:lvl>
  </w:abstractNum>
  <w:abstractNum w:abstractNumId="19">
    <w:nsid w:val="661E3F1E"/>
    <w:multiLevelType w:val="hybridMultilevel"/>
    <w:lvl w:ilvl="0">
      <w:lvlJc w:val="left"/>
      <w:lvlText w:val="(%1)"/>
      <w:numFmt w:val="decimal"/>
      <w:start w:val="1"/>
    </w:lvl>
  </w:abstractNum>
  <w:abstractNum w:abstractNumId="20">
    <w:nsid w:val="5DC79EA8"/>
    <w:multiLevelType w:val="hybridMultilevel"/>
    <w:lvl w:ilvl="0">
      <w:lvlJc w:val="left"/>
      <w:lvlText w:val="(%1)"/>
      <w:numFmt w:val="decimal"/>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1)"/>
      <w:numFmt w:val="decimal"/>
      <w:start w:val="3"/>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1)"/>
      <w:numFmt w:val="decimal"/>
      <w:start w:val="1"/>
    </w:lvl>
  </w:abstractNum>
  <w:abstractNum w:abstractNumId="26">
    <w:nsid w:val="11447B73"/>
    <w:multiLevelType w:val="hybridMultilevel"/>
    <w:lvl w:ilvl="0">
      <w:lvlJc w:val="left"/>
      <w:lvlText w:val="(%1)"/>
      <w:numFmt w:val="decimal"/>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1)"/>
      <w:numFmt w:val="decimal"/>
      <w:start w:val="1"/>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1)"/>
      <w:numFmt w:val="decimal"/>
      <w:start w:val="2"/>
    </w:lvl>
  </w:abstractNum>
  <w:abstractNum w:abstractNumId="32">
    <w:nsid w:val="68EB2F63"/>
    <w:multiLevelType w:val="hybridMultilevel"/>
    <w:lvl w:ilvl="0">
      <w:lvlJc w:val="left"/>
      <w:lvlText w:val="(%1)"/>
      <w:numFmt w:val="decimal"/>
      <w:start w:val="1"/>
    </w:lvl>
  </w:abstractNum>
  <w:abstractNum w:abstractNumId="33">
    <w:nsid w:val="4962813B"/>
    <w:multiLevelType w:val="hybridMultilevel"/>
    <w:lvl w:ilvl="0">
      <w:lvlJc w:val="left"/>
      <w:lvlText w:val="(%1)"/>
      <w:numFmt w:val="decimal"/>
      <w:start w:val="7"/>
    </w:lvl>
  </w:abstractNum>
  <w:abstractNum w:abstractNumId="34">
    <w:nsid w:val="60B6DF70"/>
    <w:multiLevelType w:val="hybridMultilevel"/>
    <w:lvl w:ilvl="0">
      <w:lvlJc w:val="left"/>
      <w:lvlText w:val="(%1)"/>
      <w:numFmt w:val="decimal"/>
      <w:start w:val="2"/>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decimal"/>
      <w:start w:val="2"/>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1)"/>
      <w:numFmt w:val="decimal"/>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1)"/>
      <w:numFmt w:val="decimal"/>
      <w:start w:val="1"/>
    </w:lvl>
  </w:abstractNum>
  <w:abstractNum w:abstractNumId="52">
    <w:nsid w:val="68EBC550"/>
    <w:multiLevelType w:val="hybridMultilevel"/>
    <w:lvl w:ilvl="0">
      <w:lvlJc w:val="left"/>
      <w:lvlText w:val="(%1)"/>
      <w:numFmt w:val="decimal"/>
      <w:start w:val="5"/>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1)"/>
      <w:numFmt w:val="lowerLetter"/>
      <w:start w:val="2"/>
    </w:lvl>
    <w:lvl w:ilvl="1">
      <w:lvlJc w:val="left"/>
      <w:lvlText w:val="•"/>
      <w:numFmt w:val="bullet"/>
      <w:start w:val="1"/>
    </w:lvl>
  </w:abstractNum>
  <w:abstractNum w:abstractNumId="63">
    <w:nsid w:val="49DA307D"/>
    <w:multiLevelType w:val="hybridMultilevel"/>
    <w:lvl w:ilvl="0">
      <w:lvlJc w:val="left"/>
      <w:lvlText w:val="%1)"/>
      <w:numFmt w:val="lowerLetter"/>
      <w:start w:val="1"/>
    </w:lvl>
  </w:abstractNum>
  <w:abstractNum w:abstractNumId="64">
    <w:nsid w:val="7055A5F5"/>
    <w:multiLevelType w:val="hybridMultilevel"/>
    <w:lvl w:ilvl="0">
      <w:lvlJc w:val="left"/>
      <w:lvlText w:val="%1)"/>
      <w:numFmt w:val="lowerLetter"/>
      <w:start w:val="2"/>
    </w:lvl>
  </w:abstractNum>
  <w:abstractNum w:abstractNumId="65">
    <w:nsid w:val="5FB8370B"/>
    <w:multiLevelType w:val="hybridMultilevel"/>
    <w:lvl w:ilvl="0">
      <w:lvlJc w:val="left"/>
      <w:lvlText w:val="%1)"/>
      <w:numFmt w:val="lowerLetter"/>
      <w:start w:val="3"/>
    </w:lvl>
  </w:abstractNum>
  <w:abstractNum w:abstractNumId="66">
    <w:nsid w:val="50801EE1"/>
    <w:multiLevelType w:val="hybridMultilevel"/>
    <w:lvl w:ilvl="0">
      <w:lvlJc w:val="left"/>
      <w:lvlText w:val="%1)"/>
      <w:numFmt w:val="lowerLetter"/>
      <w:start w:val="4"/>
    </w:lvl>
  </w:abstractNum>
  <w:abstractNum w:abstractNumId="67">
    <w:nsid w:val="488AC1A"/>
    <w:multiLevelType w:val="hybridMultilevel"/>
    <w:lvl w:ilvl="0">
      <w:lvlJc w:val="left"/>
      <w:lvlText w:val="%1)"/>
      <w:numFmt w:val="lowerLetter"/>
      <w:start w:val="5"/>
    </w:lvl>
  </w:abstractNum>
  <w:abstractNum w:abstractNumId="68">
    <w:nsid w:val="5FB8011C"/>
    <w:multiLevelType w:val="hybridMultilevel"/>
    <w:lvl w:ilvl="0">
      <w:lvlJc w:val="left"/>
      <w:lvlText w:val="%1)"/>
      <w:numFmt w:val="lowerLetter"/>
      <w:start w:val="6"/>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1)"/>
      <w:numFmt w:val="decimal"/>
      <w:start w:val="1"/>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1)"/>
      <w:numFmt w:val="decimal"/>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1)"/>
      <w:numFmt w:val="decimal"/>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1)"/>
      <w:numFmt w:val="decimal"/>
      <w:start w:val="4"/>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
      <w:numFmt w:val="bullet"/>
      <w:start w:val="1"/>
    </w:lvl>
  </w:abstractNum>
  <w:abstractNum w:abstractNumId="96">
    <w:nsid w:val="7C58FD05"/>
    <w:multiLevelType w:val="hybridMultilevel"/>
    <w:lvl w:ilvl="0">
      <w:lvlJc w:val="left"/>
      <w:lvlText w:val="•"/>
      <w:numFmt w:val="bullet"/>
      <w:start w:val="1"/>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
      <w:numFmt w:val="bullet"/>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1DF029D3"/>
    <w:multiLevelType w:val="hybridMultilevel"/>
    <w:lvl w:ilvl="0">
      <w:lvlJc w:val="left"/>
      <w:lvlText w:val="(%1)"/>
      <w:numFmt w:val="decimal"/>
      <w:start w:val="2"/>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lvl w:ilvl="1">
      <w:lvlJc w:val="left"/>
      <w:lvlText w:val="%2)"/>
      <w:numFmt w:val="decimal"/>
      <w:start w:val="1"/>
    </w:lvl>
  </w:abstractNum>
  <w:abstractNum w:abstractNumId="116">
    <w:nsid w:val="2708C9AF"/>
    <w:multiLevelType w:val="hybridMultilevel"/>
    <w:lvl w:ilvl="0">
      <w:lvlJc w:val="left"/>
      <w:lvlText w:val="(%1)"/>
      <w:numFmt w:val="decimal"/>
      <w:start w:val="3"/>
    </w:lvl>
  </w:abstractNum>
  <w:abstractNum w:abstractNumId="117">
    <w:nsid w:val="5B25ACE2"/>
    <w:multiLevelType w:val="hybridMultilevel"/>
    <w:lvl w:ilvl="0">
      <w:lvlJc w:val="left"/>
      <w:lvlText w:val="(%1)"/>
      <w:numFmt w:val="decimal"/>
      <w:start w:val="2"/>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decimal"/>
      <w:start w:val="1"/>
    </w:lvl>
  </w:abstractNum>
  <w:abstractNum w:abstractNumId="120">
    <w:nsid w:val="53B0A9E"/>
    <w:multiLevelType w:val="hybridMultilevel"/>
    <w:lvl w:ilvl="0">
      <w:lvlJc w:val="left"/>
      <w:lvlText w:val="(%1)"/>
      <w:numFmt w:val="decimal"/>
      <w:start w:val="1"/>
    </w:lvl>
  </w:abstractNum>
  <w:abstractNum w:abstractNumId="121">
    <w:nsid w:val="34FD6B4F"/>
    <w:multiLevelType w:val="hybridMultilevel"/>
    <w:lvl w:ilvl="0">
      <w:lvlJc w:val="left"/>
      <w:lvlText w:val="(%1)"/>
      <w:numFmt w:val="decimal"/>
      <w:start w:val="8"/>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5"/>
    </w:lvl>
  </w:abstractNum>
  <w:abstractNum w:abstractNumId="124">
    <w:nsid w:val="519E3149"/>
    <w:multiLevelType w:val="hybridMultilevel"/>
    <w:lvl w:ilvl="0">
      <w:lvlJc w:val="left"/>
      <w:lvlText w:val="%1."/>
      <w:numFmt w:val="decimal"/>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2019-12-07T14:22:34Z</dcterms:created>
  <dcterms:modified xsi:type="dcterms:W3CDTF">2019-12-07T14:22:34Z</dcterms:modified>
</cp:coreProperties>
</file>