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smallCaps/>
        </w:rPr>
      </w:pPr>
      <w:bookmarkStart w:id="0" w:name="f8k_020824.htm"/>
      <w:bookmarkStart w:id="1" w:name="ksf8k_020824"/>
      <w:bookmarkEnd w:id="0"/>
      <w:bookmarkEnd w:id="1"/>
      <w:r>
        <w:rPr>
          <w:smallCaps/>
        </w:rPr>
        <w:t> </w:t>
      </w:r>
    </w:p>
    <w:p>
      <w:pPr>
        <w:pStyle w:val="TextBody"/>
        <w:bidi w:val="0"/>
        <w:spacing w:before="0" w:after="0"/>
        <w:jc w:val="center"/>
        <w:rPr>
          <w:sz w:val="20"/>
        </w:rPr>
      </w:pPr>
      <w:r>
        <w:rPr>
          <w:b/>
          <w:sz w:val="20"/>
        </w:rPr>
        <w:t>UNITED STATES</w:t>
      </w:r>
      <w:r>
        <w:rPr>
          <w:sz w:val="20"/>
        </w:rPr>
        <w:t xml:space="preserve"> </w:t>
      </w:r>
    </w:p>
    <w:p>
      <w:pPr>
        <w:pStyle w:val="TextBody"/>
        <w:bidi w:val="0"/>
        <w:spacing w:before="0" w:after="0"/>
        <w:jc w:val="center"/>
        <w:rPr>
          <w:b/>
          <w:sz w:val="20"/>
        </w:rPr>
      </w:pPr>
      <w:r>
        <w:rPr>
          <w:b/>
          <w:sz w:val="20"/>
        </w:rPr>
        <w:t>SECURITIES AND EXCHANGE COMMISSION</w:t>
      </w:r>
    </w:p>
    <w:p>
      <w:pPr>
        <w:pStyle w:val="TextBody"/>
        <w:bidi w:val="0"/>
        <w:spacing w:before="0" w:after="0"/>
        <w:jc w:val="center"/>
        <w:rPr>
          <w:sz w:val="20"/>
        </w:rPr>
      </w:pPr>
      <w:r>
        <w:rPr>
          <w:sz w:val="20"/>
        </w:rPr>
        <w:t>Washington, D.C. 20549</w:t>
      </w:r>
    </w:p>
    <w:p>
      <w:pPr>
        <w:pStyle w:val="TextBody"/>
        <w:bidi w:val="0"/>
        <w:spacing w:before="0" w:after="0"/>
        <w:jc w:val="center"/>
        <w:rPr/>
      </w:pPr>
      <w:r>
        <w:rPr/>
        <w:t> </w:t>
      </w:r>
    </w:p>
    <w:p>
      <w:pPr>
        <w:pStyle w:val="TextBody"/>
        <w:bidi w:val="0"/>
        <w:spacing w:before="0" w:after="0"/>
        <w:jc w:val="center"/>
        <w:rPr>
          <w:b/>
          <w:sz w:val="20"/>
        </w:rPr>
      </w:pPr>
      <w:r>
        <w:rPr>
          <w:b/>
          <w:sz w:val="20"/>
        </w:rPr>
        <w:t xml:space="preserve">FORM </w:t>
      </w:r>
      <w:bookmarkStart w:id="2" w:name="xdx_90C_edei--DocumentType_c20240207__20"/>
      <w:bookmarkEnd w:id="2"/>
      <w:r>
        <w:rPr>
          <w:b/>
          <w:sz w:val="20"/>
        </w:rPr>
        <w:t>8-K</w:t>
      </w:r>
    </w:p>
    <w:p>
      <w:pPr>
        <w:pStyle w:val="TextBody"/>
        <w:bidi w:val="0"/>
        <w:spacing w:before="0" w:after="0"/>
        <w:jc w:val="center"/>
        <w:rPr/>
      </w:pPr>
      <w:r>
        <w:rPr/>
        <w:t> </w:t>
      </w:r>
    </w:p>
    <w:p>
      <w:pPr>
        <w:pStyle w:val="TextBody"/>
        <w:bidi w:val="0"/>
        <w:spacing w:before="0" w:after="0"/>
        <w:jc w:val="center"/>
        <w:rPr>
          <w:sz w:val="20"/>
        </w:rPr>
      </w:pPr>
      <w:r>
        <w:rPr>
          <w:sz w:val="20"/>
        </w:rPr>
        <w:t>CURRENT REPORT</w:t>
      </w:r>
    </w:p>
    <w:p>
      <w:pPr>
        <w:pStyle w:val="TextBody"/>
        <w:bidi w:val="0"/>
        <w:spacing w:before="0" w:after="0"/>
        <w:jc w:val="center"/>
        <w:rPr/>
      </w:pPr>
      <w:r>
        <w:rPr/>
        <w:t> </w:t>
      </w:r>
    </w:p>
    <w:p>
      <w:pPr>
        <w:pStyle w:val="TextBody"/>
        <w:bidi w:val="0"/>
        <w:spacing w:before="0" w:after="0"/>
        <w:jc w:val="center"/>
        <w:rPr>
          <w:sz w:val="20"/>
        </w:rPr>
      </w:pPr>
      <w:r>
        <w:rPr>
          <w:sz w:val="20"/>
        </w:rPr>
        <w:t>Pursuant to Section 13 or 15(d) of the Securities Exchange Act of 1934</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 xml:space="preserve">Date of Report: </w:t>
      </w:r>
      <w:bookmarkStart w:id="3" w:name="xdx_900_edei--DocumentPeriodEndDate_c202"/>
      <w:bookmarkEnd w:id="3"/>
      <w:r>
        <w:rPr>
          <w:b/>
          <w:sz w:val="20"/>
        </w:rPr>
        <w:t>February 7, 2024</w:t>
      </w:r>
    </w:p>
    <w:p>
      <w:pPr>
        <w:pStyle w:val="TextBody"/>
        <w:bidi w:val="0"/>
        <w:spacing w:before="0" w:after="0"/>
        <w:jc w:val="center"/>
        <w:rPr>
          <w:sz w:val="20"/>
        </w:rPr>
      </w:pPr>
      <w:r>
        <w:rPr>
          <w:sz w:val="20"/>
        </w:rPr>
        <w:t>(Date of earliest event reported)</w:t>
      </w:r>
    </w:p>
    <w:p>
      <w:pPr>
        <w:pStyle w:val="TextBody"/>
        <w:bidi w:val="0"/>
        <w:spacing w:before="0" w:after="0"/>
        <w:jc w:val="center"/>
        <w:rPr/>
      </w:pPr>
      <w:r>
        <w:rPr/>
        <w:t> </w:t>
      </w:r>
    </w:p>
    <w:p>
      <w:pPr>
        <w:pStyle w:val="TextBody"/>
        <w:bidi w:val="0"/>
        <w:spacing w:before="0" w:after="0"/>
        <w:jc w:val="center"/>
        <w:rPr>
          <w:b/>
          <w:sz w:val="20"/>
        </w:rPr>
      </w:pPr>
      <w:bookmarkStart w:id="4" w:name="xdx_902_edei--EntityRegistrantName_c2024"/>
      <w:bookmarkEnd w:id="4"/>
      <w:r>
        <w:rPr>
          <w:b/>
          <w:sz w:val="20"/>
        </w:rPr>
        <w:t>PennantPark Floating Rate Capital Ltd.</w:t>
      </w:r>
    </w:p>
    <w:p>
      <w:pPr>
        <w:pStyle w:val="TextBody"/>
        <w:bidi w:val="0"/>
        <w:spacing w:before="0" w:after="0"/>
        <w:jc w:val="center"/>
        <w:rPr>
          <w:sz w:val="20"/>
        </w:rPr>
      </w:pPr>
      <w:r>
        <w:rPr>
          <w:sz w:val="20"/>
        </w:rPr>
        <w:t>(Exact name of registrant as specified in its charter)</w:t>
      </w:r>
    </w:p>
    <w:p>
      <w:pPr>
        <w:pStyle w:val="TextBody"/>
        <w:bidi w:val="0"/>
        <w:spacing w:before="0" w:after="0"/>
        <w:ind w:left="0" w:right="0" w:hanging="0"/>
        <w:jc w:val="left"/>
        <w:rPr/>
      </w:pPr>
      <w:r>
        <w:rPr/>
        <w:t> </w:t>
      </w:r>
    </w:p>
    <w:tbl>
      <w:tblPr>
        <w:tblW w:w="8985" w:type="dxa"/>
        <w:jc w:val="left"/>
        <w:tblInd w:w="0" w:type="dxa"/>
        <w:tblLayout w:type="fixed"/>
        <w:tblCellMar>
          <w:top w:w="0" w:type="dxa"/>
          <w:left w:w="0" w:type="dxa"/>
          <w:bottom w:w="0" w:type="dxa"/>
          <w:right w:w="0" w:type="dxa"/>
        </w:tblCellMar>
      </w:tblPr>
      <w:tblGrid>
        <w:gridCol w:w="3635"/>
        <w:gridCol w:w="2210"/>
        <w:gridCol w:w="3140"/>
      </w:tblGrid>
      <w:tr>
        <w:trPr/>
        <w:tc>
          <w:tcPr>
            <w:tcW w:w="3635" w:type="dxa"/>
            <w:tcBorders/>
            <w:vAlign w:val="center"/>
          </w:tcPr>
          <w:p>
            <w:pPr>
              <w:pStyle w:val="TableContents"/>
              <w:bidi w:val="0"/>
              <w:spacing w:before="0" w:after="0"/>
              <w:ind w:left="0" w:right="0" w:hanging="0"/>
              <w:jc w:val="center"/>
              <w:rPr>
                <w:b/>
                <w:sz w:val="20"/>
              </w:rPr>
            </w:pPr>
            <w:bookmarkStart w:id="5" w:name="xdx_900_edei--EntityIncorporationStateCo"/>
            <w:bookmarkEnd w:id="5"/>
            <w:r>
              <w:rPr>
                <w:b/>
                <w:sz w:val="20"/>
              </w:rPr>
              <w:t>Maryland</w:t>
            </w:r>
          </w:p>
          <w:p>
            <w:pPr>
              <w:pStyle w:val="TableContents"/>
              <w:bidi w:val="0"/>
              <w:spacing w:before="0" w:after="0"/>
              <w:ind w:left="0" w:right="0" w:hanging="0"/>
              <w:jc w:val="center"/>
              <w:rPr>
                <w:sz w:val="20"/>
              </w:rPr>
            </w:pPr>
            <w:r>
              <w:rPr>
                <w:sz w:val="20"/>
              </w:rPr>
              <w:t>(State or Other Jurisdiction of Incorporation)</w:t>
            </w:r>
          </w:p>
        </w:tc>
        <w:tc>
          <w:tcPr>
            <w:tcW w:w="2210" w:type="dxa"/>
            <w:tcBorders/>
            <w:vAlign w:val="center"/>
          </w:tcPr>
          <w:p>
            <w:pPr>
              <w:pStyle w:val="TableContents"/>
              <w:bidi w:val="0"/>
              <w:spacing w:before="0" w:after="0"/>
              <w:ind w:left="0" w:right="0" w:hanging="0"/>
              <w:jc w:val="center"/>
              <w:rPr>
                <w:b/>
                <w:sz w:val="20"/>
              </w:rPr>
            </w:pPr>
            <w:bookmarkStart w:id="6" w:name="xdx_900_edei--EntityFileNumber_c20240207"/>
            <w:bookmarkEnd w:id="6"/>
            <w:r>
              <w:rPr>
                <w:b/>
                <w:sz w:val="20"/>
              </w:rPr>
              <w:t>814-00891</w:t>
            </w:r>
          </w:p>
          <w:p>
            <w:pPr>
              <w:pStyle w:val="TableContents"/>
              <w:bidi w:val="0"/>
              <w:spacing w:before="0" w:after="0"/>
              <w:ind w:left="0" w:right="0" w:hanging="0"/>
              <w:jc w:val="center"/>
              <w:rPr>
                <w:sz w:val="20"/>
              </w:rPr>
            </w:pPr>
            <w:r>
              <w:rPr>
                <w:sz w:val="20"/>
              </w:rPr>
              <w:t>(Commission File Number)</w:t>
            </w:r>
          </w:p>
        </w:tc>
        <w:tc>
          <w:tcPr>
            <w:tcW w:w="3140" w:type="dxa"/>
            <w:tcBorders/>
            <w:vAlign w:val="center"/>
          </w:tcPr>
          <w:p>
            <w:pPr>
              <w:pStyle w:val="TableContents"/>
              <w:bidi w:val="0"/>
              <w:spacing w:before="0" w:after="0"/>
              <w:ind w:left="0" w:right="0" w:hanging="0"/>
              <w:jc w:val="center"/>
              <w:rPr>
                <w:b/>
                <w:sz w:val="20"/>
              </w:rPr>
            </w:pPr>
            <w:bookmarkStart w:id="7" w:name="xdx_903_edei--EntityTaxIdentificationNum"/>
            <w:bookmarkEnd w:id="7"/>
            <w:r>
              <w:rPr>
                <w:b/>
                <w:sz w:val="20"/>
              </w:rPr>
              <w:t>27-3794690</w:t>
            </w:r>
          </w:p>
          <w:p>
            <w:pPr>
              <w:pStyle w:val="TableContents"/>
              <w:bidi w:val="0"/>
              <w:spacing w:before="0" w:after="0"/>
              <w:ind w:left="0" w:right="0" w:hanging="0"/>
              <w:jc w:val="center"/>
              <w:rPr>
                <w:sz w:val="20"/>
              </w:rPr>
            </w:pPr>
            <w:r>
              <w:rPr>
                <w:sz w:val="20"/>
              </w:rPr>
              <w:t>(IRS Employer Identification Number)</w:t>
            </w:r>
          </w:p>
        </w:tc>
      </w:tr>
    </w:tbl>
    <w:p>
      <w:pPr>
        <w:pStyle w:val="TextBody"/>
        <w:bidi w:val="0"/>
        <w:spacing w:before="0" w:after="0"/>
        <w:ind w:left="0" w:right="0" w:hanging="0"/>
        <w:jc w:val="left"/>
        <w:rPr/>
      </w:pPr>
      <w:r>
        <w:rPr/>
        <w:t> </w:t>
      </w:r>
    </w:p>
    <w:tbl>
      <w:tblPr>
        <w:tblW w:w="4195" w:type="dxa"/>
        <w:jc w:val="left"/>
        <w:tblInd w:w="0" w:type="dxa"/>
        <w:tblLayout w:type="fixed"/>
        <w:tblCellMar>
          <w:top w:w="0" w:type="dxa"/>
          <w:left w:w="0" w:type="dxa"/>
          <w:bottom w:w="0" w:type="dxa"/>
          <w:right w:w="0" w:type="dxa"/>
        </w:tblCellMar>
      </w:tblPr>
      <w:tblGrid>
        <w:gridCol w:w="3275"/>
        <w:gridCol w:w="920"/>
      </w:tblGrid>
      <w:tr>
        <w:trPr/>
        <w:tc>
          <w:tcPr>
            <w:tcW w:w="3275" w:type="dxa"/>
            <w:tcBorders/>
            <w:vAlign w:val="center"/>
          </w:tcPr>
          <w:p>
            <w:pPr>
              <w:pStyle w:val="TableContents"/>
              <w:bidi w:val="0"/>
              <w:spacing w:before="0" w:after="0"/>
              <w:ind w:left="0" w:right="0" w:hanging="0"/>
              <w:jc w:val="center"/>
              <w:rPr>
                <w:b/>
                <w:sz w:val="20"/>
              </w:rPr>
            </w:pPr>
            <w:r>
              <w:rPr>
                <w:b/>
                <w:sz w:val="20"/>
              </w:rPr>
              <w:t>1691 Michigan Avenue</w:t>
            </w:r>
          </w:p>
          <w:p>
            <w:pPr>
              <w:pStyle w:val="TableContents"/>
              <w:bidi w:val="0"/>
              <w:spacing w:before="0" w:after="0"/>
              <w:ind w:left="0" w:right="0" w:hanging="0"/>
              <w:jc w:val="center"/>
              <w:rPr>
                <w:b/>
                <w:sz w:val="20"/>
              </w:rPr>
            </w:pPr>
            <w:r>
              <w:rPr>
                <w:b/>
                <w:sz w:val="20"/>
              </w:rPr>
              <w:t>Miami Beach, Florida</w:t>
            </w:r>
          </w:p>
          <w:p>
            <w:pPr>
              <w:pStyle w:val="TableContents"/>
              <w:bidi w:val="0"/>
              <w:spacing w:before="0" w:after="0"/>
              <w:ind w:left="0" w:right="0" w:hanging="0"/>
              <w:jc w:val="center"/>
              <w:rPr>
                <w:sz w:val="20"/>
              </w:rPr>
            </w:pPr>
            <w:r>
              <w:rPr>
                <w:sz w:val="20"/>
              </w:rPr>
              <w:t>(Address of Principal Executive Offices)</w:t>
            </w:r>
          </w:p>
        </w:tc>
        <w:tc>
          <w:tcPr>
            <w:tcW w:w="920" w:type="dxa"/>
            <w:tcBorders/>
            <w:vAlign w:val="center"/>
          </w:tcPr>
          <w:p>
            <w:pPr>
              <w:pStyle w:val="TableContents"/>
              <w:bidi w:val="0"/>
              <w:spacing w:before="0" w:after="0"/>
              <w:ind w:left="0" w:right="0" w:hanging="0"/>
              <w:jc w:val="center"/>
              <w:rPr>
                <w:b/>
                <w:sz w:val="20"/>
              </w:rPr>
            </w:pPr>
            <w:r>
              <w:rPr>
                <w:b/>
                <w:sz w:val="20"/>
              </w:rPr>
              <w:t>33139</w:t>
            </w:r>
          </w:p>
          <w:p>
            <w:pPr>
              <w:pStyle w:val="TableContents"/>
              <w:bidi w:val="0"/>
              <w:spacing w:before="0" w:after="0"/>
              <w:ind w:left="0" w:right="0" w:hanging="0"/>
              <w:jc w:val="center"/>
              <w:rPr>
                <w:sz w:val="20"/>
              </w:rPr>
            </w:pPr>
            <w:r>
              <w:rPr>
                <w:sz w:val="20"/>
              </w:rPr>
              <w:t>(Zip Code)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8" w:name="xdx_90B_edei--CityAreaCode_c20240207__20"/>
      <w:bookmarkEnd w:id="8"/>
      <w:r>
        <w:rPr>
          <w:b/>
          <w:sz w:val="20"/>
        </w:rPr>
        <w:t xml:space="preserve">(786) </w:t>
      </w:r>
      <w:bookmarkStart w:id="9" w:name="xdx_902_edei--LocalPhoneNumber_c20240207"/>
      <w:bookmarkEnd w:id="9"/>
      <w:r>
        <w:rPr>
          <w:b/>
          <w:sz w:val="20"/>
        </w:rPr>
        <w:t>297-9500</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0" w:name="xdx_909_edei--WrittenCommunications_c202"/>
      <w:bookmarkEnd w:id="10"/>
      <w:r>
        <w:rPr/>
        <w:t xml:space="preserve">☐ </w:t>
      </w:r>
      <w:r>
        <w:rPr>
          <w:sz w:val="20"/>
        </w:rPr>
        <w:t>Written communications pursuant to Rule 425 under the Securities Act (17 CFR 230.425)</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1" w:name="xdx_901_edei--SolicitingMaterial_c202402"/>
      <w:bookmarkEnd w:id="11"/>
      <w:r>
        <w:rPr/>
        <w:t xml:space="preserve">☐ </w:t>
      </w:r>
      <w:r>
        <w:rPr>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2" w:name="xdx_90D_edei--PreCommencementTenderOffer"/>
      <w:bookmarkEnd w:id="12"/>
      <w:r>
        <w:rPr/>
        <w:t xml:space="preserve">☐ </w:t>
      </w:r>
      <w:r>
        <w:rPr>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3" w:name="xdx_90F_edei--PreCommencementIssuerTende"/>
      <w:bookmarkEnd w:id="13"/>
      <w:r>
        <w:rPr/>
        <w:t xml:space="preserve">☐ </w:t>
      </w:r>
      <w:r>
        <w:rPr>
          <w:sz w:val="20"/>
        </w:rPr>
        <w:t>Pre-commencement communications pursuant to Rule 13e-4(c) under the Exchange Act (17 CFR 240.13e-4(c))</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Securities registered pursuant to Section 12(b) of the Act:</w:t>
      </w:r>
    </w:p>
    <w:p>
      <w:pPr>
        <w:pStyle w:val="TextBody"/>
        <w:bidi w:val="0"/>
        <w:spacing w:before="0" w:after="0"/>
        <w:ind w:left="0" w:right="0" w:hanging="0"/>
        <w:jc w:val="left"/>
        <w:rPr/>
      </w:pPr>
      <w:r>
        <w:rPr/>
        <w:t> </w:t>
      </w:r>
    </w:p>
    <w:tbl>
      <w:tblPr>
        <w:tblW w:w="9030" w:type="dxa"/>
        <w:jc w:val="left"/>
        <w:tblInd w:w="0" w:type="dxa"/>
        <w:tblLayout w:type="fixed"/>
        <w:tblCellMar>
          <w:top w:w="0" w:type="dxa"/>
          <w:left w:w="0" w:type="dxa"/>
          <w:bottom w:w="0" w:type="dxa"/>
          <w:right w:w="0" w:type="dxa"/>
        </w:tblCellMar>
      </w:tblPr>
      <w:tblGrid>
        <w:gridCol w:w="3515"/>
        <w:gridCol w:w="1610"/>
        <w:gridCol w:w="3905"/>
      </w:tblGrid>
      <w:tr>
        <w:trPr/>
        <w:tc>
          <w:tcPr>
            <w:tcW w:w="3515" w:type="dxa"/>
            <w:tcBorders/>
            <w:vAlign w:val="center"/>
          </w:tcPr>
          <w:p>
            <w:pPr>
              <w:pStyle w:val="TableContents"/>
              <w:bidi w:val="0"/>
              <w:spacing w:before="0" w:after="283"/>
              <w:jc w:val="center"/>
              <w:rPr>
                <w:b/>
                <w:sz w:val="20"/>
              </w:rPr>
            </w:pPr>
            <w:r>
              <w:rPr>
                <w:b/>
                <w:sz w:val="20"/>
              </w:rPr>
              <w:t>Title of Each Class</w:t>
            </w:r>
          </w:p>
        </w:tc>
        <w:tc>
          <w:tcPr>
            <w:tcW w:w="1610" w:type="dxa"/>
            <w:tcBorders/>
            <w:vAlign w:val="center"/>
          </w:tcPr>
          <w:p>
            <w:pPr>
              <w:pStyle w:val="TableContents"/>
              <w:bidi w:val="0"/>
              <w:spacing w:before="0" w:after="283"/>
              <w:jc w:val="center"/>
              <w:rPr>
                <w:b/>
                <w:sz w:val="20"/>
              </w:rPr>
            </w:pPr>
            <w:r>
              <w:rPr>
                <w:b/>
                <w:sz w:val="20"/>
              </w:rPr>
              <w:t>Trading Symbol(s)</w:t>
            </w:r>
          </w:p>
        </w:tc>
        <w:tc>
          <w:tcPr>
            <w:tcW w:w="3905" w:type="dxa"/>
            <w:tcBorders/>
            <w:vAlign w:val="center"/>
          </w:tcPr>
          <w:p>
            <w:pPr>
              <w:pStyle w:val="TableContents"/>
              <w:bidi w:val="0"/>
              <w:spacing w:before="0" w:after="283"/>
              <w:jc w:val="center"/>
              <w:rPr>
                <w:b/>
                <w:sz w:val="20"/>
              </w:rPr>
            </w:pPr>
            <w:r>
              <w:rPr>
                <w:b/>
                <w:sz w:val="20"/>
              </w:rPr>
              <w:t>Name of Each Exchange on Which Registered</w:t>
            </w:r>
          </w:p>
        </w:tc>
      </w:tr>
      <w:tr>
        <w:trPr/>
        <w:tc>
          <w:tcPr>
            <w:tcW w:w="3515" w:type="dxa"/>
            <w:tcBorders/>
            <w:vAlign w:val="center"/>
          </w:tcPr>
          <w:p>
            <w:pPr>
              <w:pStyle w:val="TableContents"/>
              <w:bidi w:val="0"/>
              <w:spacing w:before="0" w:after="283"/>
              <w:jc w:val="center"/>
              <w:rPr>
                <w:sz w:val="20"/>
              </w:rPr>
            </w:pPr>
            <w:bookmarkStart w:id="14" w:name="xdx_90A_edei--Security12bTitle_c20240207"/>
            <w:bookmarkEnd w:id="14"/>
            <w:r>
              <w:rPr>
                <w:sz w:val="20"/>
              </w:rPr>
              <w:t>Common Stock, par value $0.001 per share</w:t>
            </w:r>
          </w:p>
        </w:tc>
        <w:tc>
          <w:tcPr>
            <w:tcW w:w="1610" w:type="dxa"/>
            <w:tcBorders/>
            <w:vAlign w:val="center"/>
          </w:tcPr>
          <w:p>
            <w:pPr>
              <w:pStyle w:val="TableContents"/>
              <w:bidi w:val="0"/>
              <w:spacing w:before="0" w:after="283"/>
              <w:jc w:val="center"/>
              <w:rPr>
                <w:sz w:val="20"/>
              </w:rPr>
            </w:pPr>
            <w:bookmarkStart w:id="15" w:name="xdx_90C_edei--TradingSymbol_c20240207__2"/>
            <w:bookmarkEnd w:id="15"/>
            <w:r>
              <w:rPr>
                <w:sz w:val="20"/>
              </w:rPr>
              <w:t>PFLT</w:t>
            </w:r>
          </w:p>
        </w:tc>
        <w:tc>
          <w:tcPr>
            <w:tcW w:w="3905" w:type="dxa"/>
            <w:tcBorders/>
            <w:vAlign w:val="center"/>
          </w:tcPr>
          <w:p>
            <w:pPr>
              <w:pStyle w:val="TableContents"/>
              <w:bidi w:val="0"/>
              <w:spacing w:before="0" w:after="283"/>
              <w:jc w:val="center"/>
              <w:rPr>
                <w:sz w:val="20"/>
              </w:rPr>
            </w:pPr>
            <w:bookmarkStart w:id="16" w:name="xdx_904_edei--SecurityExchangeName_c2024"/>
            <w:bookmarkEnd w:id="16"/>
            <w:r>
              <w:rPr>
                <w:sz w:val="20"/>
              </w:rPr>
              <w:t>The New York Stock Exchange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an emerging growth company as defined in Rule 405 of the Securities Act of 1933 (17 CFR § 230.405) or Rule 12b-2 of the Securities Exchange Act of 1934 (17 CFR § 240.12b-2).</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Emerging growth company </w:t>
      </w:r>
      <w:bookmarkStart w:id="17" w:name="xdx_90D_edei--EntityEmergingGrowthCompan"/>
      <w:bookmarkEnd w:id="17"/>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Item 8.01. Other Events. </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On February 7, 2024, PennantPark Floating Rate Capital Ltd. (the “Company”) filed a notice with the Israel Securities Authority and the Tel Aviv Stock Exchange Ltd (the “TASE”) voluntarily requesting to delist the Company’s common stock from trading on the TASE. Pursuant to Israeli law, the delisting of the Company’s common stock from the TASE is expected to take effect three months following the date of the Company’s notice of its intent to delist the Company’s common stock.</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The Company’s common stock will continue to be listed for trading on the New York Stock Exchange.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Exchange Act,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6625" w:type="dxa"/>
        <w:jc w:val="left"/>
        <w:tblInd w:w="0" w:type="dxa"/>
        <w:tblLayout w:type="fixed"/>
        <w:tblCellMar>
          <w:top w:w="0" w:type="dxa"/>
          <w:left w:w="0" w:type="dxa"/>
          <w:bottom w:w="0" w:type="dxa"/>
          <w:right w:w="0" w:type="dxa"/>
        </w:tblCellMar>
      </w:tblPr>
      <w:tblGrid>
        <w:gridCol w:w="2000"/>
        <w:gridCol w:w="4625"/>
      </w:tblGrid>
      <w:tr>
        <w:trPr/>
        <w:tc>
          <w:tcPr>
            <w:tcW w:w="2000" w:type="dxa"/>
            <w:tcBorders/>
            <w:vAlign w:val="center"/>
          </w:tcPr>
          <w:p>
            <w:pPr>
              <w:pStyle w:val="TableContents"/>
              <w:bidi w:val="0"/>
              <w:spacing w:before="0" w:after="0"/>
              <w:ind w:left="0" w:right="0" w:hanging="0"/>
              <w:jc w:val="left"/>
              <w:rPr>
                <w:sz w:val="20"/>
              </w:rPr>
            </w:pPr>
            <w:r>
              <w:rPr>
                <w:sz w:val="20"/>
              </w:rPr>
              <w:t>Dated: February 8, 2024</w:t>
            </w:r>
          </w:p>
          <w:p>
            <w:pPr>
              <w:pStyle w:val="TableContents"/>
              <w:bidi w:val="0"/>
              <w:spacing w:before="0" w:after="0"/>
              <w:ind w:left="0" w:right="0" w:hanging="0"/>
              <w:jc w:val="left"/>
              <w:rPr/>
            </w:pPr>
            <w:r>
              <w:rPr/>
              <w:t> </w:t>
            </w:r>
          </w:p>
        </w:tc>
        <w:tc>
          <w:tcPr>
            <w:tcW w:w="4625" w:type="dxa"/>
            <w:tcBorders/>
            <w:vAlign w:val="center"/>
          </w:tcPr>
          <w:p>
            <w:pPr>
              <w:pStyle w:val="TableContents"/>
              <w:bidi w:val="0"/>
              <w:spacing w:before="0" w:after="0"/>
              <w:ind w:left="1933" w:right="0" w:hanging="0"/>
              <w:jc w:val="left"/>
              <w:rPr>
                <w:b/>
                <w:sz w:val="20"/>
              </w:rPr>
            </w:pPr>
            <w:r>
              <w:rPr>
                <w:b/>
                <w:sz w:val="20"/>
              </w:rPr>
              <w:t xml:space="preserve">PENNANTPARK FLOATING RATE CAPITAL LTD. </w:t>
            </w:r>
          </w:p>
          <w:p>
            <w:pPr>
              <w:pStyle w:val="TableContents"/>
              <w:bidi w:val="0"/>
              <w:spacing w:before="0" w:after="0"/>
              <w:ind w:left="0" w:right="0" w:hanging="0"/>
              <w:jc w:val="left"/>
              <w:rPr/>
            </w:pPr>
            <w:r>
              <w:rPr/>
              <w:t> </w:t>
            </w:r>
          </w:p>
          <w:p>
            <w:pPr>
              <w:pStyle w:val="TableContents"/>
              <w:bidi w:val="0"/>
              <w:spacing w:before="0" w:after="0"/>
              <w:ind w:left="1933" w:right="0" w:hanging="0"/>
              <w:jc w:val="left"/>
              <w:rPr>
                <w:sz w:val="20"/>
              </w:rPr>
            </w:pPr>
            <w:r>
              <w:rPr>
                <w:sz w:val="20"/>
              </w:rPr>
              <w:t xml:space="preserve">By: </w:t>
            </w:r>
            <w:r>
              <w:rPr>
                <w:sz w:val="20"/>
                <w:u w:val="single"/>
              </w:rPr>
              <w:t xml:space="preserve">/s/ Richard T. Allorto, Jr. </w:t>
            </w:r>
          </w:p>
          <w:p>
            <w:pPr>
              <w:pStyle w:val="TableContents"/>
              <w:bidi w:val="0"/>
              <w:spacing w:before="0" w:after="0"/>
              <w:ind w:left="1933" w:right="0" w:firstLine="360"/>
              <w:jc w:val="left"/>
              <w:rPr>
                <w:sz w:val="20"/>
              </w:rPr>
            </w:pPr>
            <w:r>
              <w:rPr>
                <w:sz w:val="20"/>
              </w:rPr>
              <w:t>Richard T. Allorto, Jr.</w:t>
            </w:r>
          </w:p>
          <w:p>
            <w:pPr>
              <w:pStyle w:val="TableContents"/>
              <w:bidi w:val="0"/>
              <w:spacing w:before="0" w:after="0"/>
              <w:ind w:left="1933" w:right="0" w:firstLine="360"/>
              <w:jc w:val="left"/>
              <w:rPr>
                <w:i/>
                <w:sz w:val="20"/>
              </w:rPr>
            </w:pPr>
            <w:r>
              <w:rPr>
                <w:i/>
                <w:sz w:val="20"/>
              </w:rPr>
              <w:t>Chief Financial Officer &amp; Treasurer</w:t>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454</Words>
  <Characters>2452</Characters>
  <CharactersWithSpaces>2902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