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14,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40"/>
        <w:spacing w:after="0"/>
        <w:rPr>
          <w:sz w:val="20"/>
          <w:szCs w:val="20"/>
          <w:color w:val="auto"/>
        </w:rPr>
      </w:pPr>
      <w:r>
        <w:rPr>
          <w:rFonts w:ascii="Arial" w:cs="Arial" w:eastAsia="Arial" w:hAnsi="Arial"/>
          <w:sz w:val="22"/>
          <w:szCs w:val="22"/>
          <w:color w:val="auto"/>
        </w:rPr>
        <w:t>On November 14, 2013, PennantPark Floating Rate Capital Ltd. issued a press release announcing financial results for fourth quarter and fiscal year ended September 30, 2013.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report on Form 8-K.</w:t>
      </w:r>
    </w:p>
    <w:p>
      <w:pPr>
        <w:sectPr>
          <w:pgSz w:w="11900" w:h="16838" w:orient="portrait"/>
          <w:cols w:equalWidth="0" w:num="1">
            <w:col w:w="11200"/>
          </w:cols>
          <w:pgMar w:left="320" w:top="828" w:right="379" w:bottom="0" w:gutter="0" w:footer="0" w:header="0"/>
        </w:sectPr>
      </w:pPr>
    </w:p>
    <w:bookmarkStart w:id="1" w:name="page2"/>
    <w:bookmarkEnd w:id="1"/>
    <w:p>
      <w:pPr>
        <w:ind w:right="10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November 14,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14, 2013</w:t>
            </w:r>
          </w:p>
        </w:tc>
        <w:tc>
          <w:tcPr>
            <w:tcW w:w="6640" w:type="dxa"/>
            <w:vAlign w:val="bottom"/>
            <w:gridSpan w:val="3"/>
          </w:tcPr>
          <w:p>
            <w:pPr>
              <w:ind w:left="16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80" w:type="dxa"/>
            <w:vAlign w:val="bottom"/>
          </w:tcPr>
          <w:p>
            <w:pPr>
              <w:spacing w:after="0"/>
              <w:rPr>
                <w:sz w:val="24"/>
                <w:szCs w:val="24"/>
                <w:color w:val="auto"/>
              </w:rPr>
            </w:pPr>
          </w:p>
        </w:tc>
        <w:tc>
          <w:tcPr>
            <w:tcW w:w="664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64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64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November 14,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ind w:right="480"/>
        <w:spacing w:after="0" w:line="257" w:lineRule="auto"/>
        <w:rPr>
          <w:sz w:val="20"/>
          <w:szCs w:val="20"/>
          <w:color w:val="auto"/>
        </w:rPr>
      </w:pPr>
      <w:r>
        <w:rPr>
          <w:rFonts w:ascii="Arial" w:cs="Arial" w:eastAsia="Arial" w:hAnsi="Arial"/>
          <w:sz w:val="22"/>
          <w:szCs w:val="22"/>
          <w:b w:val="1"/>
          <w:bCs w:val="1"/>
          <w:color w:val="auto"/>
        </w:rPr>
        <w:t>PennantPark Floating Rate Capital Ltd. Announces Financial Results for the Fourth Quarter and Fiscal Year Ended September 30, 2013</w:t>
      </w:r>
    </w:p>
    <w:p>
      <w:pPr>
        <w:spacing w:after="0" w:line="167" w:lineRule="exact"/>
        <w:rPr>
          <w:sz w:val="20"/>
          <w:szCs w:val="20"/>
          <w:color w:val="auto"/>
        </w:rPr>
      </w:pPr>
    </w:p>
    <w:p>
      <w:pPr>
        <w:ind w:right="960"/>
        <w:spacing w:after="0" w:line="274" w:lineRule="auto"/>
        <w:rPr>
          <w:sz w:val="20"/>
          <w:szCs w:val="20"/>
          <w:color w:val="auto"/>
        </w:rPr>
      </w:pPr>
      <w:r>
        <w:rPr>
          <w:rFonts w:ascii="Arial" w:cs="Arial" w:eastAsia="Arial" w:hAnsi="Arial"/>
          <w:sz w:val="21"/>
          <w:szCs w:val="21"/>
          <w:color w:val="auto"/>
        </w:rPr>
        <w:t>NEW YORK, NY -- (Marketwired - November 14, 2013) - PennantPark Floating Rate Capital Ltd. (NASDAQ: PFLT) announced today financial results for its fourth quarter and fiscal year ended September 30, 2013.</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September 30, 2013</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317.8</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210.1</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14.10</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(cost $99.6)</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99.6</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8.1%</w:t>
            </w:r>
          </w:p>
        </w:tc>
      </w:tr>
      <w:tr>
        <w:trPr>
          <w:trHeight w:val="405"/>
        </w:trPr>
        <w:tc>
          <w:tcPr>
            <w:tcW w:w="5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Year</w:t>
            </w:r>
          </w:p>
        </w:tc>
        <w:tc>
          <w:tcPr>
            <w:tcW w:w="20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Quarter</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Results:</w:t>
            </w:r>
          </w:p>
        </w:tc>
        <w:tc>
          <w:tcPr>
            <w:tcW w:w="3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Ended</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58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0.25</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gain incentive fee accrued but not paid per</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amendment costs per 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0.26</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118.2</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75</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r>
      <w:tr>
        <w:trPr>
          <w:trHeight w:val="202"/>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c>
          <w:tcPr>
            <w:tcW w:w="2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2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bl>
    <w:p>
      <w:pPr>
        <w:spacing w:after="0" w:line="399" w:lineRule="exact"/>
        <w:rPr>
          <w:sz w:val="20"/>
          <w:szCs w:val="20"/>
          <w:color w:val="auto"/>
        </w:rPr>
      </w:pPr>
    </w:p>
    <w:p>
      <w:pPr>
        <w:ind w:right="20" w:firstLine="8"/>
        <w:spacing w:after="0" w:line="235"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Core net investment income is a non-GAAP financial measure. The Company believes that core net investment income provides useful information to investors and management because it reflects the Company's financial performance excluding both the charges related to incentive fee on net unrealized gains accrued under GAAP but not payable unless such net unrealized gains are realized and the costs associated with amending our senior secured revolving credit facility, or the Credit Facility. The presentation of this additional information is not meant to be considered in isolation or as a substitute for financial results prepared in accordance with GAAP.</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NOVEMBER 15, 2013</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PennantPark Floating Rate Capital Ltd. ("we," "our," "us" or "Company") will host a conference call at 10:00 a.m. (Eastern Time) on Friday, November 15, 2013 to discuss its financial results. All interested parties are welcome to participate. You can access the conference call by dialing (888) 455-2263 approximately 5-10 minutes prior to the call. International callers should dial (719)</w:t>
      </w:r>
    </w:p>
    <w:p>
      <w:pPr>
        <w:spacing w:after="0" w:line="1" w:lineRule="exact"/>
        <w:rPr>
          <w:sz w:val="20"/>
          <w:szCs w:val="20"/>
          <w:color w:val="auto"/>
        </w:rPr>
      </w:pPr>
    </w:p>
    <w:p>
      <w:pPr>
        <w:jc w:val="both"/>
        <w:ind w:right="280"/>
        <w:spacing w:after="0" w:line="234" w:lineRule="auto"/>
        <w:rPr>
          <w:sz w:val="20"/>
          <w:szCs w:val="20"/>
          <w:color w:val="auto"/>
        </w:rPr>
      </w:pPr>
      <w:r>
        <w:rPr>
          <w:rFonts w:ascii="Arial" w:cs="Arial" w:eastAsia="Arial" w:hAnsi="Arial"/>
          <w:sz w:val="22"/>
          <w:szCs w:val="22"/>
          <w:color w:val="auto"/>
        </w:rPr>
        <w:t>325-2402. All callers should reference PennantPark Floating Rate Capital Ltd. An archived replay of the call will be available through November 29, 2013 by calling (888) 203-1112. International callers please dial (719) 457-0820. For all phone replays, please reference conference ID #3925892.</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As of September 30, 2013, our portfolio totaled $317.8 million and consisted of $281.0 million of senior secured loans, $27.5 million of second lien secured debt and $9.3 million of subordinated debt, preferred and common equity investments. Our debt portfolio consisted of 92% variable-rate investments (including 89% with a London Interbank Offered Rate, or LIBOR, or prime floor) and 8% fixed-rate investments. Overall, the portfolio had unrealized depreciation of $1.5 million. Our overall portfolio consisted of 83 companies with an average investment size of $3.8 million, had a weighted average yield on debt investments of 8.1%, and was invested 88% in senior secured loans, 9% in second lien secured debt and 3% in subordinated debt, preferred and common equity investments.</w:t>
      </w:r>
    </w:p>
    <w:p>
      <w:pPr>
        <w:spacing w:after="0" w:line="184"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had a weighted average yield on debt investments of 8.6%, and was invested 87% in senior secured loans, 7% in second lien secured debt and 6% in subordinated debt, preferred and common equity investments.</w:t>
      </w:r>
    </w:p>
    <w:p>
      <w:pPr>
        <w:sectPr>
          <w:pgSz w:w="11900" w:h="16838" w:orient="portrait"/>
          <w:cols w:equalWidth="0" w:num="1">
            <w:col w:w="11240"/>
          </w:cols>
          <w:pgMar w:left="320" w:top="111" w:right="339" w:bottom="146" w:gutter="0" w:footer="0" w:header="0"/>
        </w:sectPr>
      </w:pPr>
    </w:p>
    <w:bookmarkStart w:id="3" w:name="page4"/>
    <w:bookmarkEnd w:id="3"/>
    <w:p>
      <w:pPr>
        <w:spacing w:after="0" w:line="115" w:lineRule="exact"/>
        <w:rPr>
          <w:sz w:val="20"/>
          <w:szCs w:val="20"/>
          <w:color w:val="auto"/>
        </w:rPr>
      </w:pPr>
    </w:p>
    <w:p>
      <w:pPr>
        <w:ind w:right="300"/>
        <w:spacing w:after="0" w:line="249" w:lineRule="auto"/>
        <w:rPr>
          <w:sz w:val="20"/>
          <w:szCs w:val="20"/>
          <w:color w:val="auto"/>
        </w:rPr>
      </w:pPr>
      <w:r>
        <w:rPr>
          <w:rFonts w:ascii="Arial" w:cs="Arial" w:eastAsia="Arial" w:hAnsi="Arial"/>
          <w:sz w:val="21"/>
          <w:szCs w:val="21"/>
          <w:color w:val="auto"/>
        </w:rPr>
        <w:t>For the three months ended September 30, 2013, we invested $118.2 million in 21 new and eight existing portfolio companies with a weighted average yield on debt investments of 7.8%. Sales and repayments of investments totaled $54.3 million for the same period. This compares to the three months ended September 30, 2012, in which we invested $28.8 million in 11 new and three existing portfolio companies with a weighted average yield on debt investments of 8.4%. Sales and repayment of investments totaled $14.5 million for the same period.</w:t>
      </w:r>
    </w:p>
    <w:p>
      <w:pPr>
        <w:spacing w:after="0" w:line="179"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For the fiscal year ended September 30, 2013, we invested $316.5 million in 75 new and 19 existing portfolio companies with a weighted average yield on debt investments of 7.9%. Sales and repayments of investments totaled $174.9 million for the same period. This compares to the fiscal year ended September 30, 2012, in which we invested $128.7 million in 47 new and seven existing portfolio companies with a weighted average yield on debt investments of 8.9%. Sales and repayments of investments totaled $71.3 million for the same period.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Set forth below are the results of operations for the three months and fiscal years ended September 30, 2013 and 2012.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Investment income for the three months ended September 30, 2013 and 2012 was $6.1 million and $3.5 million, respectively, and was attributable to $5.2 million and $2.9 million from senior secured loans, $0.6 million and $0.2 million from second lien secured debt investments and $0.3 million and $0.4 million from subordinated debt investments, respectively.</w:t>
      </w:r>
    </w:p>
    <w:p>
      <w:pPr>
        <w:spacing w:after="0" w:line="134" w:lineRule="exact"/>
        <w:rPr>
          <w:sz w:val="20"/>
          <w:szCs w:val="20"/>
          <w:color w:val="auto"/>
        </w:rPr>
      </w:pPr>
    </w:p>
    <w:p>
      <w:pPr>
        <w:jc w:val="both"/>
        <w:ind w:right="80"/>
        <w:spacing w:after="0" w:line="236" w:lineRule="auto"/>
        <w:rPr>
          <w:sz w:val="20"/>
          <w:szCs w:val="20"/>
          <w:color w:val="auto"/>
        </w:rPr>
      </w:pPr>
      <w:r>
        <w:rPr>
          <w:rFonts w:ascii="Arial" w:cs="Arial" w:eastAsia="Arial" w:hAnsi="Arial"/>
          <w:sz w:val="22"/>
          <w:szCs w:val="22"/>
          <w:color w:val="auto"/>
        </w:rPr>
        <w:t>Investment income for the years ended September 30, 2013 and 2012 was $18.9 million and $12.1 million, respectively, and was attributable to $16.0 million and $9.9 million from senior secured loans, $1.6 million and $1.0 million from second lien secured debt investments and $1.3 million and $1.2 million from subordinated debt investments, respectively. The increase in investment income over the prior year is primarily the result of deploying our proceeds from our equity offerings and increased borrowings under our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Expenses for the three months ended September 30, 2013 and 2012 totaled $2.5 million and $1.9 million, respectively. Base management fee for the same periods totaled $0.7 million and $0.4 million, incentive fee totaled $0.9 million and $0.5 million, Credit Facility expenses totaled $0.4 million and $0.5 million, general and administrative expenses totaled $0.4 million and $0.5 million and excise taxes were less than $0.1 million, respectively.</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Expenses for the years ended September 30, 2013 and 2012 totaled $8.3 million and $5.8 million, respectively. Base management fee for the same periods totaled $2.2 million and $1.5 million, incentive fee totaled $1.9 million and $0.6 million, Credit Facility expenses totaled $2.3 million and $1.8 million (including $0.4 million and $0.3 million, respectively, of Credit Facility amendment expenses), general and administrative expenses totaled $1.8 million and $1.9 million and excise taxes were $0.1 million, respectively. The increase in management fee, incentive fee and Credit Facility expenses was due to the growth of our portfolio and expanding our borrowing capacity under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Net investment income totaled $3.6 million and $1.5 million, or $0.25 and $0.23 per share, for the three months ended September 30, 2013 and 2012, respectively. Core net investment income, a non-GAAP financial measure, totaled $4.0 million and $1.8 million, or $0.28 and $0.27 per share, for the three months ended September 30, 2013 and 2012, respectively.</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Net investment income totaled $10.5 million and $6.3 million, or $1.10 and $0.92 per share, for the years ended September 30, 2013 and 2012, respectively. Core net investment income, a non-GAAP financial measure, totaled $11.3 million and $6.6 million, or $1.18 and $0.96 per share, for the same periods. The increase in net investment income was due to a larger portfolio and weighted average yield decreasing year over year offset by higher Credit Facility expenses and management and incentive fees.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Sales and repayments of investments for the three months ended September 30, 2013 and 2012 totaled $54.3 million and $14.5 million, respectively. Net realized gains totaled $0.4 million and $0.3 million for the same periods, respectively.</w:t>
      </w:r>
    </w:p>
    <w:p>
      <w:pPr>
        <w:spacing w:after="0" w:line="105"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Sales and repayments of investments for the years ended September 30, 2013 and 2012 totaled $174.9 million and $71.3 million, respectively. Net realized gains totaled $3.6 million and $0.9 million, respectively. The increase in realized gains was driven by a higher volume of sales from shorter-term investment opportunities and early repayments of our investments.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For the three months ended September 30, 2013 and 2012, we reported unrealized appreciation on investments of $1.5 million and $2.0 million, respectively. Net change in unrealized appreciation on our Credit Facility totaled zero and $0.1 million, respectively, for the same periods.</w:t>
      </w:r>
    </w:p>
    <w:p>
      <w:pPr>
        <w:spacing w:after="0" w:line="186"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For the years ended September 30, 2013 and 2012, we reported unrealized (depreciation) appreciation on investments of $(1.7) million and $4.4 million, respectively. As of September 30, 2013 and 2012, net unrealized (depreciation) appreciation on</w:t>
      </w:r>
    </w:p>
    <w:p>
      <w:pPr>
        <w:sectPr>
          <w:pgSz w:w="11900" w:h="16954" w:orient="portrait"/>
          <w:cols w:equalWidth="0" w:num="1">
            <w:col w:w="11220"/>
          </w:cols>
          <w:pgMar w:left="320" w:top="118" w:right="359" w:bottom="0" w:gutter="0" w:footer="0" w:header="0"/>
        </w:sectPr>
      </w:pPr>
    </w:p>
    <w:bookmarkStart w:id="4" w:name="page5"/>
    <w:bookmarkEnd w:id="4"/>
    <w:p>
      <w:pPr>
        <w:ind w:right="160"/>
        <w:spacing w:after="0"/>
        <w:rPr>
          <w:sz w:val="20"/>
          <w:szCs w:val="20"/>
          <w:color w:val="auto"/>
        </w:rPr>
      </w:pPr>
      <w:r>
        <w:rPr>
          <w:rFonts w:ascii="Arial" w:cs="Arial" w:eastAsia="Arial" w:hAnsi="Arial"/>
          <w:sz w:val="22"/>
          <w:szCs w:val="22"/>
          <w:color w:val="auto"/>
        </w:rPr>
        <w:t>investments totaled $(1.5) million and $0.3 million, respectively. The decrease in unrealized appreciation for current periods compared to prior periods was the result of the reversal of unrealized gains upon exiting our investments and changes in market values.</w:t>
      </w:r>
    </w:p>
    <w:p>
      <w:pPr>
        <w:spacing w:after="0" w:line="187"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For the years ended September 30, 2013 and 2012, our long-term Credit Facility had a change in unrealized (appreciation) depreciation of $(0.4) million and $0.4 million, respectively. As of September 30, 2013 and 2012, net unrealized depreciation on our long-term Credit Facility totaled zero and $0.4 million, respectively. The change in unrealized appreciation for current periods compared to prior periods was the result of changes in the leveraged credit markets.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Net change in net assets resulting from operations totaled $5.4 million and $3.9 million, or $0.39 and $0.58 per share, for the three months ended September 30, 2013 and 2012, respectively.</w:t>
      </w:r>
    </w:p>
    <w:p>
      <w:pPr>
        <w:spacing w:after="0" w:line="175"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Net change in net assets resulting from operations totaled $12.0 million and $12.0 million, or $1.25 and $1.75 per share, for the fiscal years ended September 30, 2013 and 2012, respectively. We continue to find both long-term and short-term investment opportunities to grow net assets from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In March 2013, we completed a follow-on public offering of 3,450,000 shares of common stock at a public offering price of $14.00 per share for gross proceeds of $48.3 million and net proceeds of $47.9 million after offering expenses. Our Investment Adviser paid the entire sales load of $1.4 million in connection with this offering. In July 2013, we completed a follow-on public offering of 4,588,700 shares of common stock at a public offering price of $14.20 per share for gross proceeds of $65.1 million and net proceeds of $64.4 million after offering expenses. Our Investment Adviser paid a portion of the sales load, which totaled $1.5 million, in connection with this offering.</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As of September 30, 2013, PennantPark Floating Rate Funding I, LLC's, or Funding I, Credit Facility with SunTrust Bank, or the Lender, was $125 million, subject to satisfaction of certain conditions and the regulatory restrictions that the Investment Company Act of 1940 imposes on us as a business development company, had an interest rate spread above LIBOR of 200 basis points, a maturity date of May 2018 and a revolving period that ends in May 2016. As of September 30, 2013 and September 30, 2012, Funding I had $99.6 million and $75.5 million of outstanding borrowings under the Credit Facility, respectively, and carried an interest rate of 2.18% and 2.47%, respectively, excluding the 0.375% undrawn commitment fee.</w:t>
      </w:r>
    </w:p>
    <w:p>
      <w:pPr>
        <w:spacing w:after="0" w:line="150"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Our operating activities used cash of $124.4 million for the year ended September 30, 2013, and our financing activities provided cash of $125.1 million for the same period. Our operating activities used cash primarily for our investment activities and our financing activities provided cash primarily from public offerings and net draws under the Credit Facility.</w:t>
      </w:r>
    </w:p>
    <w:p>
      <w:pPr>
        <w:spacing w:after="0" w:line="134"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Our operating activities used cash of $47.8 million for the year ended September 30, 2012, and our financing activities provided cash of $44.7 million for the same period. Our operating activities used cash primarily for net investing that was provided from net draws under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During the three months ended September 30, 2013 and 2012, we declared distributions of $0.26 and $0.24 per share, respectively, for total distributions of $3.9 million and $1.6 million, respectively. During the years ended September 30, 2013 and 2012, we declared distributions of $1.03 and $0.91 per share, respectively, for total distributions of $10.0 million and $6.2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The Company, through Funding I, increased the size of its revolving Credit Facility from $125 million to $200 million. All other terms remained unchanged.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makes available on its website its report on Form 10-K filed with the SEC and stockholders may find the report on its website at www.pennantpark.com.</w:t>
      </w:r>
    </w:p>
    <w:p>
      <w:pPr>
        <w:sectPr>
          <w:pgSz w:w="11900" w:h="16838" w:orient="portrait"/>
          <w:cols w:equalWidth="0" w:num="1">
            <w:col w:w="11200"/>
          </w:cols>
          <w:pgMar w:left="320" w:top="118" w:right="379" w:bottom="22" w:gutter="0" w:footer="0" w:header="0"/>
        </w:sectPr>
      </w:pPr>
    </w:p>
    <w:bookmarkStart w:id="5" w:name="page6"/>
    <w:bookmarkEnd w:id="5"/>
    <w:p>
      <w:pPr>
        <w:jc w:val="center"/>
        <w:ind w:right="2219"/>
        <w:spacing w:after="0"/>
        <w:rPr>
          <w:sz w:val="20"/>
          <w:szCs w:val="20"/>
          <w:color w:val="auto"/>
        </w:rPr>
      </w:pPr>
      <w:r>
        <w:rPr>
          <w:rFonts w:ascii="Courier New" w:cs="Courier New" w:eastAsia="Courier New" w:hAnsi="Courier New"/>
          <w:sz w:val="18"/>
          <w:szCs w:val="18"/>
          <w:color w:val="auto"/>
        </w:rPr>
        <w:t>PENNANTPARK FLOATING RATE CAPITAL LTD. AND SUBSIDIARY</w:t>
      </w:r>
    </w:p>
    <w:p>
      <w:pPr>
        <w:jc w:val="center"/>
        <w:ind w:right="2219"/>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September 30,</w:t>
            </w:r>
          </w:p>
        </w:tc>
        <w:tc>
          <w:tcPr>
            <w:tcW w:w="1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2013</w:t>
            </w:r>
          </w:p>
        </w:tc>
        <w:tc>
          <w:tcPr>
            <w:tcW w:w="2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2"/>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at fair value (cost -</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$319,283,468 and $171,578,009,</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317,803,894</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171,834,400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4,578,249</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3,845,803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2,140,802</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1,388,867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3,659,185</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986,278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619,737</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311,313</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328,801,867</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178,366,661</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1,303,580</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548,053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14,021,588</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3,357,500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934,555</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 - $99,600,000</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$75,500,000, respectively)</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99,600,000</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75,122,500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189,934</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161,550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731,635</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424,747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1,164,090</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506,314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790,091</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447,120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sales load charges</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2,055,000</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118,735,473</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82,622,784</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14,898,056 and 6,850,667</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Par value $0.001 per share and 100,000,000</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14,898</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6,851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207,481,368</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95,192,222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(Distributions in excess of)</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474,766</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(1,313,000)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Accumulated net realized gain on investments</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3,574,936</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1,223,913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appreciation</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investments</w:t>
            </w:r>
          </w:p>
        </w:tc>
        <w:tc>
          <w:tcPr>
            <w:tcW w:w="2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(1,479,574)</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256,391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Credit</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377,500</w:t>
            </w:r>
          </w:p>
        </w:tc>
      </w:tr>
      <w:tr>
        <w:trPr>
          <w:trHeight w:val="202"/>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net assets</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210,066,394</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95,743,877</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328,801,867</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178,366,661</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14.10</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13.98</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810"/>
        </w:trPr>
        <w:tc>
          <w:tcPr>
            <w:tcW w:w="8020" w:type="dxa"/>
            <w:vAlign w:val="bottom"/>
            <w:gridSpan w:val="5"/>
          </w:tcPr>
          <w:p>
            <w:pPr>
              <w:ind w:left="1280"/>
              <w:spacing w:after="0"/>
              <w:rPr>
                <w:sz w:val="20"/>
                <w:szCs w:val="20"/>
                <w:color w:val="auto"/>
              </w:rPr>
            </w:pPr>
            <w:r>
              <w:rPr>
                <w:rFonts w:ascii="Courier New" w:cs="Courier New" w:eastAsia="Courier New" w:hAnsi="Courier New"/>
                <w:sz w:val="18"/>
                <w:szCs w:val="18"/>
                <w:color w:val="auto"/>
              </w:rPr>
              <w:t>PENNANTPARK FLOATING RATE CAPITAL LTD. AND SUBSIDIARY</w:t>
            </w:r>
          </w:p>
        </w:tc>
      </w:tr>
      <w:tr>
        <w:trPr>
          <w:trHeight w:val="203"/>
        </w:trPr>
        <w:tc>
          <w:tcPr>
            <w:tcW w:w="6380" w:type="dxa"/>
            <w:vAlign w:val="bottom"/>
            <w:gridSpan w:val="3"/>
          </w:tcPr>
          <w:p>
            <w:pPr>
              <w:ind w:left="2120"/>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Year Ended</w:t>
            </w:r>
          </w:p>
        </w:tc>
        <w:tc>
          <w:tcPr>
            <w:tcW w:w="26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Year Ended</w:t>
            </w:r>
          </w:p>
        </w:tc>
      </w:t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September 30,</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September 30,</w:t>
            </w:r>
          </w:p>
        </w:tc>
      </w:t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2013</w:t>
            </w:r>
          </w:p>
        </w:tc>
        <w:tc>
          <w:tcPr>
            <w:tcW w:w="2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2"/>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17,635,914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11,856,483</w:t>
            </w:r>
          </w:p>
        </w:tc>
      </w:tr>
      <w:tr>
        <w:trPr>
          <w:trHeight w:val="202"/>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income</w:t>
            </w:r>
          </w:p>
        </w:tc>
        <w:tc>
          <w:tcPr>
            <w:tcW w:w="2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1,231,654</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242,065</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2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18,867,568</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12,098,548</w:t>
            </w:r>
          </w:p>
        </w:tc>
      </w:tr>
      <w:tr>
        <w:trPr>
          <w:trHeight w:val="202"/>
        </w:trPr>
        <w:tc>
          <w:tcPr>
            <w:tcW w:w="47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2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2,196,038</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1,494,616</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2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1,891,302</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564,540</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and expenses on the Credit</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2"/>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Facility</w:t>
            </w:r>
          </w:p>
        </w:tc>
        <w:tc>
          <w:tcPr>
            <w:tcW w:w="2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1,853,958</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1,482,339</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2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864,561</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583,613</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Other general and administrative expenses</w:t>
            </w:r>
          </w:p>
        </w:tc>
        <w:tc>
          <w:tcPr>
            <w:tcW w:w="2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988,541</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1,310,084</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139"/>
          </w:cols>
          <w:pgMar w:left="320" w:top="339"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Expenses before excise tax expense and</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amendment costs</w:t>
            </w:r>
          </w:p>
        </w:tc>
        <w:tc>
          <w:tcPr>
            <w:tcW w:w="54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7,794,400</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5,435,192</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Excise tax</w:t>
            </w:r>
          </w:p>
        </w:tc>
        <w:tc>
          <w:tcPr>
            <w:tcW w:w="54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122,897</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42,027</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Credit Facility issuance and amendment</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costs</w:t>
            </w:r>
          </w:p>
        </w:tc>
        <w:tc>
          <w:tcPr>
            <w:tcW w:w="54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426,924</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311,648</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expenses</w:t>
            </w:r>
          </w:p>
        </w:tc>
        <w:tc>
          <w:tcPr>
            <w:tcW w:w="54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8,344,221</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5,788,867</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54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10,523,347</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6,309,681</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gain (loss) on</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 non-controlled, non-</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54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3,574,936</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911,925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(depreciation)</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 on:</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investments</w:t>
            </w:r>
          </w:p>
        </w:tc>
        <w:tc>
          <w:tcPr>
            <w:tcW w:w="5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(1,735,965)</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4,361,772</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Credit Facility (appreciation)</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w:t>
            </w:r>
          </w:p>
        </w:tc>
        <w:tc>
          <w:tcPr>
            <w:tcW w:w="5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(377,500)</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377,500</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change in unrealized (depreciation)</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appreciation on investments and Credit</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Facility</w:t>
            </w:r>
          </w:p>
        </w:tc>
        <w:tc>
          <w:tcPr>
            <w:tcW w:w="5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(2,113,465)</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4,739,272</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realized and unrealized gain (loss) from</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54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1,461,471</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5,651,197</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net assets</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w:t>
            </w:r>
          </w:p>
        </w:tc>
        <w:tc>
          <w:tcPr>
            <w:tcW w:w="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11,984,818</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11,960,878</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net assets</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 per basic and</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 common share</w:t>
            </w:r>
          </w:p>
        </w:tc>
        <w:tc>
          <w:tcPr>
            <w:tcW w:w="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0.92</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jc w:val="both"/>
        <w:ind w:right="100"/>
        <w:spacing w:after="0" w:line="26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3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2020-05-05T12:04:42Z</dcterms:created>
  <dcterms:modified xsi:type="dcterms:W3CDTF">2020-05-05T12:04:42Z</dcterms:modified>
</cp:coreProperties>
</file>