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November 6,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November 6, 2018,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November 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November 6, 2018</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Nov. 06, 2018 (GLOBE NEWSWIRE) -- PennantPark Floating Rate Capital Ltd. (the "Company") (NASDAQ: PFLT) (TASE: PFLT) declares its monthly distributions for November 2018 of $0.095 per share, payable on December 3, 2018 to stockholders of record as of November 20,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Percentage</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Amount</w:t>
            </w:r>
          </w:p>
        </w:tc>
        <w:tc>
          <w:tcPr>
            <w:tcW w:w="640" w:type="dxa"/>
            <w:vAlign w:val="bottom"/>
            <w:tcBorders>
              <w:top w:val="single" w:sz="8" w:color="auto"/>
              <w:bottom w:val="single" w:sz="8" w:color="auto"/>
            </w:tcBorders>
          </w:tcPr>
          <w:p>
            <w:pPr>
              <w:spacing w:after="0"/>
              <w:rPr>
                <w:sz w:val="24"/>
                <w:szCs w:val="24"/>
                <w:color w:val="auto"/>
              </w:rPr>
            </w:pPr>
          </w:p>
        </w:tc>
        <w:tc>
          <w:tcPr>
            <w:tcW w:w="8320" w:type="dxa"/>
            <w:vAlign w:val="bottom"/>
            <w:tcBorders>
              <w:top w:val="single" w:sz="8" w:color="auto"/>
              <w:bottom w:val="single" w:sz="8" w:color="auto"/>
              <w:right w:val="single" w:sz="8" w:color="auto"/>
            </w:tcBorders>
            <w:gridSpan w:val="4"/>
          </w:tcPr>
          <w:p>
            <w:pPr>
              <w:ind w:left="3320"/>
              <w:spacing w:after="0"/>
              <w:rPr>
                <w:sz w:val="20"/>
                <w:szCs w:val="20"/>
                <w:color w:val="auto"/>
              </w:rPr>
            </w:pPr>
            <w:r>
              <w:rPr>
                <w:rFonts w:ascii="Arial" w:cs="Arial" w:eastAsia="Arial" w:hAnsi="Arial"/>
                <w:sz w:val="22"/>
                <w:szCs w:val="22"/>
                <w:color w:val="auto"/>
              </w:rPr>
              <w:t>Description</w:t>
            </w:r>
          </w:p>
        </w:tc>
        <w:tc>
          <w:tcPr>
            <w:tcW w:w="0" w:type="dxa"/>
            <w:vAlign w:val="bottom"/>
          </w:tcPr>
          <w:p>
            <w:pPr>
              <w:spacing w:after="0"/>
              <w:rPr>
                <w:sz w:val="1"/>
                <w:szCs w:val="1"/>
                <w:color w:val="auto"/>
              </w:rPr>
            </w:pPr>
          </w:p>
        </w:tc>
      </w:tr>
      <w:tr>
        <w:trPr>
          <w:trHeight w:val="209"/>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18%</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$0.017</w:t>
            </w:r>
          </w:p>
        </w:tc>
        <w:tc>
          <w:tcPr>
            <w:tcW w:w="896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auto"/>
                <w:w w:val="96"/>
              </w:rPr>
              <w:t>Distribution has been identified by the Company as being derived from other sources and is not</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right w:val="single" w:sz="8" w:color="auto"/>
            </w:tcBorders>
            <w:vMerge w:val="continue"/>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8660" w:type="dxa"/>
            <w:vAlign w:val="bottom"/>
            <w:gridSpan w:val="4"/>
          </w:tcPr>
          <w:p>
            <w:pPr>
              <w:spacing w:after="0" w:line="223" w:lineRule="exact"/>
              <w:rPr>
                <w:sz w:val="20"/>
                <w:szCs w:val="20"/>
                <w:color w:val="auto"/>
              </w:rPr>
            </w:pPr>
            <w:r>
              <w:rPr>
                <w:rFonts w:ascii="Arial" w:cs="Arial" w:eastAsia="Arial" w:hAnsi="Arial"/>
                <w:sz w:val="22"/>
                <w:szCs w:val="22"/>
                <w:color w:val="auto"/>
              </w:rPr>
              <w:t>exempt from U.S. Nonresident withholding tax.</w:t>
            </w:r>
          </w:p>
        </w:tc>
        <w:tc>
          <w:tcPr>
            <w:tcW w:w="3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86"/>
              </w:rPr>
              <w:t>82%</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$0.078</w:t>
            </w:r>
          </w:p>
        </w:tc>
        <w:tc>
          <w:tcPr>
            <w:tcW w:w="8960" w:type="dxa"/>
            <w:vAlign w:val="bottom"/>
            <w:tcBorders>
              <w:right w:val="single" w:sz="8" w:color="auto"/>
            </w:tcBorders>
            <w:gridSpan w:val="5"/>
          </w:tcPr>
          <w:p>
            <w:pPr>
              <w:spacing w:after="0" w:line="209" w:lineRule="exact"/>
              <w:rPr>
                <w:sz w:val="20"/>
                <w:szCs w:val="20"/>
                <w:color w:val="auto"/>
              </w:rPr>
            </w:pPr>
            <w:r>
              <w:rPr>
                <w:rFonts w:ascii="Arial" w:cs="Arial" w:eastAsia="Arial" w:hAnsi="Arial"/>
                <w:sz w:val="22"/>
                <w:szCs w:val="22"/>
                <w:color w:val="auto"/>
                <w:w w:val="89"/>
              </w:rPr>
              <w:t>Distribution has been identified by the Company as an interest-related dividend generally exempt from</w:t>
            </w:r>
          </w:p>
        </w:tc>
        <w:tc>
          <w:tcPr>
            <w:tcW w:w="0" w:type="dxa"/>
            <w:vAlign w:val="bottom"/>
          </w:tcPr>
          <w:p>
            <w:pPr>
              <w:spacing w:after="0"/>
              <w:rPr>
                <w:sz w:val="1"/>
                <w:szCs w:val="1"/>
                <w:color w:val="auto"/>
              </w:rPr>
            </w:pPr>
          </w:p>
        </w:tc>
      </w:tr>
      <w:tr>
        <w:trPr>
          <w:trHeight w:val="275"/>
        </w:trPr>
        <w:tc>
          <w:tcPr>
            <w:tcW w:w="116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1120" w:type="dxa"/>
            <w:vAlign w:val="bottom"/>
            <w:tcBorders>
              <w:bottom w:val="single" w:sz="8" w:color="auto"/>
              <w:right w:val="single" w:sz="8" w:color="auto"/>
            </w:tcBorders>
            <w:vMerge w:val="continue"/>
          </w:tcPr>
          <w:p>
            <w:pPr>
              <w:spacing w:after="0"/>
              <w:rPr>
                <w:sz w:val="23"/>
                <w:szCs w:val="23"/>
                <w:color w:val="auto"/>
              </w:rPr>
            </w:pPr>
          </w:p>
        </w:tc>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U.S. Nonresident withholding tax.</w:t>
            </w:r>
          </w:p>
        </w:tc>
        <w:tc>
          <w:tcPr>
            <w:tcW w:w="620" w:type="dxa"/>
            <w:vAlign w:val="bottom"/>
            <w:tcBorders>
              <w:top w:val="single" w:sz="8" w:color="auto"/>
              <w:bottom w:val="single" w:sz="8" w:color="auto"/>
            </w:tcBorders>
          </w:tcPr>
          <w:p>
            <w:pPr>
              <w:spacing w:after="0"/>
              <w:rPr>
                <w:sz w:val="23"/>
                <w:szCs w:val="23"/>
                <w:color w:val="auto"/>
              </w:rPr>
            </w:pPr>
          </w:p>
        </w:tc>
        <w:tc>
          <w:tcPr>
            <w:tcW w:w="52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"We are pleased that we have been able to deliver a steady and stable dividend over a long period of time," said Arthur H. Penn, Chairman and Chief Executive Officer.</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2020-05-05T12:06:28Z</dcterms:created>
  <dcterms:modified xsi:type="dcterms:W3CDTF">2020-05-05T12:06:28Z</dcterms:modified>
</cp:coreProperties>
</file>