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100125.htm"/>
      <w:bookmarkStart w:id="1" w:name="ksf8k_100125"/>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October 3, 2025</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0"/>
        <w:ind w:left="0" w:right="0" w:hanging="0"/>
        <w:jc w:val="left"/>
        <w:rPr/>
      </w:pPr>
      <w:r>
        <w:rPr/>
        <w:t> </w:t>
      </w:r>
    </w:p>
    <w:p>
      <w:pPr>
        <w:pStyle w:val="TextBody"/>
        <w:bidi w:val="0"/>
        <w:spacing w:before="0" w:after="0"/>
        <w:jc w:val="left"/>
        <w:rPr>
          <w:sz w:val="20"/>
        </w:rPr>
      </w:pPr>
      <w:r>
        <w:rPr>
          <w:sz w:val="20"/>
        </w:rPr>
        <w:t>On October 3, 2025, PennantPark Floating Rate Capital Ltd. issued a press release announcing its scheduled earnings release for the fourth fiscal quarter ended September 30, 2025. A copy of the press release is furnished as Exhibit 99.1 to this report, pursuant to Item 7.01 and Regulation FD.</w:t>
      </w:r>
    </w:p>
    <w:p>
      <w:pPr>
        <w:pStyle w:val="TextBody"/>
        <w:bidi w:val="0"/>
        <w:spacing w:before="0" w:after="0"/>
        <w:jc w:val="left"/>
        <w:rPr/>
      </w:pPr>
      <w:r>
        <w:rPr/>
        <w:t> </w:t>
      </w:r>
    </w:p>
    <w:p>
      <w:pPr>
        <w:pStyle w:val="TextBody"/>
        <w:bidi w:val="0"/>
        <w:spacing w:before="0" w:after="0"/>
        <w:jc w:val="left"/>
        <w:rPr>
          <w:sz w:val="20"/>
        </w:rPr>
      </w:pPr>
      <w:r>
        <w:rPr>
          <w:sz w:val="20"/>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sz w:val="20"/>
        </w:rPr>
      </w:pPr>
      <w:r>
        <w:rPr>
          <w:sz w:val="20"/>
        </w:rPr>
        <w:t>Forward-Looking Statements</w:t>
      </w:r>
    </w:p>
    <w:p>
      <w:pPr>
        <w:pStyle w:val="TextBody"/>
        <w:bidi w:val="0"/>
        <w:spacing w:before="0" w:after="0"/>
        <w:jc w:val="left"/>
        <w:rPr/>
      </w:pPr>
      <w:r>
        <w:rPr/>
        <w:t> </w:t>
      </w:r>
    </w:p>
    <w:p>
      <w:pPr>
        <w:pStyle w:val="TextBody"/>
        <w:bidi w:val="0"/>
        <w:spacing w:before="0" w:after="0"/>
        <w:jc w:val="left"/>
        <w:rPr>
          <w:sz w:val="20"/>
        </w:rPr>
      </w:pPr>
      <w:r>
        <w:rPr>
          <w:sz w:val="20"/>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ind w:left="0" w:right="0" w:hanging="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pPr>
      <w:r>
        <w:rPr>
          <w:rStyle w:val="StrongEmphasis"/>
          <w:sz w:val="20"/>
        </w:rPr>
        <w:t>(a) Financial statements:</w:t>
      </w:r>
    </w:p>
    <w:p>
      <w:pPr>
        <w:pStyle w:val="TextBody"/>
        <w:bidi w:val="0"/>
        <w:spacing w:before="0" w:after="0"/>
        <w:ind w:left="400" w:right="0" w:hanging="0"/>
        <w:jc w:val="left"/>
        <w:rPr>
          <w:sz w:val="20"/>
        </w:rPr>
      </w:pPr>
      <w:r>
        <w:rPr>
          <w:sz w:val="20"/>
        </w:rPr>
        <w:t>None</w:t>
      </w:r>
    </w:p>
    <w:p>
      <w:pPr>
        <w:pStyle w:val="TextBody"/>
        <w:bidi w:val="0"/>
        <w:spacing w:before="0" w:after="0"/>
        <w:jc w:val="left"/>
        <w:rPr/>
      </w:pPr>
      <w:r>
        <w:rPr>
          <w:rStyle w:val="StrongEmphasis"/>
          <w:b/>
          <w:sz w:val="20"/>
        </w:rPr>
        <w:t>(b) Pro forma financial information:</w:t>
      </w:r>
    </w:p>
    <w:p>
      <w:pPr>
        <w:pStyle w:val="TextBody"/>
        <w:bidi w:val="0"/>
        <w:spacing w:before="0" w:after="0"/>
        <w:ind w:left="400" w:right="0" w:hanging="0"/>
        <w:jc w:val="left"/>
        <w:rPr>
          <w:sz w:val="20"/>
        </w:rPr>
      </w:pPr>
      <w:r>
        <w:rPr>
          <w:sz w:val="20"/>
        </w:rPr>
        <w:t>None</w:t>
      </w:r>
    </w:p>
    <w:p>
      <w:pPr>
        <w:pStyle w:val="TextBody"/>
        <w:bidi w:val="0"/>
        <w:spacing w:before="0" w:after="0"/>
        <w:jc w:val="left"/>
        <w:rPr/>
      </w:pPr>
      <w:r>
        <w:rPr>
          <w:rStyle w:val="StrongEmphasis"/>
          <w:b/>
          <w:sz w:val="20"/>
        </w:rPr>
        <w:t>(c) Shell company transactions:</w:t>
      </w:r>
    </w:p>
    <w:p>
      <w:pPr>
        <w:pStyle w:val="TextBody"/>
        <w:bidi w:val="0"/>
        <w:spacing w:before="0" w:after="0"/>
        <w:ind w:left="400" w:right="0" w:hanging="0"/>
        <w:jc w:val="left"/>
        <w:rPr>
          <w:sz w:val="20"/>
        </w:rPr>
      </w:pPr>
      <w:r>
        <w:rPr>
          <w:sz w:val="20"/>
        </w:rPr>
        <w:t>None</w:t>
      </w:r>
    </w:p>
    <w:p>
      <w:pPr>
        <w:pStyle w:val="TextBody"/>
        <w:bidi w:val="0"/>
        <w:spacing w:before="0" w:after="0"/>
        <w:jc w:val="left"/>
        <w:rPr/>
      </w:pPr>
      <w:r>
        <w:rPr>
          <w:rStyle w:val="StrongEmphasis"/>
          <w:b/>
          <w:sz w:val="20"/>
        </w:rPr>
        <w:t>(d) Exhibits</w:t>
      </w:r>
    </w:p>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 xml:space="preserve">Press Release of PennantPark Floating Rate Capital Ltd. dated October 3, 2025 </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199" w:type="dxa"/>
        <w:jc w:val="left"/>
        <w:tblInd w:w="0" w:type="dxa"/>
        <w:tblLayout w:type="fixed"/>
        <w:tblCellMar>
          <w:top w:w="0" w:type="dxa"/>
          <w:left w:w="0" w:type="dxa"/>
          <w:bottom w:w="0" w:type="dxa"/>
          <w:right w:w="0" w:type="dxa"/>
        </w:tblCellMar>
      </w:tblPr>
      <w:tblGrid>
        <w:gridCol w:w="1805"/>
        <w:gridCol w:w="383"/>
        <w:gridCol w:w="3011"/>
      </w:tblGrid>
      <w:tr>
        <w:trPr/>
        <w:tc>
          <w:tcPr>
            <w:tcW w:w="180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180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sz w:val="20"/>
              </w:rPr>
            </w:pPr>
            <w:r>
              <w:rPr>
                <w:sz w:val="20"/>
              </w:rPr>
              <w:t>Date: October 3, 2025</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80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180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180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EXHIBIT INDEX</w:t>
      </w:r>
    </w:p>
    <w:p>
      <w:pPr>
        <w:pStyle w:val="TextBody"/>
        <w:bidi w:val="0"/>
        <w:jc w:val="center"/>
        <w:rPr/>
      </w:pPr>
      <w:r>
        <w:rPr/>
        <w:t> </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bottom"/>
          </w:tcPr>
          <w:p>
            <w:pPr>
              <w:pStyle w:val="TableContents"/>
              <w:bidi w:val="0"/>
              <w:spacing w:before="0" w:after="283"/>
              <w:jc w:val="left"/>
              <w:rPr>
                <w:b/>
                <w:sz w:val="20"/>
                <w:u w:val="single"/>
              </w:rPr>
            </w:pPr>
            <w:r>
              <w:rPr>
                <w:b/>
                <w:sz w:val="20"/>
                <w:u w:val="single"/>
              </w:rPr>
              <w:t>Exhibit No.</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u w:val="single"/>
              </w:rPr>
            </w:pPr>
            <w:r>
              <w:rPr>
                <w:b/>
                <w:sz w:val="20"/>
                <w:u w:val="single"/>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 xml:space="preserve">Press Release of PennantPark Floating Rate Capital Ltd. dated October 3, 2025 </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Schedules Earnings Release of Fourth Fiscal Quarter 2025 Results</w:t>
      </w:r>
    </w:p>
    <w:p>
      <w:pPr>
        <w:pStyle w:val="TextBody"/>
        <w:bidi w:val="0"/>
        <w:jc w:val="both"/>
        <w:rPr/>
      </w:pPr>
      <w:r>
        <w:rPr/>
        <w:t>MIAMI, Oct. 03, 2025 (GLOBE NEWSWIRE) -- PennantPark Floating Rate Capital Ltd. (the "Company") (NYSE: PFLT) announced that it will report results for the fourth fiscal quarter ended September 30, 2025 on Monday, November 24, 2025 after the close of the financial markets.</w:t>
      </w:r>
    </w:p>
    <w:p>
      <w:pPr>
        <w:pStyle w:val="TextBody"/>
        <w:bidi w:val="0"/>
        <w:jc w:val="both"/>
        <w:rPr/>
      </w:pPr>
      <w:r>
        <w:rPr/>
        <w:t>The Company will also host a conference call at 9:00 a.m. (Eastern Time) on Tuesday, November 25, 2025 to discuss its financial results. All interested parties are welcome to participate. You can access the conference call by dialing toll-free (800) 330-6710 approximately 5-10 minutes prior to the call. International callers should dial (646) 769-9200. All callers should reference conference ID #4736718 or PennantPark Floating Rate Capital Ltd. An archived replay will also be available on a webcast link located on the Quarterly Earnings page in the Investor section of PennantPark’s website.</w:t>
      </w:r>
    </w:p>
    <w:p>
      <w:pPr>
        <w:pStyle w:val="TextBody"/>
        <w:bidi w:val="0"/>
        <w:spacing w:before="0" w:after="283"/>
        <w:jc w:val="left"/>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is a leading middle market credit platform, managing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w:t>
      </w:r>
    </w:p>
    <w:p>
      <w:pPr>
        <w:pStyle w:val="TextBody"/>
        <w:bidi w:val="0"/>
        <w:spacing w:before="0" w:after="283"/>
        <w:jc w:val="left"/>
        <w:rPr/>
      </w:pPr>
      <w:r>
        <w:rPr/>
        <w:t>FORWARD-LOOKING STATEMENTS</w:t>
      </w:r>
    </w:p>
    <w:p>
      <w:pPr>
        <w:pStyle w:val="TextBody"/>
        <w:bidi w:val="0"/>
        <w:spacing w:before="0" w:after="283"/>
        <w:jc w:val="left"/>
        <w:rPr/>
      </w:pPr>
      <w:r>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CONTACT:</w:t>
        <w:br/>
        <w:t>Richard T. Allorto, Jr.</w:t>
        <w:br/>
        <w:t>PennantPark Floating Rate Capital Ltd.</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1176</Words>
  <Characters>6738</Characters>
  <CharactersWithSpaces>7877</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