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3060"/>
        <w:spacing w:after="0"/>
        <w:rPr>
          <w:sz w:val="20"/>
          <w:szCs w:val="20"/>
          <w:color w:val="auto"/>
        </w:rPr>
      </w:pPr>
      <w:r>
        <w:rPr>
          <w:rFonts w:ascii="Arial" w:cs="Arial" w:eastAsia="Arial" w:hAnsi="Arial"/>
          <w:sz w:val="18"/>
          <w:szCs w:val="18"/>
          <w:b w:val="1"/>
          <w:bCs w:val="1"/>
          <w:color w:val="auto"/>
        </w:rPr>
        <w:t>As filed with the Securities and Exchange Commission on April 8,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0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6"/>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8"/>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(Address of Principal Executive Offices)</w:t>
            </w:r>
          </w:p>
        </w:tc>
      </w:tr>
      <w:tr>
        <w:trPr>
          <w:trHeight w:val="244"/>
        </w:trPr>
        <w:tc>
          <w:tcPr>
            <w:tcW w:w="2020" w:type="dxa"/>
            <w:vAlign w:val="bottom"/>
          </w:tcPr>
          <w:p>
            <w:pPr>
              <w:spacing w:after="0"/>
              <w:rPr>
                <w:sz w:val="21"/>
                <w:szCs w:val="21"/>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21"/>
                <w:szCs w:val="21"/>
                <w:color w:val="auto"/>
              </w:rPr>
            </w:pPr>
          </w:p>
        </w:tc>
      </w:tr>
      <w:tr>
        <w:trPr>
          <w:trHeight w:val="174"/>
        </w:trPr>
        <w:tc>
          <w:tcPr>
            <w:tcW w:w="2020" w:type="dxa"/>
            <w:vAlign w:val="bottom"/>
          </w:tcPr>
          <w:p>
            <w:pPr>
              <w:spacing w:after="0"/>
              <w:rPr>
                <w:sz w:val="15"/>
                <w:szCs w:val="15"/>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r>
        <w:trPr>
          <w:trHeight w:val="243"/>
        </w:trPr>
        <w:tc>
          <w:tcPr>
            <w:tcW w:w="2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2020" w:type="dxa"/>
            <w:vAlign w:val="bottom"/>
          </w:tcPr>
          <w:p>
            <w:pPr>
              <w:spacing w:after="0"/>
              <w:rPr>
                <w:sz w:val="18"/>
                <w:szCs w:val="18"/>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8"/>
                <w:szCs w:val="18"/>
                <w:b w:val="1"/>
                <w:bCs w:val="1"/>
                <w:color w:val="auto"/>
                <w:w w:val="90"/>
              </w:rPr>
              <w:t>PennantPark Floating Rate Capital Ltd.</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color w:val="auto"/>
                <w:w w:val="87"/>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218"/>
        </w:trPr>
        <w:tc>
          <w:tcPr>
            <w:tcW w:w="2020" w:type="dxa"/>
            <w:vAlign w:val="bottom"/>
          </w:tcPr>
          <w:p>
            <w:pPr>
              <w:spacing w:after="0"/>
              <w:rPr>
                <w:sz w:val="18"/>
                <w:szCs w:val="18"/>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18"/>
                <w:szCs w:val="18"/>
                <w:color w:val="auto"/>
              </w:rPr>
            </w:pP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(Name and address of Agent for Service)</w:t>
            </w:r>
          </w:p>
        </w:tc>
      </w:tr>
      <w:tr>
        <w:trPr>
          <w:trHeight w:val="109"/>
        </w:trPr>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235"/>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43"/>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Thomas J. Friedmann</w:t>
            </w: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Stuart H. Gelfond</w:t>
            </w:r>
          </w:p>
        </w:tc>
      </w:tr>
      <w:tr>
        <w:trPr>
          <w:trHeight w:val="217"/>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David J. Harris</w:t>
            </w: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Paul D. Tropp</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Dechert LLP</w:t>
            </w:r>
          </w:p>
        </w:tc>
        <w:tc>
          <w:tcPr>
            <w:tcW w:w="600" w:type="dxa"/>
            <w:vAlign w:val="bottom"/>
          </w:tcPr>
          <w:p>
            <w:pPr>
              <w:spacing w:after="0"/>
              <w:rPr>
                <w:sz w:val="19"/>
                <w:szCs w:val="19"/>
                <w:color w:val="auto"/>
              </w:rPr>
            </w:pPr>
          </w:p>
        </w:tc>
        <w:tc>
          <w:tcPr>
            <w:tcW w:w="5860" w:type="dxa"/>
            <w:vAlign w:val="bottom"/>
            <w:gridSpan w:val="2"/>
          </w:tcPr>
          <w:p>
            <w:pPr>
              <w:jc w:val="center"/>
              <w:ind w:left="2256"/>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1775 I Street, N.W.</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One New York Plaza</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Washington, D.C. 20006</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NY 10004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6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48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11,500,000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$172,500,000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$20,027</w:t>
            </w: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previously paid.</w:t>
      </w:r>
    </w:p>
    <w:p>
      <w:pPr>
        <w:spacing w:after="0" w:line="51"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Filed Pursuant to Rule 497</w:t>
      </w:r>
    </w:p>
    <w:p>
      <w:pPr>
        <w:jc w:val="right"/>
        <w:spacing w:after="0" w:line="223" w:lineRule="auto"/>
        <w:rPr>
          <w:sz w:val="20"/>
          <w:szCs w:val="20"/>
          <w:color w:val="auto"/>
        </w:rPr>
      </w:pPr>
      <w:r>
        <w:rPr>
          <w:rFonts w:ascii="Arial" w:cs="Arial" w:eastAsia="Arial" w:hAnsi="Arial"/>
          <w:sz w:val="14"/>
          <w:szCs w:val="14"/>
          <w:b w:val="1"/>
          <w:bCs w:val="1"/>
          <w:color w:val="auto"/>
        </w:rPr>
        <w:t>Registration No. 333-170243</w:t>
      </w:r>
    </w:p>
    <w:p>
      <w:pPr>
        <w:jc w:val="right"/>
        <w:spacing w:after="0" w:line="228" w:lineRule="auto"/>
        <w:rPr>
          <w:sz w:val="20"/>
          <w:szCs w:val="20"/>
          <w:color w:val="auto"/>
        </w:rPr>
      </w:pPr>
      <w:r>
        <w:rPr>
          <w:rFonts w:ascii="Arial" w:cs="Arial" w:eastAsia="Arial" w:hAnsi="Arial"/>
          <w:sz w:val="14"/>
          <w:szCs w:val="14"/>
          <w:b w:val="1"/>
          <w:bCs w:val="1"/>
          <w:color w:val="auto"/>
        </w:rPr>
        <w:t>Registration No. 811-22489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April 8,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118110</wp:posOffset>
            </wp:positionV>
            <wp:extent cx="164655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6,700,000 Shares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ind w:right="220" w:firstLine="342"/>
        <w:spacing w:after="0" w:line="274" w:lineRule="auto"/>
        <w:rPr>
          <w:sz w:val="20"/>
          <w:szCs w:val="20"/>
          <w:color w:val="auto"/>
        </w:rPr>
      </w:pPr>
      <w:r>
        <w:rPr>
          <w:rFonts w:ascii="Arial" w:cs="Arial" w:eastAsia="Arial" w:hAnsi="Arial"/>
          <w:sz w:val="12"/>
          <w:szCs w:val="12"/>
          <w:color w:val="auto"/>
        </w:rPr>
        <w:t>PennantPark Floating Rate Capital Ltd. is a newly organized, externally managed, non-diversified, closed-end management investment company that has elected to be treated as a business development company under the Investment Company Act of 1940, as amended, or the “1940 Act.” We were formed on October 28, 2010 as a Maryland corporation. We will be managed by PennantPark Investment Advisers, LLC, and PennantPark Investment Administration, LLC will provide the administrative services necessary for us to operate.</w:t>
      </w:r>
    </w:p>
    <w:p>
      <w:pPr>
        <w:jc w:val="both"/>
        <w:ind w:right="80" w:firstLine="342"/>
        <w:spacing w:after="0" w:line="233" w:lineRule="auto"/>
        <w:rPr>
          <w:sz w:val="20"/>
          <w:szCs w:val="20"/>
          <w:color w:val="auto"/>
        </w:rPr>
      </w:pPr>
      <w:r>
        <w:rPr>
          <w:rFonts w:ascii="Arial" w:cs="Arial" w:eastAsia="Arial" w:hAnsi="Arial"/>
          <w:sz w:val="14"/>
          <w:szCs w:val="14"/>
          <w:color w:val="auto"/>
        </w:rPr>
        <w:t>Our investment objective is to seek current income. We can offer no assurance that we will achieve our investment objective or be able to structure our investment portfolio as anticipated. We will seek to achieve our investment objective by investing primarily in floating rate loans made to private middle-market companies whose debt is rated below investment grade. We may also invest in thinly traded or small market-cap public middle-market U.S. companies.</w:t>
      </w:r>
    </w:p>
    <w:p>
      <w:pPr>
        <w:spacing w:after="0" w:line="4" w:lineRule="exact"/>
        <w:rPr>
          <w:sz w:val="20"/>
          <w:szCs w:val="20"/>
          <w:color w:val="auto"/>
        </w:rPr>
      </w:pPr>
    </w:p>
    <w:p>
      <w:pPr>
        <w:ind w:right="20" w:firstLine="342"/>
        <w:spacing w:after="0" w:line="265" w:lineRule="auto"/>
        <w:rPr>
          <w:sz w:val="20"/>
          <w:szCs w:val="20"/>
          <w:color w:val="auto"/>
        </w:rPr>
      </w:pPr>
      <w:r>
        <w:rPr>
          <w:rFonts w:ascii="Arial" w:cs="Arial" w:eastAsia="Arial" w:hAnsi="Arial"/>
          <w:sz w:val="12"/>
          <w:szCs w:val="12"/>
          <w:color w:val="auto"/>
        </w:rPr>
        <w:t>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at least 80% of the value of our “Managed Assets,” which means our net assets plus any borrowings for investment purposes, will be invested in Floating Rate Loans.</w:t>
      </w:r>
    </w:p>
    <w:p>
      <w:pPr>
        <w:ind w:left="360"/>
        <w:spacing w:after="0"/>
        <w:rPr>
          <w:sz w:val="20"/>
          <w:szCs w:val="20"/>
          <w:color w:val="auto"/>
        </w:rPr>
      </w:pPr>
      <w:r>
        <w:rPr>
          <w:rFonts w:ascii="Arial" w:cs="Arial" w:eastAsia="Arial" w:hAnsi="Arial"/>
          <w:sz w:val="14"/>
          <w:szCs w:val="14"/>
          <w:color w:val="auto"/>
        </w:rPr>
        <w:t>This prospectus is our initial public offering, for which we have been approved for listing on the NASDAQ Global Select Market under the ticker symbol “PFLT”.</w:t>
      </w:r>
    </w:p>
    <w:p>
      <w:pPr>
        <w:spacing w:after="0" w:line="13" w:lineRule="exact"/>
        <w:rPr>
          <w:sz w:val="20"/>
          <w:szCs w:val="20"/>
          <w:color w:val="auto"/>
        </w:rPr>
      </w:pPr>
    </w:p>
    <w:p>
      <w:pPr>
        <w:ind w:right="260" w:firstLine="342"/>
        <w:spacing w:after="0" w:line="234" w:lineRule="auto"/>
        <w:rPr>
          <w:sz w:val="20"/>
          <w:szCs w:val="20"/>
          <w:color w:val="auto"/>
        </w:rPr>
      </w:pPr>
      <w:r>
        <w:rPr>
          <w:rFonts w:ascii="Arial" w:cs="Arial" w:eastAsia="Arial" w:hAnsi="Arial"/>
          <w:sz w:val="14"/>
          <w:szCs w:val="14"/>
          <w:b w:val="1"/>
          <w:bCs w:val="1"/>
          <w:color w:val="auto"/>
        </w:rPr>
        <w:t>Shares of closed-end investment companies that are listed on an exchange, including business development companies, frequently trade at prices that reflect a discount from their net asset values. If you purchase shares in the initial public offering or otherwise and sell the shares on the NASDAQ Global Select Market or otherwise, you may receive an amount that is less than (1) the amount you paid for the shares and/or (2) the net asset value of the shares at the time of sale.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We are a newly formed entity and have no previous operating or trading history upon which you can evaluate our performance.</w:t>
      </w:r>
    </w:p>
    <w:p>
      <w:pPr>
        <w:spacing w:after="0" w:line="17" w:lineRule="exact"/>
        <w:rPr>
          <w:sz w:val="20"/>
          <w:szCs w:val="20"/>
          <w:color w:val="auto"/>
        </w:rPr>
      </w:pPr>
    </w:p>
    <w:p>
      <w:pPr>
        <w:ind w:right="60" w:firstLine="342"/>
        <w:spacing w:after="0" w:line="230" w:lineRule="auto"/>
        <w:rPr>
          <w:sz w:val="20"/>
          <w:szCs w:val="20"/>
          <w:color w:val="auto"/>
        </w:rPr>
      </w:pPr>
      <w:r>
        <w:rPr>
          <w:rFonts w:ascii="Arial" w:cs="Arial" w:eastAsia="Arial" w:hAnsi="Arial"/>
          <w:sz w:val="14"/>
          <w:szCs w:val="14"/>
          <w:color w:val="auto"/>
        </w:rPr>
        <w:t>This prospectus contains important information you should know before investing in our securities. Please read it before you invest and keep it for future reference. We will file annual, quarterly and current reports, proxy statements and other information with the Securities and Exchange Commission, or “SEC.” This information is available free of charge by contacting us in writing at 590 Madison Avenue, New York, NY 10022 or by telephone at (212) 905-1000 or on our website at www.pennantpark.com.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0"/>
          <w:szCs w:val="20"/>
          <w:color w:val="auto"/>
        </w:rPr>
      </w:pPr>
    </w:p>
    <w:p>
      <w:pPr>
        <w:ind w:right="12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9">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beginning on page 16 of this prospectus.</w:t>
      </w:r>
    </w:p>
    <w:p>
      <w:pPr>
        <w:spacing w:after="0" w:line="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Total</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2"/>
              </w:rPr>
              <w:t>Share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0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2"/>
                <w:szCs w:val="12"/>
                <w:color w:val="auto"/>
              </w:rPr>
              <w:t>15.000</w:t>
            </w:r>
          </w:p>
        </w:tc>
        <w:tc>
          <w:tcPr>
            <w:tcW w:w="420" w:type="dxa"/>
            <w:vAlign w:val="bottom"/>
          </w:tcPr>
          <w:p>
            <w:pPr>
              <w:spacing w:after="0"/>
              <w:rPr>
                <w:sz w:val="10"/>
                <w:szCs w:val="10"/>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100,500,000</w:t>
            </w: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1"/>
                <w:szCs w:val="11"/>
                <w:color w:val="auto"/>
              </w:rPr>
              <w:t>Underwriting discounts and commissions (Sales load)</w:t>
            </w:r>
            <w:r>
              <w:rPr>
                <w:rFonts w:ascii="Arial" w:cs="Arial" w:eastAsia="Arial" w:hAnsi="Arial"/>
                <w:sz w:val="17"/>
                <w:szCs w:val="17"/>
                <w:color w:val="auto"/>
                <w:vertAlign w:val="superscript"/>
              </w:rPr>
              <w:t>(2)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5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7,035,000</w:t>
            </w:r>
          </w:p>
        </w:tc>
        <w:tc>
          <w:tcPr>
            <w:tcW w:w="0" w:type="dxa"/>
            <w:vAlign w:val="bottom"/>
          </w:tcPr>
          <w:p>
            <w:pPr>
              <w:spacing w:after="0"/>
              <w:rPr>
                <w:sz w:val="1"/>
                <w:szCs w:val="1"/>
                <w:color w:val="auto"/>
              </w:rPr>
            </w:pPr>
          </w:p>
        </w:tc>
      </w:tr>
      <w:tr>
        <w:trPr>
          <w:trHeight w:val="271"/>
        </w:trPr>
        <w:tc>
          <w:tcPr>
            <w:tcW w:w="6000" w:type="dxa"/>
            <w:vAlign w:val="bottom"/>
          </w:tcPr>
          <w:p>
            <w:pPr>
              <w:spacing w:after="0"/>
              <w:rPr>
                <w:sz w:val="20"/>
                <w:szCs w:val="20"/>
                <w:color w:val="auto"/>
              </w:rPr>
            </w:pPr>
            <w:r>
              <w:rPr>
                <w:rFonts w:ascii="Arial" w:cs="Arial" w:eastAsia="Arial" w:hAnsi="Arial"/>
                <w:sz w:val="14"/>
                <w:szCs w:val="14"/>
                <w:color w:val="auto"/>
                <w:w w:val="99"/>
              </w:rPr>
              <w:t>Proceeds to PennantPark Floating Rate Capital Ltd., before estimated offering expenses to us</w:t>
            </w:r>
            <w:r>
              <w:rPr>
                <w:rFonts w:ascii="Arial" w:cs="Arial" w:eastAsia="Arial" w:hAnsi="Arial"/>
                <w:sz w:val="22"/>
                <w:szCs w:val="22"/>
                <w:color w:val="auto"/>
                <w:w w:val="99"/>
                <w:vertAlign w:val="superscript"/>
              </w:rPr>
              <w:t>(3)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13.950</w:t>
            </w:r>
          </w:p>
        </w:tc>
        <w:tc>
          <w:tcPr>
            <w:tcW w:w="5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93,465,000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right="30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granted the underwriters an option to purchase up to 1,005,000 additional shares of common stock at the public offering price, less the sales load, within 30 days of the date of this prospectus solely to cover overallotments, if any. If such option is exercised in full, the total public offering price, sales load, and proceeds, before offering expenses, to us will be $115,575,000, $8,090,250 and $107,484,750, respectively. See “Underwriting.”</w:t>
      </w:r>
    </w:p>
    <w:p>
      <w:pPr>
        <w:ind w:left="340" w:right="6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PennantPark Investment Advisers LLC will pay to the underwriters a portion of the sales load in the amount of $2.0 million, or $0.300 per share, for a net sales load of $0.750 per share. We (and indirectly our stockholders) will be obligated to repay this amount (a) if during any four consecutive calendar quarter-periods ending on or after the one year anniversary of the date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w:t>
      </w:r>
    </w:p>
    <w:p>
      <w:pPr>
        <w:ind w:left="340" w:right="20" w:hanging="332"/>
        <w:spacing w:after="0" w:line="22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underwriters have agreed to reimburse us for $350,000 of the estimated $1,000,000 of offering expenses we expect to incur in connection with this offering. Stockholders will indirectly bear such remaining expenses as investors in PennantPark Floating Rate Capital Ltd. The total underwriting discount paid by the Investment Adviser (subject to reimbursement as described in note (2) above) will be $2.0 million ($2.3 million if the over-allotment option is exercised in full).</w:t>
      </w:r>
    </w:p>
    <w:p>
      <w:pPr>
        <w:spacing w:after="0" w:line="4"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Our shares of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 w:lineRule="exact"/>
        <w:rPr>
          <w:sz w:val="20"/>
          <w:szCs w:val="20"/>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620" w:type="dxa"/>
            <w:vAlign w:val="bottom"/>
            <w:gridSpan w:val="2"/>
          </w:tcPr>
          <w:p>
            <w:pPr>
              <w:spacing w:after="0"/>
              <w:rPr>
                <w:sz w:val="20"/>
                <w:szCs w:val="20"/>
                <w:color w:val="auto"/>
              </w:rPr>
            </w:pPr>
            <w:r>
              <w:rPr>
                <w:rFonts w:ascii="Arial" w:cs="Arial" w:eastAsia="Arial" w:hAnsi="Arial"/>
                <w:sz w:val="14"/>
                <w:szCs w:val="14"/>
                <w:color w:val="auto"/>
                <w:w w:val="91"/>
              </w:rPr>
              <w:t>The underwriters expect to deliver the common shares to purchasers on or about</w:t>
            </w:r>
          </w:p>
        </w:tc>
        <w:tc>
          <w:tcPr>
            <w:tcW w:w="1920" w:type="dxa"/>
            <w:vAlign w:val="bottom"/>
          </w:tcPr>
          <w:p>
            <w:pPr>
              <w:jc w:val="right"/>
              <w:ind w:right="1212"/>
              <w:spacing w:after="0"/>
              <w:rPr>
                <w:sz w:val="20"/>
                <w:szCs w:val="20"/>
                <w:color w:val="auto"/>
              </w:rPr>
            </w:pPr>
            <w:r>
              <w:rPr>
                <w:rFonts w:ascii="Arial" w:cs="Arial" w:eastAsia="Arial" w:hAnsi="Arial"/>
                <w:sz w:val="14"/>
                <w:szCs w:val="14"/>
                <w:color w:val="auto"/>
              </w:rPr>
              <w:t>, 2011.</w:t>
            </w:r>
          </w:p>
        </w:tc>
      </w:tr>
      <w:tr>
        <w:trPr>
          <w:trHeight w:val="95"/>
        </w:trPr>
        <w:tc>
          <w:tcPr>
            <w:tcW w:w="4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22"/>
          <w:szCs w:val="22"/>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UBS Investment Bank</w:t>
      </w:r>
    </w:p>
    <w:p>
      <w:pPr>
        <w:spacing w:after="0" w:line="180" w:lineRule="exact"/>
        <w:rPr>
          <w:sz w:val="20"/>
          <w:szCs w:val="20"/>
          <w:color w:val="auto"/>
        </w:rPr>
      </w:pPr>
    </w:p>
    <w:p>
      <w:pPr>
        <w:sectPr>
          <w:pgSz w:w="11900" w:h="16838" w:orient="portrait"/>
          <w:cols w:equalWidth="0" w:num="3">
            <w:col w:w="3060" w:space="720"/>
            <w:col w:w="4620" w:space="720"/>
            <w:col w:w="2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BMO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Houlihan Lokey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RBC Capital Markets</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5"/>
          <w:szCs w:val="15"/>
          <w:b w:val="1"/>
          <w:bCs w:val="1"/>
          <w:color w:val="auto"/>
        </w:rPr>
        <w:t>Stifel Nicolaus Weisel</w:t>
      </w:r>
    </w:p>
    <w:p>
      <w:pPr>
        <w:spacing w:after="0" w:line="205" w:lineRule="exact"/>
        <w:rPr>
          <w:sz w:val="20"/>
          <w:szCs w:val="20"/>
          <w:color w:val="auto"/>
        </w:rPr>
      </w:pPr>
    </w:p>
    <w:p>
      <w:pPr>
        <w:sectPr>
          <w:pgSz w:w="11900" w:h="16838" w:orient="portrait"/>
          <w:cols w:equalWidth="0" w:num="5">
            <w:col w:w="2100" w:space="720"/>
            <w:col w:w="1220" w:space="720"/>
            <w:col w:w="1980" w:space="540"/>
            <w:col w:w="1640" w:space="440"/>
            <w:col w:w="2060"/>
          </w:cols>
          <w:pgMar w:left="240" w:top="459" w:right="239" w:bottom="1440" w:gutter="0" w:footer="0" w:header="0"/>
          <w:type w:val="continuous"/>
        </w:sectPr>
      </w:pPr>
    </w:p>
    <w:p>
      <w:pPr>
        <w:ind w:left="402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2011.</w:t>
      </w:r>
    </w:p>
    <w:p>
      <w:pPr>
        <w:sectPr>
          <w:pgSz w:w="11900" w:h="16838" w:orient="portrait"/>
          <w:cols w:equalWidth="0" w:num="2">
            <w:col w:w="6220" w:space="720"/>
            <w:col w:w="448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88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FEES AND EXPENSES</w:t>
              </w:r>
            </w:hyperlink>
          </w:p>
        </w:tc>
        <w:tc>
          <w:tcPr>
            <w:tcW w:w="280" w:type="dxa"/>
            <w:vAlign w:val="bottom"/>
            <w:tcBorders>
              <w:top w:val="single" w:sz="8" w:color="0000EE"/>
            </w:tcBorders>
          </w:tcPr>
          <w:p>
            <w:pPr>
              <w:spacing w:after="0"/>
              <w:rPr>
                <w:sz w:val="17"/>
                <w:szCs w:val="17"/>
                <w:color w:val="auto"/>
              </w:rPr>
            </w:pPr>
          </w:p>
        </w:tc>
        <w:tc>
          <w:tcPr>
            <w:tcW w:w="682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60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CAPITALIZATION</w:t>
              </w:r>
            </w:hyperlink>
          </w:p>
        </w:tc>
        <w:tc>
          <w:tcPr>
            <w:tcW w:w="732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DILUTION</w:t>
              </w:r>
            </w:hyperlink>
          </w:p>
        </w:tc>
        <w:tc>
          <w:tcPr>
            <w:tcW w:w="560" w:type="dxa"/>
            <w:vAlign w:val="bottom"/>
            <w:tcBorders>
              <w:top w:val="single" w:sz="8" w:color="0000EE"/>
            </w:tcBorders>
            <w:gridSpan w:val="7"/>
          </w:tcPr>
          <w:p>
            <w:pPr>
              <w:spacing w:after="0"/>
              <w:rPr>
                <w:sz w:val="17"/>
                <w:szCs w:val="17"/>
                <w:color w:val="auto"/>
              </w:rPr>
            </w:pPr>
          </w:p>
        </w:tc>
        <w:tc>
          <w:tcPr>
            <w:tcW w:w="744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3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DISCUSSION OF MANAGEMENT’S EXPECTED OPERATING PLANS</w:t>
              </w:r>
            </w:hyperlink>
          </w:p>
        </w:tc>
        <w:tc>
          <w:tcPr>
            <w:tcW w:w="352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OBLIGATIONS AND INDEBTEDNESS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1600" w:type="dxa"/>
            <w:vAlign w:val="bottom"/>
            <w:tcBorders>
              <w:top w:val="single" w:sz="8" w:color="0000EE"/>
            </w:tcBorders>
            <w:gridSpan w:val="10"/>
          </w:tcPr>
          <w:p>
            <w:pPr>
              <w:spacing w:after="0"/>
              <w:rPr>
                <w:sz w:val="17"/>
                <w:szCs w:val="17"/>
                <w:color w:val="auto"/>
              </w:rPr>
            </w:pPr>
          </w:p>
        </w:tc>
        <w:tc>
          <w:tcPr>
            <w:tcW w:w="59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BUSINESS</w:t>
              </w:r>
            </w:hyperlink>
          </w:p>
        </w:tc>
        <w:tc>
          <w:tcPr>
            <w:tcW w:w="8020" w:type="dxa"/>
            <w:vAlign w:val="bottom"/>
            <w:gridSpan w:val="2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MANAGEMENT</w:t>
              </w:r>
            </w:hyperlink>
          </w:p>
        </w:tc>
        <w:tc>
          <w:tcPr>
            <w:tcW w:w="758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4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CONTROL PERSONS AND PRINCIPAL STOCKHOLDERS</w:t>
              </w:r>
            </w:hyperlink>
          </w:p>
        </w:tc>
        <w:tc>
          <w:tcPr>
            <w:tcW w:w="442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DIVIDEND REINVESTMENT PLAN</w:t>
              </w:r>
            </w:hyperlink>
          </w:p>
        </w:tc>
        <w:tc>
          <w:tcPr>
            <w:tcW w:w="61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DESCRIPTION OF OUR CAPITAL STOCK</w:t>
              </w:r>
            </w:hyperlink>
          </w:p>
        </w:tc>
        <w:tc>
          <w:tcPr>
            <w:tcW w:w="56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REGULATION</w:t>
              </w:r>
            </w:hyperlink>
          </w:p>
        </w:tc>
        <w:tc>
          <w:tcPr>
            <w:tcW w:w="774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BROKERAGE ALLOCATIONS AND OTHER PRACTICES</w:t>
              </w:r>
            </w:hyperlink>
          </w:p>
        </w:tc>
        <w:tc>
          <w:tcPr>
            <w:tcW w:w="44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MATERIAL U.S. FEDERAL INCOME TAX CONSIDERATIONS</w:t>
              </w:r>
            </w:hyperlink>
          </w:p>
        </w:tc>
        <w:tc>
          <w:tcPr>
            <w:tcW w:w="41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UNDERWRITING</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SUB-ADMINISTRATOR, CUSTODIAN AND TRANSFER AGENT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OPINIONS</w:t>
              </w:r>
            </w:hyperlink>
          </w:p>
        </w:tc>
        <w:tc>
          <w:tcPr>
            <w:tcW w:w="39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2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INDEPENDENT REGISTERED PUBLIC ACCOUNTING FIRM</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AVAILABLE INFORMATION</w:t>
              </w:r>
            </w:hyperlink>
          </w:p>
        </w:tc>
        <w:tc>
          <w:tcPr>
            <w:tcW w:w="41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20" w:type="dxa"/>
            <w:vAlign w:val="bottom"/>
            <w:gridSpan w:val="14"/>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14">
              <w:r>
                <w:rPr>
                  <w:rFonts w:ascii="Arial" w:cs="Arial" w:eastAsia="Arial" w:hAnsi="Arial"/>
                  <w:sz w:val="18"/>
                  <w:szCs w:val="18"/>
                  <w:color w:val="0000EE"/>
                  <w:w w:val="95"/>
                </w:rPr>
                <w:t>INDEX TO FINANCIAL STATEMENTS</w:t>
              </w:r>
            </w:hyperlink>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future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elected to be treated as a business development company under the 1940 Act. We were formed on October 28, 2010 as a Maryland Corporation. In addition, for tax purposes we intend to elect to be treated, and intend to qualify annually, as a regulated investment company, or RIC, under Subchapter M of the Internal Revenue Code of 1986, as amended, which we refer to as the “Code,” commencing with our first taxable year ending after completion of this offering.</w:t>
      </w:r>
    </w:p>
    <w:p>
      <w:pPr>
        <w:spacing w:after="0" w:line="143"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 We are managed by PennantPark Investment Advisers, and PennantPark Investment Administration provides the administrative services necessary for us to operate.</w:t>
      </w:r>
    </w:p>
    <w:p>
      <w:pPr>
        <w:spacing w:after="0" w:line="140"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We believe that Floating Rate Loans to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private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In focusing on Floating Rate Loans, our primary investment focus differs from that of PennantPark Investment Corporation, a business development company for which the Investment Adviser also acts as investment adviser, although there may be overlap in terms of our targeted investments and those of such other entity. Floating Rate Loans are typically made to U.S. and, to a limited extent, non-U.S. corporations, partnerships and other business entities which operate in various industries and geographical regions.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left="200" w:right="300" w:firstLine="443"/>
        <w:spacing w:after="0" w:line="306" w:lineRule="auto"/>
        <w:rPr>
          <w:sz w:val="20"/>
          <w:szCs w:val="20"/>
          <w:color w:val="auto"/>
        </w:rPr>
      </w:pPr>
      <w:r>
        <w:rPr>
          <w:rFonts w:ascii="Arial" w:cs="Arial" w:eastAsia="Arial" w:hAnsi="Arial"/>
          <w:sz w:val="16"/>
          <w:szCs w:val="16"/>
          <w:color w:val="auto"/>
        </w:rPr>
        <w:t>We intend to use borrowings under a senior secured revolving credit facility to invest in portfolio companies. The use of borrowings to make investments is considered a speculative investment practice and increases the risk of your investment in us. We have received a commitment to arrange a senior secured revolving credit facility for a wholly owned special purpose entity that we will establish, or the “Credit Facility,”</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by SunTrust Robinson Humphrey, Inc. (“STRH”) which is expected to be provided by SunTrust Bank, an affiliate of STRH, and to become effective shortly after this offering is completed. The Credit Facility is expected to initially provide for borrowings up to $200.0 million and is expected to expire in 2016. The Credit Facility is expected to include an accordion feature whereby we will be allowed to increase the amount of the Credit Facility up to $600.0 million.</w:t>
      </w:r>
    </w:p>
    <w:p>
      <w:pPr>
        <w:spacing w:after="0" w:line="10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In seeking to achieve our investment objective,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portfolio company’s indebtedness on a timely basis. The Investment Adviser expects to gain exposure to portfolio companies across a broad range of industries and of varying characteristics and return profiles.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060" w:right="20" w:hanging="323"/>
        <w:spacing w:after="0" w:line="298"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portfolio companies that it believes have developed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ind w:left="1060" w:right="60" w:hanging="323"/>
        <w:spacing w:after="0" w:line="294"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portfolio companies with positive cash flow</w:t>
      </w:r>
      <w:r>
        <w:rPr>
          <w:rFonts w:ascii="Arial" w:cs="Arial" w:eastAsia="Arial" w:hAnsi="Arial"/>
          <w:sz w:val="16"/>
          <w:szCs w:val="16"/>
          <w:color w:val="auto"/>
        </w:rPr>
        <w:t>. The Investment Adviser intends to invest in portfolio companies believed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4" w:lineRule="exact"/>
        <w:rPr>
          <w:rFonts w:ascii="Arial" w:cs="Arial" w:eastAsia="Arial" w:hAnsi="Arial"/>
          <w:sz w:val="16"/>
          <w:szCs w:val="16"/>
          <w:color w:val="auto"/>
        </w:rPr>
      </w:pPr>
    </w:p>
    <w:p>
      <w:pPr>
        <w:ind w:left="1060" w:right="2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portfolio company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portfolio companies have in place proper incentives to align management’s goals with our goals.</w:t>
      </w:r>
    </w:p>
    <w:p>
      <w:pPr>
        <w:spacing w:after="0" w:line="59" w:lineRule="exact"/>
        <w:rPr>
          <w:rFonts w:ascii="Arial" w:cs="Arial" w:eastAsia="Arial" w:hAnsi="Arial"/>
          <w:sz w:val="18"/>
          <w:szCs w:val="18"/>
          <w:color w:val="auto"/>
        </w:rPr>
      </w:pPr>
    </w:p>
    <w:p>
      <w:pPr>
        <w:ind w:left="1060" w:right="40" w:hanging="323"/>
        <w:spacing w:after="0" w:line="294"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4" w:lineRule="exact"/>
        <w:rPr>
          <w:rFonts w:ascii="Arial" w:cs="Arial" w:eastAsia="Arial" w:hAnsi="Arial"/>
          <w:sz w:val="16"/>
          <w:szCs w:val="16"/>
          <w:color w:val="auto"/>
        </w:rPr>
      </w:pPr>
    </w:p>
    <w:p>
      <w:pPr>
        <w:ind w:left="1060" w:right="10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portfolio companies and industries</w:t>
      </w:r>
      <w:r>
        <w:rPr>
          <w:rFonts w:ascii="Arial" w:cs="Arial" w:eastAsia="Arial" w:hAnsi="Arial"/>
          <w:sz w:val="18"/>
          <w:szCs w:val="18"/>
          <w:color w:val="auto"/>
        </w:rPr>
        <w:t>. The Investment Adviser will seek to invest our assets broadly among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across industries. The Investment Adviser believes that this diversified approach may reduce the risk that a downturn in any one company or industry will have a disproportionate impact on the value of our portfolio.</w:t>
      </w:r>
    </w:p>
    <w:p>
      <w:pPr>
        <w:spacing w:after="0" w:line="14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The Investment Adviser intends to monitor credit risk of each portfolio company regularly and periodically with a goal toward identifying early, and selling, Floating Rate Loans and other investments with potential credit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w:t>
      </w:r>
    </w:p>
    <w:p>
      <w:pPr>
        <w:ind w:left="200" w:right="20" w:hanging="3"/>
        <w:spacing w:after="0" w:line="255" w:lineRule="auto"/>
        <w:tabs>
          <w:tab w:leader="none" w:pos="4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4"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to the extent such a change would not affect our ability to maintain our election as a business development company.</w:t>
      </w:r>
    </w:p>
    <w:p>
      <w:pPr>
        <w:spacing w:after="0" w:line="140"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5"/>
          <w:szCs w:val="15"/>
          <w:color w:val="auto"/>
        </w:rPr>
        <w:t>We will seek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05"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will provide, on our behalf, managerial assistance to those portfolio companies to which we provide assistance. See “Risk Factors—Risks Relating to our Business and Structure.”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640" w:right="20"/>
        <w:spacing w:after="0" w:line="334"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1"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7"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left="200" w:right="180" w:firstLine="443"/>
        <w:spacing w:after="0" w:line="323" w:lineRule="auto"/>
        <w:rPr>
          <w:sz w:val="20"/>
          <w:szCs w:val="20"/>
          <w:color w:val="auto"/>
        </w:rPr>
      </w:pPr>
      <w:r>
        <w:rPr>
          <w:rFonts w:ascii="Arial" w:cs="Arial" w:eastAsia="Arial" w:hAnsi="Arial"/>
          <w:sz w:val="15"/>
          <w:szCs w:val="15"/>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Investment Selection Criteria”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financial needs of a company while also generating attractive risk-adjusted returns. We can invest in any part of a capital structure and the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The Credit Facility is expected to be entered into shortly after completing this offering, and we expect it to provide up to $200.0 million in available borrowing capacity. We intend to form a wholly owned subsidiary to make borrowings under the Credit Facility and to hold our portfolio investments that will serve as collateral under the Credit Facility. We may seek to securitize such loans to generate cash for funding new investments. This could include the sale of interests in the subsidiary on a non-recourse basis to purchasers whom we would expect to be willing to accept a lower interest rate to invest in investment grade loan pools, and we would retain a portion of the equity in the securitized pool of loans. To the extent that we securitize loans in connection with the Credit Facility, we intend to consolidate any indebtedness incurred by any subsidiary in connection with its contemplated securitization facility for financial reporting purposes and, in addition, any such indebtedness will be included in our determination of our compliance with the asset coverage test under the 1940 Act. In order to make additional investments, we may incur leverage in an aggregate amount of up to 50% of our Managed Assets at the time such leverage is incurred (which would be equivalent to 100% of our net assets). We may also issue preferred stock and/or notes, enter into total return swaps or other derivatives, and borrow funds from banks and other financial institutions.</w:t>
      </w:r>
    </w:p>
    <w:p>
      <w:pPr>
        <w:spacing w:after="0" w:line="127" w:lineRule="exact"/>
        <w:rPr>
          <w:sz w:val="20"/>
          <w:szCs w:val="20"/>
          <w:color w:val="auto"/>
        </w:rPr>
      </w:pPr>
    </w:p>
    <w:p>
      <w:pPr>
        <w:ind w:left="200" w:right="100" w:firstLine="443"/>
        <w:spacing w:after="0" w:line="289" w:lineRule="auto"/>
        <w:rPr>
          <w:sz w:val="20"/>
          <w:szCs w:val="20"/>
          <w:color w:val="auto"/>
        </w:rPr>
      </w:pPr>
      <w:r>
        <w:rPr>
          <w:rFonts w:ascii="Arial" w:cs="Arial" w:eastAsia="Arial" w:hAnsi="Arial"/>
          <w:sz w:val="16"/>
          <w:szCs w:val="16"/>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the Investment Adviser may have a financial incentive to increase the use of leverage, which constitutes an inherent conflict of interest. In addition, the fees we pay to the Investment Adviser are borne exclusively by our common stockholders. It is expected that preferred stockholders, noteholders and any lenders will not bear any of our expenses. Our leveraging strategy, if utilized, may not be successful.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180" w:firstLine="443"/>
        <w:spacing w:after="0" w:line="298"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the Investment Adviser. Under our investment management agreement (the “Investment Management Agreement”), we have agreed to pay the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will also enter into an administration agreement (the “Administration Agreement”) with the Administrator. Under the Administration Agreement, we will agree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Also, while we will be permitted to finance investments using debt, our ability to use debt will be limited in certain significant respects. See “Regulation” for more information. We intend to elect to be treated, and intend to qualify annually, as a RIC for federal income tax purposes under the Code, commencing with our first taxable year ending after completion of this offering. See “Material U.S. Federal Income Tax Considerations”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We plan to use the net proceeds of this offering for investments in portfolio companies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invested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color w:val="auto"/>
        </w:rPr>
        <w:t>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may range from weekly to quarterly and could be subject to extension. We expect the dividend rate to be variable and determined for each dividend period. See “Risk Factors—Risks Relating to Our Business Structure”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common stockholders unless a stockholder elects to receive cash. As a result, if our board of directors authorizes, and we declare, a cash dividend, then our common stockholders who have not ‘opted out’ of our dividend reinvestment plan will have their cash dividends automatically reinvested in additional shares of our common stock rather than receiving the cash dividends. Registered common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has been approved for listing on the NASDAQ Global Select Market under the symbol “PFLT”.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0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6,700,000, excluding 1,005,000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Common stock to be outstanding after this offering</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6,700,667, excluding 1,005,000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We plan to use the net proceeds of this offering for investments primarily in Floating Rate Loans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in accordance with our investment objective and strategies described in this prospectus and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general working capital purposes. The underwriters have agreed to reimburse us for $350,000 of</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the estimated $1,000,000 of offering expenses we expect to incur in connection with this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offering. We will also pay operating expenses, including management and administrative fees,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and may pay other expenses such as due diligence expenses of potential new investments, from</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the net proceeds of this offering. We anticipate that substantially all of the net proceeds of this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offering will be used for the above purposes within three to six months from the consummation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 this offering, depending on the availability of appropriate investment opportunities consistent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with our investment objective and market conditions. We cannot assure you that we will achieve</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our targeted investment pace.</w:t>
            </w:r>
          </w:p>
        </w:tc>
      </w:tr>
      <w:tr>
        <w:trPr>
          <w:trHeight w:val="291"/>
        </w:trPr>
        <w:tc>
          <w:tcPr>
            <w:tcW w:w="410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Pending such investments, we will invest the net proceeds primarily in cash, cash equivalents,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U.S. government securities and other high-quality investments that mature in one year or less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from the date of investment. The Investment Adviser has agreed to waive the portion of the base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management fee payable on any net proceeds of this offering that have not yet been invested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portfolio investments, inclusive of any temporary investments in cash, cash equivalents, U.S.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government securities and other high-quality investment grade debt investments that mature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12 months or less from the date of investment. See “Regulation—Temporary Investments”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additional information about temporary investments we may make while waiting to make longer-</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term investments in pursuit of our investment objective.</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Adviser portion of Sales Load</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The Investment Adviser has agreed to pay the underwriters a portion of the sales load in the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amount of $2,010,000 ($2,311,500 if the underwriters exercise their overallotment option in full).</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(and indirectly our stockholders) will be obligated to repay this amount (a) if during any four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consecutive calendar quarter-periods ending on or after the one year anniversary of the closing of</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the offering, our Pre-Incentive Fee Net Investment Income equals or exceeds 1.75% (7.0%</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annualized) of our net assets at the beginning of such period (as adjusted for any issuances 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repurchases of shares of our common stock) or (b) upon our liquidation. If one or more of these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events does not occur on or before April 7, 2014, we will not be obligated to repay this amount.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will repay such amount to the Investment Adviser in cash, and the Investment Adviser has</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agreed to use such payment to purchase shares of our common stock in the secondary market.</w:t>
            </w:r>
          </w:p>
        </w:tc>
      </w:tr>
      <w:tr>
        <w:trPr>
          <w:trHeight w:val="161"/>
        </w:trPr>
        <w:tc>
          <w:tcPr>
            <w:tcW w:w="4100" w:type="dxa"/>
            <w:vAlign w:val="bottom"/>
            <w:tcBorders>
              <w:left w:val="single" w:sz="8" w:color="auto"/>
              <w:bottom w:val="single" w:sz="8" w:color="auto"/>
            </w:tcBorders>
          </w:tcPr>
          <w:p>
            <w:pPr>
              <w:spacing w:after="0"/>
              <w:rPr>
                <w:sz w:val="13"/>
                <w:szCs w:val="13"/>
                <w:color w:val="auto"/>
              </w:rPr>
            </w:pPr>
          </w:p>
        </w:tc>
        <w:tc>
          <w:tcPr>
            <w:tcW w:w="7360" w:type="dxa"/>
            <w:vAlign w:val="bottom"/>
            <w:tcBorders>
              <w:bottom w:val="single" w:sz="8" w:color="auto"/>
              <w:right w:val="single" w:sz="8" w:color="auto"/>
            </w:tcBorders>
          </w:tcPr>
          <w:p>
            <w:pPr>
              <w:spacing w:after="0"/>
              <w:rPr>
                <w:sz w:val="13"/>
                <w:szCs w:val="13"/>
                <w:color w:val="auto"/>
              </w:rPr>
            </w:pPr>
          </w:p>
        </w:tc>
      </w:tr>
      <w:tr>
        <w:trPr>
          <w:trHeight w:val="359"/>
        </w:trPr>
        <w:tc>
          <w:tcPr>
            <w:tcW w:w="4100" w:type="dxa"/>
            <w:vAlign w:val="bottom"/>
          </w:tcPr>
          <w:p>
            <w:pPr>
              <w:spacing w:after="0"/>
              <w:rPr>
                <w:sz w:val="24"/>
                <w:szCs w:val="24"/>
                <w:color w:val="auto"/>
              </w:rPr>
            </w:pPr>
          </w:p>
        </w:tc>
        <w:tc>
          <w:tcPr>
            <w:tcW w:w="7360" w:type="dxa"/>
            <w:vAlign w:val="bottom"/>
          </w:tcPr>
          <w:p>
            <w:pPr>
              <w:ind w:left="15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NASDAQ Global Market symbol</w:t>
            </w:r>
          </w:p>
        </w:tc>
        <w:tc>
          <w:tcPr>
            <w:tcW w:w="798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“PFLT”</w:t>
            </w:r>
          </w:p>
        </w:tc>
      </w:tr>
      <w:tr>
        <w:trPr>
          <w:trHeight w:val="426"/>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89"/>
              </w:rPr>
              <w:t>Shares of closed-end investment companies frequently trade at a discount to their net asset value.</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See “Risks relating to an investment in our common stock.”</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We intend to distribute monthly dividends to our common stockholders to the extent permitted</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under the 1940 Act. Our monthly dividends, if any, will be determined by our board of directors.</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See “Distributions” for more information.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We intend to elect to be treated, and intend to qualify annually, for federal income tax purposes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as a RIC commencing with our first taxable year ending after completion of this offering. As a</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RIC, we generally will not have to pay corporate-level federal income taxes on any ordinary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income or capital gains that we distribute to our stockholders as distributions. To obtain and</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maintain RIC status and the associated tax benefits, we must meet specified source-of-income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and asset diversification requirements and distribute annually at least 90% of our ordinary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89"/>
              </w:rPr>
              <w:t>income and realized net short-term capital gains in excess of realized net long-term capital losses,</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if any, to our stockholders. See “Material U.S. Federal Income Tax Considerations.”</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We currently anticipate utilizing leverage. The use of leverage is generally considered a</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speculative investment technique. We have received a commitment to arrange a Credit Facility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by STRH, which is expected to be provided by SunTrust Bank, an affiliate of STRH and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become effective shortly after this offering is completed. The Credit Facility is expected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initially provide for borrowings up to $200.0 million and is expected to expire in 2016. The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Credit Facility is expected to include an accordion feature whereby we will be allowed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increase the amount of the Credit Facility up to $600.0 million with the consent of the SunTrust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Bank and/or add new committed lenders with such parties’ consent. See “Business—Leverage”</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for more information.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This will be an “opt out”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 reinvestment plan. As a result, if we declare a dividend or other distribution, then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stockholders’ cash distributions will be reinvested automatically in additional shares of our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common stock, unless our stockholders specifically “opt out” of the dividend reinvestment plan,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so as to receive cash dividends or other distributions. Stockholders who receive distributions in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the form of shares of common stock will be subject to the same federal, state and local tax</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consequences as stockholders who elect to receive their distributions in cash. See “Dividend</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Reinvestment Plan.”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We will pay PennantPark Investment Advisers a fee for its services under the Investment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Management Agreement consisting of two components—a base management fee and an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incentive fee. The base management fee will be calculated at an annual rate of 1.00 percent of</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0"/>
              </w:rPr>
              <w:t>our gross assets. PennantPark Investment Advisers, however, has agreed to waive the portion of</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base management fee payable on</w:t>
            </w:r>
          </w:p>
        </w:tc>
      </w:tr>
      <w:tr>
        <w:trPr>
          <w:trHeight w:val="161"/>
        </w:trPr>
        <w:tc>
          <w:tcPr>
            <w:tcW w:w="3480" w:type="dxa"/>
            <w:vAlign w:val="bottom"/>
            <w:tcBorders>
              <w:left w:val="single" w:sz="8" w:color="auto"/>
              <w:bottom w:val="single" w:sz="8" w:color="auto"/>
            </w:tcBorders>
          </w:tcPr>
          <w:p>
            <w:pPr>
              <w:spacing w:after="0"/>
              <w:rPr>
                <w:sz w:val="13"/>
                <w:szCs w:val="13"/>
                <w:color w:val="auto"/>
              </w:rPr>
            </w:pPr>
          </w:p>
        </w:tc>
        <w:tc>
          <w:tcPr>
            <w:tcW w:w="7980" w:type="dxa"/>
            <w:vAlign w:val="bottom"/>
            <w:tcBorders>
              <w:bottom w:val="single" w:sz="8" w:color="auto"/>
              <w:right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7980" w:type="dxa"/>
            <w:vAlign w:val="bottom"/>
          </w:tcPr>
          <w:p>
            <w:pPr>
              <w:ind w:left="21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4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9"/>
              </w:rPr>
              <w:t>any net proceeds of this offering that have not yet been invested in portfolio investments,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inclusive of any temporary investments in cash, cash equivalents, U.S. government securities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other high-quality investment grade debt investments that mature in 12 months or less from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date of investment.</w:t>
            </w:r>
          </w:p>
        </w:tc>
      </w:tr>
      <w:tr>
        <w:trPr>
          <w:trHeight w:val="304"/>
        </w:trPr>
        <w:tc>
          <w:tcPr>
            <w:tcW w:w="324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The incentive fee will consist of two parts. The first part will be calculated and payable quarterly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in arrears based upon our “Pre-Incentive Fee Net Investment Income” for the immediately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preceding quarter, and will be subject to a Hurdle (as defined under “Fees and Expenses”) and a</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“catch-up” feature. The second part will be determined and payable in arrears as of the end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each calendar year (or upon termination of the Investment Management Agreement, as of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termination date) and will equal 20% of our realized capital gains on a cumulative basis from</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inception through the end of each calendar year, computed net of all realized capital losses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net unrealized capital depreciation on a cumulative basis, less the aggregate amount of any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previously paid capital gain incentive fees. See “Certain Relationships and Transactions—</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Investment Management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We will reimburse PennantPark Administration for the allocable portion of overhead and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expenses incurred by PennantPark Administration in performing its obligations under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Administration Agreement, including furnishing us with office facilities, equipment and clerical,</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bookkeeping and record keeping services at such facilities, as well as providing us with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administrative services. To the extent that our administrator outsources any of its functions, we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will pay the fees associated with such functions on a direct basis without profit to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administrator. See “Management—Administration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to as the “License Agreement,” pursuant to which PennantPark Investment Advisers has agreed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to grant us a non-exclusive license to use the name “PennantPark.” For a description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PennantPark Investment Advisers, PennantPark Administration and our contractual arrangements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with these companies, see “Certain Relationships and Transactions—Investment Management</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Agreement,” “—Administration Agreement” and “—License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Our board of directors is divided into three classes of directors serving staggered three-year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terms. This structure is intended to increase the likelihood of continuity of management, which</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may be necessary for us to realize the full value of our investments. A staggered board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directors also may serve to deter hostile takeovers or proxy contests, as may certain other</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measures adopted by us. See “Description of Our Capital Stock.”</w:t>
            </w:r>
          </w:p>
        </w:tc>
      </w:tr>
      <w:tr>
        <w:trPr>
          <w:trHeight w:val="161"/>
        </w:trPr>
        <w:tc>
          <w:tcPr>
            <w:tcW w:w="324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58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value of our assets, as well as the market price of our shares, will fluctuate. You may lose all or part of your investment. Investing in PennantPark Floating Rate Capital involves other risks, including the following:</w:t>
      </w:r>
    </w:p>
    <w:p>
      <w:pPr>
        <w:spacing w:after="0" w:line="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new company with a limited operating history.</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 could be significantly harmed.</w:t>
      </w:r>
    </w:p>
    <w:p>
      <w:pPr>
        <w:spacing w:after="0" w:line="62"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operate in a highly competitive market for investment opportunities.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are a non-diversified fund.</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400" w:right="440"/>
        <w:spacing w:after="0" w:line="332" w:lineRule="auto"/>
        <w:rPr>
          <w:sz w:val="20"/>
          <w:szCs w:val="20"/>
          <w:color w:val="auto"/>
        </w:rPr>
      </w:pPr>
      <w:r>
        <w:rPr>
          <w:rFonts w:ascii="Arial" w:cs="Arial" w:eastAsia="Arial" w:hAnsi="Arial"/>
          <w:sz w:val="16"/>
          <w:szCs w:val="16"/>
          <w:color w:val="auto"/>
        </w:rPr>
        <w:t>See “Risk Factors” beginning on page 16 for more information on these and other risks you should carefully consider before deciding to invest in shares of our common stock.</w:t>
      </w:r>
    </w:p>
    <w:p>
      <w:pPr>
        <w:sectPr>
          <w:pgSz w:w="11900" w:h="16838" w:orient="portrait"/>
          <w:cols w:equalWidth="0" w:num="1">
            <w:col w:w="11260"/>
          </w:cols>
          <w:pgMar w:left="240" w:top="459" w:right="39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have filed with the SEC a registration statement on Form N-2 under the Securities Act of 1933, as amended, or the “Securities Act,” which contains additional information about us and the shares of our common stock being offered by this prospectus. After completion of this 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6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line="28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information available, free of charge, on or through our website. You may also obtain such information by contacting us, in writing at:</w:t>
      </w:r>
    </w:p>
    <w:p>
      <w:pPr>
        <w:spacing w:after="0" w:line="1" w:lineRule="exact"/>
        <w:rPr>
          <w:sz w:val="20"/>
          <w:szCs w:val="20"/>
          <w:color w:val="auto"/>
        </w:rPr>
      </w:pPr>
    </w:p>
    <w:p>
      <w:pPr>
        <w:ind w:left="4400" w:right="100"/>
        <w:spacing w:after="0" w:line="261" w:lineRule="auto"/>
        <w:rPr>
          <w:sz w:val="20"/>
          <w:szCs w:val="20"/>
          <w:color w:val="auto"/>
        </w:rPr>
      </w:pPr>
      <w:r>
        <w:rPr>
          <w:rFonts w:ascii="Arial" w:cs="Arial" w:eastAsia="Arial" w:hAnsi="Arial"/>
          <w:sz w:val="18"/>
          <w:szCs w:val="18"/>
          <w:color w:val="auto"/>
        </w:rPr>
        <w:t>590 Madison Avenue, 15th Floor, New York, New York 10022, Attn: Chief Financial Officer, or by telephone at (212) 905-1000.</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 6,700,000 shares of common stock in this offering. If we issue fewer common shares, all other things being equal, these expenses would increase as a percentage of net assets attributable to common stock. The following tables do not include the underwriters’ overallotment option of 1,005,000 shares of our common stock.</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Stockholder Transaction Expenses (as a percentage of common share offering price)</w:t>
            </w: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load</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7.00%</w:t>
            </w:r>
            <w:r>
              <w:rPr>
                <w:rFonts w:ascii="Arial" w:cs="Arial" w:eastAsia="Arial" w:hAnsi="Arial"/>
                <w:sz w:val="11"/>
                <w:szCs w:val="11"/>
                <w:color w:val="auto"/>
                <w:w w:val="92"/>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Offering Expenses</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0.65%</w:t>
            </w:r>
            <w:r>
              <w:rPr>
                <w:rFonts w:ascii="Arial" w:cs="Arial" w:eastAsia="Arial" w:hAnsi="Arial"/>
                <w:sz w:val="11"/>
                <w:szCs w:val="11"/>
                <w:color w:val="auto"/>
                <w:w w:val="92"/>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3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stockholder transaction expenses</w:t>
            </w: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3660" w:type="dxa"/>
            <w:vAlign w:val="bottom"/>
            <w:gridSpan w:val="2"/>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3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Estimated Annual Expenses (as a percentage of net assets attributable to common stock):</w:t>
            </w:r>
          </w:p>
        </w:tc>
        <w:tc>
          <w:tcPr>
            <w:tcW w:w="30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1.80%</w:t>
            </w:r>
            <w:r>
              <w:rPr>
                <w:rFonts w:ascii="Arial" w:cs="Arial" w:eastAsia="Arial" w:hAnsi="Arial"/>
                <w:sz w:val="11"/>
                <w:szCs w:val="11"/>
                <w:color w:val="auto"/>
                <w:w w:val="92"/>
              </w:rPr>
              <w:t>(4)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2"/>
              </w:rPr>
              <w:t>Incentive fees payable under the Investment Management Agreement</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0.00%</w:t>
            </w:r>
            <w:r>
              <w:rPr>
                <w:rFonts w:ascii="Arial" w:cs="Arial" w:eastAsia="Arial" w:hAnsi="Arial"/>
                <w:sz w:val="11"/>
                <w:szCs w:val="11"/>
                <w:color w:val="auto"/>
                <w:w w:val="92"/>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2.05%</w:t>
            </w:r>
            <w:r>
              <w:rPr>
                <w:rFonts w:ascii="Arial" w:cs="Arial" w:eastAsia="Arial" w:hAnsi="Arial"/>
                <w:sz w:val="11"/>
                <w:szCs w:val="11"/>
                <w:color w:val="auto"/>
                <w:w w:val="92"/>
              </w:rPr>
              <w:t>(6)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expenses</w:t>
            </w:r>
          </w:p>
        </w:tc>
        <w:tc>
          <w:tcPr>
            <w:tcW w:w="3660" w:type="dxa"/>
            <w:vAlign w:val="bottom"/>
            <w:gridSpan w:val="2"/>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w w:val="92"/>
              </w:rPr>
              <w:t>2.11%</w:t>
            </w:r>
            <w:r>
              <w:rPr>
                <w:rFonts w:ascii="Arial" w:cs="Arial" w:eastAsia="Arial" w:hAnsi="Arial"/>
                <w:sz w:val="11"/>
                <w:szCs w:val="11"/>
                <w:color w:val="auto"/>
                <w:w w:val="92"/>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36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our common stock, assuming (1) a 7.00% sales load (underwriting discounts and commissions) and offering expenses totaling 0.65%, (2) total estimated annual expenses of 5.96% of net assets attributable to our common stock as set forth in the table above (other than performance-based incentive fees) and (3) a 5% annual return.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3 Years</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5 Years</w:t>
            </w: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$ 131</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$ 239</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$ 345</w:t>
            </w:r>
          </w:p>
        </w:tc>
        <w:tc>
          <w:tcPr>
            <w:tcW w:w="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601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we may be obligated in the future to repay the portion of the sales load paid by the Investment Adviser. See “Obligations and Indebtedness” for more information. Because we may be required to repay this portion of the sales load in the future, the example assumes inclusion of the sales load of 7.00% in the first year and reinvestment of all dividends and other distributions at net asset value. The underwriters have agreed to reimburse us for $350,000 of the estimated $1,000,000 of offering expenses we expect to incur in connection with this offering.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more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89"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underwriting discount and commission (the sales load) with respect to shares to be sold in this offering, which is a one-time fee, is the only sales load payable in connection with this offering. The Investment Adviser has agreed to pay the underwriters $2,010,000 of this sales load ($2,311,500 if the underwriters exercise their overallotment option in full). We (and indirectly our stockholders) will be obligated to repay this amount (a) if during any four consecutive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reflects estimated offering expenses of approximately $1,000,000 less $350,000, which the underwriters have agreed to reimburse us.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“Certain Relationships and Transactions—Investment Management Agreement” for more information.</w:t>
      </w:r>
    </w:p>
    <w:p>
      <w:pPr>
        <w:spacing w:after="0" w:line="34"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During our first year of operations following consummation of this offering, we expect that we will not have any capital gains and will only have interest income that exceeds our quarterly hurdle rate discussed below during the second half of our first year of operations following consummation of this offering. The incentive fee consists of two parts:</w:t>
      </w:r>
    </w:p>
    <w:p>
      <w:pPr>
        <w:spacing w:after="0" w:line="112"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5"/>
          <w:szCs w:val="15"/>
          <w:color w:val="auto"/>
        </w:rPr>
        <w:t>The first part, which will be payable quarterly in arrears, commencing with the period ending June 30, 2011, will equal 20% of the excess, if any, of our “Pre-Incentive Fee Net Investment Income” (as defined below) that exceeds a 1.75% quarterly (7.00% annualized) hurdle rate, which we refer to as the Hurdle, subject to a “catch-up” provision, measured at the end of each calendar quarter. The first part of the incentive fee is computed and paid on income that may include interest that is accrued but not yet received in cash. The operation of the first part of the incentive fee for each quarter is as follows:</w:t>
      </w:r>
    </w:p>
    <w:p>
      <w:pPr>
        <w:spacing w:after="0" w:line="16" w:lineRule="exact"/>
        <w:rPr>
          <w:rFonts w:ascii="Arial" w:cs="Arial" w:eastAsia="Arial" w:hAnsi="Arial"/>
          <w:sz w:val="16"/>
          <w:szCs w:val="16"/>
          <w:color w:val="auto"/>
        </w:rPr>
      </w:pPr>
    </w:p>
    <w:p>
      <w:pPr>
        <w:ind w:left="900" w:right="20" w:hanging="325"/>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incentive fee is payable to the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900" w:right="220" w:hanging="325"/>
        <w:spacing w:after="0" w:line="294"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50.0% of our Pre-Incentive Fee Net Investment Income with respect to that portion of such Pre-Incentive Fee Net Investment Income, if any, that exceeds the Hurdle but is less than 2.9167% in any calendar quarter (11.67% annualized) is payable to the Investment Adviser. We refer to this portion of our Pre-Incentive Fee Net Investment Income (which exceeds the Hurdle but is less than 2.9167%) as the “catch-up.” The “catch-up” is meant to provide the Investment Adviser with 20% of our Pre-Incentive Fee Net Investment Income, as if a Hurdle did not apply when our Pre-Incentive Fee Net Investment Income exceeds 2.9167% in any calendar quarter; and</w:t>
      </w:r>
    </w:p>
    <w:p>
      <w:pPr>
        <w:spacing w:after="0" w:line="34"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2.9167% in any calendar quarter (11.67% annualized) is payable to the Investment Adviser (once the Hurdle is reached and the catch-up is achieved, 20.0% of all Pre-Incentive Fee Investment Income thereafter is allocated to the Investment Adviser).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The second part of the incentive fee will be payable, in arrears, at the end of each calendar year (or upon termination of the Investment Management Agreement, as of the termination date), commencing with the period ending December 31, 2011. See “Certain Relationships and Transactions–Investment Management Agreement” for more information.</w:t>
      </w:r>
    </w:p>
    <w:p>
      <w:pPr>
        <w:spacing w:after="0" w:line="116" w:lineRule="exact"/>
        <w:rPr>
          <w:sz w:val="20"/>
          <w:szCs w:val="20"/>
          <w:color w:val="auto"/>
        </w:rPr>
      </w:pPr>
    </w:p>
    <w:p>
      <w:pPr>
        <w:ind w:left="460" w:right="2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The costs associated with our outstanding borrowings will be indirectly borne by our investors.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our compliance with applicable requirements under the 1940 Act.</w:t>
      </w:r>
    </w:p>
    <w:p>
      <w:pPr>
        <w:spacing w:after="0" w:line="37"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were incorporated in October 2010. We are subject to all of the business risks and uncertainties associated with any new business, including the risk that we will not achieve our investment objective and that the value of your investment could decline substantially. It could take us three to six months to invest substantially all of the net proceeds of this offering in accordance with our investment objective, depending on the availability of appropriate investment opportunities consistent with our investment objective and market conditions. We expect that it may take up to one year to invest all of the net proceeds of this offering, in part because privately negotiated investments in illiquid securities or private middle-market companies require substantial due diligence and structuring. During this period, we will invest the net proceeds of this offering in short-term investments, such as cash and cash equivalents, and we expect we will earn yields substantially lower than the interest income that we anticipate receiving in respect of investments in Floating Rate Loans. As a result, any distributions we make during this period may be substantially lower than the distributions that we expect to pay when our portfolio is fully invested.</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will generally not be able to issue additional shares of our common stock at a price less than our net asset value without first obtaining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approval for such issuance from our stockholders and our independent directors. Additionally, our ability to incur indebtedness will be limited by applicable regulations, such that our asset coverage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than those estimated within this prospectus.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required to repay in cash the amount paid to the underwriters by the Investment Adviser, we may have to realize losses, and the amount that we have available for investment may be reduced.</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 If we are obligated to repay this amount to the Investment Adviser in cash while making distributions to our stockholders necessary to maintain our RIC status and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will incur credit risk when it loans money or commits to loan money to a portfolio company.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primary business will expose us to credit risk, and the quality of our portfolio will have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a business development company, we will be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determination of our board of directors, then,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1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invest in Floating Rate Loans, which may involve a high degree of repayment risk. We intend to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b w:val="1"/>
          <w:bCs w:val="1"/>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the Investment Adviser. We will also depend, to a significant extent, on PennantPark Investment Advisers’ access to the investment information and deal flow generated by these investment professionals and any others that may be hired by the Investment Adviser. Managers of the Investment Adviser will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the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ability to achieve our investment objectives will depend on our ability to grow, which will depend, in turn, on the Investment Adviser’s ability to identify, invest in and monitor companies that meet our investment criteria. Accomplishing this result on a cost-effective basis will be largely a function of the Investment Adviser’s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structuring of the investment process, its ability to provide competent, attentive and efficient services to us and our access to financing on acceptable terms. The management team of PennantPark Investment Advisers will have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business development companies,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operate in a highly competitive market for investment opportunities.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will make in middle-market companies. We will compete with public and private funds, including other business development companies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While PennantPark Investment Advisers has identified an initial group of potential investments for our portfolio, we have not identified the entire portfolio that we will acquire with the proceeds of the offering. Also, the Investment Adviser will evaluate investments consistent with its selection process and may take up to one year to fully deploy such proceeds from an offering. As a result, we will invest our funds in temporary investments such as cash, cash equivalents, U.S. government securities and other high-quality investment grade securities that mature in one year or less from the date of investment. The income earned on such investments will be significantly less than what we would earn on investments in Floating Rate Loans and other investments contemplated within this prospectus.</w:t>
      </w:r>
    </w:p>
    <w:p>
      <w:pPr>
        <w:spacing w:after="0" w:line="175"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4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 which could have a material adverse effect on our business, financial condition and results of operations.</w:t>
      </w:r>
    </w:p>
    <w:p>
      <w:pPr>
        <w:spacing w:after="0" w:line="4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elected to be treated as a business development company. If we do not remain a business development company,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we will have to pay corporate-level taxes on all of our income whether or not we distribute it, which would substantially reduce our net assets and the amount of income available for debt service as well as reduce and/or affect the character and amount of our distributions to our stockholders. Such a failure would have a material adverse effect on us and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stockholders in the next year equal to 4% of the undistributed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“OID,”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right="4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additional common stock to finance our operations rather than issuing debt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senior securities. As a business development company, we will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registration statement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significant dilution.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An inability to successfully securitize our loan portfolio could limit our ability to grow our business and fully execute our business strategy and materially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will monitor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directors of PennantPark Investment Corp., a publicly-traded business development company.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PennantPark Investment Corp.,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must reimburse this amount under certain circumstances. See “Obligations and Indebtedness.”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borrowed funds to make investments and will be exposed to the typical risks associated with 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borrow funds to make investments we will be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will be restricted when our asset coverage ratio is not at least 200%, and any amounts that we use to service our indebtedness will not be available for distribution to our common stockholders.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use of debt would be governed by the terms of a credit facility or an indenture or other instrument containing covenants restricting our operating flexibility. We, and indirectly our stockholders, will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intend to enter into the Credit Facility shortly after completing this offering, which we expect to initially provide us with up to $200.0 million in available borrowings.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will be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is designed to illustrate the effect of leverage on the return an investor in our common stock would experience, assuming a debt to gross asset ratio of 44% and a weighted average annual interest rate of 2.56% and investment portfolio total returns (comprised of income and changes in the value of securities held in our portfolio) of –10%, –5%, 0%, 5% and 10%. These assumed investment portfolio returns are hypothetical figures and are not necessarily indicative of the investment portfolio returns that we may experience. The table assumes that we will maintain a constant level and weighted average rate of leverage. The amount of leverage that we use will vary from time to time. As can be seen, leverage generally increases the return of stockholders when the portfolio return is positive and decreases when the portfolio return is negative. Actual returns may be greater or less than those appearing in the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-10%</w:t>
            </w:r>
          </w:p>
        </w:tc>
        <w:tc>
          <w:tcPr>
            <w:tcW w:w="46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0%</w:t>
            </w:r>
          </w:p>
        </w:tc>
        <w:tc>
          <w:tcPr>
            <w:tcW w:w="4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be exposed to risks associated with changes in interest rates that may materially adversely affect our cost of capital and net investment income.</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we will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materially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particularly since we intend to invest in Floating Rate Loans. Accordingly, an increase in interest rates would make it easier for us to meet or exceed the incentive fee hurdle and may result in a substantial increase of the amount of incentive fees payable to the Investment Adviser with respect to Pre-Incentive Fee Net Investment Income.</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 material adverse impact on our net interest income. An increase in interest rates could decrease the value of any investments we will hold which earn fixed interest rates and will increase our interest expense on any variable rate borrowings, thereby decreasing our net income. Also, an increase in interest rates available to investors could make investment in our common stock less attractive if we are not able to increase our dividend rate, which could materially reduce the value of our common stock.</w:t>
      </w:r>
    </w:p>
    <w:p>
      <w:pPr>
        <w:spacing w:after="0" w:line="17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Preferred stock, which is another form of leverage, has similar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will ultimately be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which could have a material adverse effect on our business, financial condition on results of operations.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under the 1940 Act certain matters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materially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materially adversely affect our business and impact our ability to make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intend to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most, if not all, of our investments will be recorded using broker/dealers quotes or at fair value as determined in good faith by our board of directors. We expect that primarily most, if not all, of our investments (other than cash and cash equivalents) and, if we elect to fair value the Credit Facility, such borrowings,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will generally obtain financial and other information from portfolio companies, which may represent unaudited, projected or pro forma financial information. Unlike banks, we will not be permitted to provide a general reserve for anticipated loan losses; we will instead be required by the 1940 Act to specifically fairly value each individual investment on a quarterly basis. We will record unrealized appreciation if we believe that the underlying portfolio company has appreciated in value. Likewise, we will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adjust the valuation of our portfolio quarterly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will be recorded in the statement of operations as net change in unrealized appreciation or depreciation.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expects to use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materially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materially adversely affect our business.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may exit such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the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of middle-market companies.</w:t>
      </w:r>
    </w:p>
    <w:p>
      <w:pPr>
        <w:spacing w:after="0" w:line="90" w:lineRule="exact"/>
        <w:rPr>
          <w:sz w:val="20"/>
          <w:szCs w:val="20"/>
          <w:color w:val="auto"/>
        </w:rPr>
      </w:pPr>
    </w:p>
    <w:p>
      <w:pPr>
        <w:ind w:left="900" w:right="16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The Floating Rate Loans we intend to invest in will usually be rated below investment grade or may also be unrated.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described elsewhere in this prospectus, including liquidity risk and the risk of investing in below investment-grade, variable rate securities.</w:t>
      </w:r>
    </w:p>
    <w:p>
      <w:pPr>
        <w:spacing w:after="0" w:line="3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Floating Rate Loans are subject to the risk of non-payment of scheduled interest or principal. Such non-payment would result in a reduction of income to us, a reduction in the value of the investment and a potential decrease in the net asset value of the Floating Rate Loan. There can be no assurance that the liquidation of any collateral securing a Floating Rate Loan would satisfy the borrower’s obligation in the event of non-payment of scheduled interest or principal payments, or that the collateral could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could materially negatively affect our performance.</w:t>
      </w:r>
    </w:p>
    <w:p>
      <w:pPr>
        <w:spacing w:after="0" w:line="24"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PennantPark Floating Rate Capital being exposed to greater credit or fraud risk with respect to such Floating Rate Loans than we expected when initially purchasing the participation.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the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identified all of the portfolio companies we will invest in using the proceeds of this offering.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the Investment Adviser’s investment team has identified an initial group of potential investments for our portfolio, we have not yet identified all of the additional potential investments for our portfolio that we will acquire with the proceeds of the offering. Additionally, the Investment Adviser will select our investments subsequent to the closing of this offering, and our stockholders will have no input with respect to such investment decisions. These factors increase the uncertainty, and thus the risk, of investing in our common stock. In addition, pending such investments, we will invest the net proceeds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senior loans we intend to target for investment, and if we are not able to identify or gain access to suitable investments, our income may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1940 Act we will be allowed invest up to 30% of our assets in investments that are not qualifying assets for business development companies.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invest a sufficient portion of our assets in qualifying assets, we could be precluded from investing in assets that we deem to be attractive.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will not be allowed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will not be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will not be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When we invest in mezzanine loans or senior secured loans, we may also invest in the equity securities of the borrower or acquire warrants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Accordingly, we may not be able to realize gains from our equity interests, and any gains that we do realize on the disposition of any equity interests may not be sufficient to offset any other losses we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b w:val="1"/>
          <w:bCs w:val="1"/>
          <w:color w:val="auto"/>
        </w:rPr>
        <w:t>Because we will not generally hold controlling equity interests in our portfolio companies, we will not be in a position to exercise control over our portfolio companies or to prevent decisions by management of our portfolio companies that could materially decrease the value of our investments.</w:t>
      </w:r>
    </w:p>
    <w:p>
      <w:pPr>
        <w:jc w:val="both"/>
        <w:ind w:right="80" w:firstLine="456"/>
        <w:spacing w:after="0" w:line="323" w:lineRule="auto"/>
        <w:rPr>
          <w:sz w:val="20"/>
          <w:szCs w:val="20"/>
          <w:color w:val="auto"/>
        </w:rPr>
      </w:pPr>
      <w:r>
        <w:rPr>
          <w:rFonts w:ascii="Arial" w:cs="Arial" w:eastAsia="Arial" w:hAnsi="Arial"/>
          <w:sz w:val="15"/>
          <w:szCs w:val="15"/>
          <w:color w:val="auto"/>
        </w:rPr>
        <w:t>Because we will not, generally, have controlling equity positions in our portfolio companies, we will be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expect to hold in our portfolio companies, we may not be able to dispose of our investments in the event we disagree with the actions of a portfolio company, and may therefore suffer a material decrease in the value of our investments.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the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the Investment Adviser is calculated based on a percentage of our return on invested capital. This may encourage the Investment Adviser to use leverage to increase the return on our investments. Under certain circumstances, the use of leverage may increase the likelihood of default, which would disfavor the holders of our common stock.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our incentive fee payable by us to PennantPark Investment Advisers that relates to our investment income is computed and paid on income that may include interest that has been accrued but that has not yet been received in cash. If a portfolio company defaults on a loan structured to provide accrued interest, it is possible that the accrued interest previously used in the calculation of the incentive fee will become uncollectible.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the Investment Adviser incentive compensation even if we incur a loss.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Investment Adviser is entitled to incentive compensation for each fiscal quarter in an amount equal to a percentage of the excess of our income for that quarter minus our operating expenses for the quarter above a threshold return for that quarter. Our Pre-Incentive Fee Net Investment Income for incentive compensation purposes excludes realized capital losses and unrealized capital depreciation that we may incur in the fiscal quarter, even if such capital losses result in a net loss on our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investment strategy contemplates potential investments in debt securities of companies located outside of the United States. Investing in companies located outside of the United States may expose us to additional risks not typically associated with investing in U.S. companies. These risks include changes in exchange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were formed in October 2010 and have not yet commenced investment operations. As a result of a lack of operating history, we are subject to many of the business risks and uncertainties associated with recently formed businesses, including the risk that we will not achieve our investment objective and that the value of your investment could decline substantially.</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materially decline.</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will be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will be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currently do not intend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a substantial discount from net asset value and may continue to do so over the long term.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Shares of business development companies have frequently traded at a market price that is less than the net asset value that is attributable to those shares. The possibility that our shares of common stock will trade at a discount from net asset value over the long term is separate and distinct from the risk that our net asset value will decrease. It is not possible to predict whether our shares will trade at, above or below net asset value in the future. If our common stock trades below its net asset value, we will generally not be able to issue additional shares or sell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qualification as a RIC or 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the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 material adverse effect on the market price of our securities.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materially impair our ability to raise additional capital through the sale of securities should we desire to do so.</w:t>
      </w:r>
    </w:p>
    <w:p>
      <w:pPr>
        <w:spacing w:after="0" w:line="160" w:lineRule="exact"/>
        <w:rPr>
          <w:sz w:val="20"/>
          <w:szCs w:val="20"/>
          <w:color w:val="auto"/>
        </w:rPr>
      </w:pPr>
    </w:p>
    <w:p>
      <w:pPr>
        <w:ind w:right="280"/>
        <w:spacing w:after="0" w:line="338"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w:t>
      </w:r>
    </w:p>
    <w:p>
      <w:pPr>
        <w:spacing w:after="0" w:line="195" w:lineRule="exact"/>
        <w:rPr>
          <w:sz w:val="20"/>
          <w:szCs w:val="20"/>
          <w:color w:val="auto"/>
        </w:rPr>
      </w:pPr>
    </w:p>
    <w:p>
      <w:pPr>
        <w:ind w:right="800"/>
        <w:spacing w:after="0" w:line="338" w:lineRule="auto"/>
        <w:rPr>
          <w:sz w:val="20"/>
          <w:szCs w:val="20"/>
          <w:color w:val="auto"/>
        </w:rPr>
      </w:pPr>
      <w:r>
        <w:rPr>
          <w:rFonts w:ascii="Arial" w:cs="Arial" w:eastAsia="Arial" w:hAnsi="Arial"/>
          <w:sz w:val="16"/>
          <w:szCs w:val="16"/>
          <w:b w:val="1"/>
          <w:bCs w:val="1"/>
          <w:color w:val="auto"/>
        </w:rPr>
        <w:t>The Investment Adviser can resign upon 60 days’ notice, and we may not be able to find a suitable replacement within that time, resulting in a disruption in our operations that could materially adversely affect our financial condition, business and results of operations.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Investment Adviser has the right, under the Investment Management Agreement, to resign at any time upon 60 days’ written notice, whether we have found a replacement or not. If the Investment Adviser resigns, we may not be able to find a new investment adviser or hire internal management with similar expertise and 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 In addition, the coordination of our internal management and investment activities is likely to suffer if we are unable to identify and reach an agreement with a single institution or group of executives having the expertise possessed by the Investment Adviser and its affiliates. Even if we are able to retain comparable management, whether internal or external, the integration of such management and their lack of familiarity with our investment objective may result in additional costs and time delays that may materially adversely affect our financial condition,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costs as a result of being a publicly traded company.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publicly traded company, we will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We estimate that the net proceeds we will receive from the sale of 6,700,000 shares of our common stock in this offering will be approximately</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$94.8 million, or approximately $109.1 million if the underwriters fully exercise their over-allotment option, in each case assuming an initial public offering price of $15.00 per share after deducting the underwriting discounts and commissions of $5,025,000 payable by us ($5,778,750 if the underwriters fully exercise their over-allotment option) (excluding a portion of the sales load in the amount of $2,010,000 ($2,311,500 if the underwriters fully exercise their over-allotment option) that the Investment Adviser has agreed to pay to the underwriters and estimated offering expenses of approximately $650,000 payable by us). The underwriters have agreed to reimburse us for $350,000 of the estimated $1,000,000 of offering expenses we expect to incur in connection with this offering.</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capitalization of PennantPark Floating Rate Capital at March 4, 2011; and</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capitalization of PennantPark Floating Rate Capital as-adjusted to reflect the sale of 6,700,000 shares of our common stock in this offering at a public offering price of $15.00 per share, after deducting the underwriting discounts and commissions and estimated offering expenses of approximately $650,000 payable by us. The underwriters have agreed to reimburse us for $350,000 of the estimated $1,000,000 of offering expenses we expect to incur in connection with this offering.</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March 4,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4"/>
              </w:rPr>
              <w:t>Actual</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1"/>
                <w:szCs w:val="11"/>
                <w:b w:val="1"/>
                <w:bCs w:val="1"/>
                <w:color w:val="auto"/>
              </w:rPr>
              <w:t>As-Adjusted</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par value $0.001 per share; 100,000,000 shares authorized; 667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actual; 6,700,667 shares outstanding, as adjusted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9,999</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94,828,299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3980" w:hanging="5612"/>
        <w:spacing w:after="0" w:line="44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of 1,005,000 shares of our common stock. 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potential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March 4, 2011, our net asset value was $10,000, or approximately $15.00 per share. After giving effect to the sale of the shares to be sold in this offering, and the deduction of discounts and estimated offering expenses, our as-adjusted net asset value would be approximately $94.8 million, or $14.15 per share, representing an immediate dilution of $0.85 per share, or 5.65%, to shares sold in this offering. The underwriters have agreed to reimburse us for $350,000 of the estimated $1,000,000 of offering expenses we expect to incur in connection with this offering. The following illustration assumes no exercise of the underwriters’ over-allotment option. If the underwriters’ over-allotment is exercised in full, there would be an immediate dilution to the net asset value of $0.83 per share, or 5.56%, to the shares sold in this offering.</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March 4, 2011 net asset value per share immediately prior to this offering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As-adjusted net asset value per share immediately after this offering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w w:val="94"/>
              </w:rPr>
              <w:t>Dilution per share to stockholders participating in this offering (without exercise of the over-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allotment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20" w:type="dxa"/>
            <w:vAlign w:val="bottom"/>
            <w:gridSpan w:val="2"/>
          </w:tcPr>
          <w:p>
            <w:pPr>
              <w:jc w:val="right"/>
              <w:ind w:right="27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newly organized externally managed finance company. We were formed on October 28, 2010 as a Maryland corporation structured as an externally managed, non-diversified closed-end management investment company. We have elected to be treated as a business development company under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newly-formed funds of comparable size.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consummation of each investment will, however, depend upon obtaining mutually satisfactory pricing terms, the execution and delivery of final binding agreements and the completion of final due diligence.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OID and market discount or premium are capitalized, and we will accrete or amortize such amounts as income. We will record prepayment premiums on loans and debt securities as income. Dividend income, if any, will be recognized on an accrual basis on the ex-dividend date to the extent that we expect to collect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enter into interest rate hedging agreements. To the extent that any of our investments are denominated in a currency other than U.S. dollars, we may enter into currency hedging contracts to reduce our exposure to fluctuations in currency exchange rates.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U.S. generally accepted accounting principles,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will generally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expect that there will not be readily available market values for most, if not all, of the investments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1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then amortize such amounts as interest income or expense as applicable. We will record prepayment premiums on our investments as income. Dividend income, if any, will be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intend to borrow funds subsequent to this offering under the Credit Facility,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us and our stockholders, though we have not decided the extent to which we will finance portfolio investment using debt. See “Business—Leverage” and “Material U.S. Federal Income Tax Considerations.” In the future, we may also securitize a portion of our investments. In the future, we may also obtain additional borrowings from banks and issue senior securities.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$94.8 million or $109.1 million if the underwriters’ over-allotment option is fully exercised and no indebtedness.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will enter into certain contracts under which we will have material future commitments. Under the Investment Management Agreement, PennantPark Investment Advisers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 See “Certain Relationships and Transactions—Investment Management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 See “Certain Relationships and Transactions—Administration Agreement.”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 Adviser has agreed to pay to the underwriters 2% of the sales load, or $2,010,000 ($2,311,500 if the underwriters exercise their overallotment option in full) in the aggregate, with respect to this offering of shares of our common stock. We will be obligated to repay this amount under certain circumstances. See “Obligations and Indebtedness.”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the Code, beginning with our first taxable year ending after completion of this offering.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filed an election to be treated as a business development company under the Investment Company Act of 1940, as amended, or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Investment Adviser also acts as investment adviser, although there may be overlap in terms of targeted investments for us and such other entity. Floating Rate Loans are typically made to U.S. and, to a limited extent, non-U.S. corporations, partnerships and other business entities which operate in various industries and geographical regions. Portfolio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collateralized debt obligations, or “CDOs” (including synthetic CLOs or CDOs), asset-backed securities, repurchase agreements, reverse repurchase agreements, cash and cash equivalents, swaps options, futures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portfolio companies across a broad range of industries and of varying characteristics and return profiles.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and BDCs. In addition to furnishing us with clerical, bookkeeping and record keeping services, the Administrator will also oversee our financial records as well as the preparation of our reports to stockholders and reports filed with the SEC. The Administrator will oversee the determination and publication of our net asset value, oversee the preparation and filing of our tax returns, and monitor the payment of our expenses as well as the performance of administrative and professional services rendered to us by others. Furthermore, the Administrator will provide, on our behalf, managerial assistance to those portfolio companies to which we are required to offer such assistance. See “Risk Factors—Risks Relating to our Business and Structure.”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executive officers and directors, as well as the current and future senior professionals of the Investment Adviser and Administrator, may serve as officers, directors or principals of entities that operate in the same or a related line of business as we do. Currently, the executive officers and directors, as well as the current senior professionals of the Investment Adviser and Administrator, serve as officers and directors of PennantPark Investment Corporation, a publicly-traded BDC. Accordingly, they may have obligations to investors in those entities, including to investors of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may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be forced to choose which investment fund should receive the allocation.</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co-invest on a concurrent basis with PennantPark Investment Corporation,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jc w:val="both"/>
        <w:ind w:left="46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jc w:val="both"/>
        <w:ind w:left="460" w:right="2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needs of a company while also generating attractive risk-adjusted returns. We can invest in any part of a capital structure and the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many of our competitors are not subject to the regulatory restrictions that the 1940 Act will impose on us as a business development company.</w:t>
      </w:r>
    </w:p>
    <w:p>
      <w:pPr>
        <w:spacing w:after="0" w:line="1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currently anticipate utilizing leverage. We have received a commitment to arrange the Credit Facility, which is expected to become effective shortly after this offering is completed. We intend to use borrowings under the Credit Facility to invest in portfolio companies. The Credit Facility is expected to initially provide us up to $200.0 million in available borrowings and is expected to expire in 2016. The Credit Facility is expected to include an accordion feature whereby we will be allowed to increase the amount of the Credit Facility up to $600.0 million. The Credit Facility is expected to have a revolving period of 36 months. The base lending rate for borrowings under the Credit Facility is expected to be LIBOR plus (i) 2.25% while the Credit Facility is in its revolving period and</w:t>
      </w:r>
    </w:p>
    <w:p>
      <w:pPr>
        <w:spacing w:after="0" w:line="2" w:lineRule="exact"/>
        <w:rPr>
          <w:sz w:val="20"/>
          <w:szCs w:val="20"/>
          <w:color w:val="auto"/>
        </w:rPr>
      </w:pPr>
    </w:p>
    <w:p>
      <w:pPr>
        <w:ind w:right="260" w:firstLine="8"/>
        <w:spacing w:after="0" w:line="261"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4.25% thereafter. We may also issue preferred stock and/or notes, enter into total return swaps, or other derivatives and borrow funds from banks and other financial institutions.</w:t>
      </w:r>
    </w:p>
    <w:p>
      <w:pPr>
        <w:spacing w:after="0" w:line="13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we pay to the Investment Adviser will be borne exclusively by our common stockholders. It is expected that preferred stockholders, noteholders and any lenders will not bear any of our expenses. Our leveraging strategy, if utilized, may not be successful.</w:t>
      </w:r>
    </w:p>
    <w:p>
      <w:pPr>
        <w:spacing w:after="0" w:line="10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expect that under the Credit Facility, we would be entitled to borrow an amount, initially up to $200.0 million, equal to approximately 50% of the company’s Managed Assets less any amounts of existing leverage, including from the issuance of preferred stock and/or notes. Any such borrowings would constitute financial leverage.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seek to create a diversified portfolio primarily of Floating Rate Loans, by initially targeting an investment size of $2 to $20 million, on average, in Floating Rate Loans of middle-market companies. We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investment size to vary proportionately with the size of our capital base. The companies in which we invest will typically be highly leveraged, and, in most cases, not rated by national rating agencies. If such companies were rated, we believe that they would typically receive a rating below investment grade (between</w:t>
      </w:r>
    </w:p>
    <w:p>
      <w:pPr>
        <w:ind w:right="40" w:firstLine="8"/>
        <w:spacing w:after="0" w:line="261"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CCC under the Standard &amp; Poor’s system) from the national rating agencies. In addition, we expect our debt investments to range in maturity from three to ten years.</w:t>
      </w:r>
    </w:p>
    <w:p>
      <w:pPr>
        <w:spacing w:after="0" w:line="13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will seek to minimize the risk of capital loss without foregoing potential for capital appreciation.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we will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Investment Adviser intends to invest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Investment Adviser intends to invest in portfolio companies 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Investment Adviser intends to focus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financial or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Investment Adviser will seek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will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The Investment Adviser will conduct a rigorous due diligence process that is applied to prospective portfolio companies and draws from the Investment Adviser’s experience, industry expertise and network of contacts. In conducting due diligence, the Investment Adviser will use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will include:</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will present the investment opportunity to the Investment Adviser’s investment committee. This committee will determine whether to pursue the potential investment. All new investments are required to be reviewed by the investment committee of our Investment Adviser. The members of the investment committee receive no compensation from us. These members are employees of the Investment Adviser and receive compensation from the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In this prospectus, “Managed Assets” means net assets plus any borrowings for investment purposes to the extent such a change would not affect our ability to maintain our election as a business development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structured relative to the other capital in the portfolio company’s capital structure.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Floating Rate Loans, 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Floating Rate Loans generally will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Investment Adviser will monitor our portfolio companies on an ongoing basis. The Investment Adviser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Assessment of success in adhering to the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Comparisons to other PennantPark Floating Rate Capital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First lien secured debt, subordinated debt and other debt investments with maturities greater than 60 days generally will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will be in our portfolio, and we will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will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will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board of directors also will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will be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will offer managerial assistance to our portfolio companies. As a business development company, we will be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currently have any employees. Our day-to-day investment operations will be managed by the Investment Adviser. The Investment Adviser and Administrator have hired and expect to continue to hire professionals with skills applicable to our business plan, including experience in middle-market investing, leveraged finance and capital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The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 of us, the Investment Adviser or Administrator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will generally seek to target companies that generate positive cash flows from the broad variety of industries in which the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Hotels, Motels, Inns and Gaming</w:t>
            </w:r>
          </w:p>
        </w:tc>
      </w:tr>
      <w:tr>
        <w:trPr>
          <w:trHeight w:val="365"/>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Arial" w:cs="Arial" w:eastAsia="Arial" w:hAnsi="Arial"/>
                <w:sz w:val="18"/>
                <w:szCs w:val="18"/>
                <w:color w:val="auto"/>
              </w:rPr>
              <w:t>63</w:t>
            </w:r>
          </w:p>
        </w:tc>
        <w:tc>
          <w:tcPr>
            <w:tcW w:w="4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w w:val="89"/>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64</w:t>
            </w:r>
          </w:p>
        </w:tc>
        <w:tc>
          <w:tcPr>
            <w:tcW w:w="38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board of directors is responsible for the overall supervision of our operations and will perform the various duties imposed on the directors of investment companies by the 1940 Act and applicable Maryland law.</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our directors is set out below, including their ages, their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occupations for at least the last five years, the length of time served,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6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1"/>
              </w:rPr>
              <w:t>Chief Executive Officer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Founder, Chairman and Chief Executive</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(2)</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 Chairman of the</w:t>
            </w: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Officer of PennantPark Investment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 Directors</w:t>
            </w: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2014</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since its inception in 2007. Mr. Penn also is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founder and Managing Member of PennantPark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Investment Advisers, LLC. Before founding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PennantPark, Mr. Penn was the co-founder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Apollo Investment Management, where he was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a Managing Partner from 2004 to 2007. He also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served as Chief Operating Officer of Apollo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Investment Corporation from inception in 2004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to 2006 and served as President and Chief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Operating Officer in 2006. He formerly was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Managing Partner of Apollo Value Fund L.P.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(formerly Apollo Distressed Investment Fund,</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291"/>
        </w:trPr>
        <w:tc>
          <w:tcPr>
            <w:tcW w:w="256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Marshall Brozost (43)</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Corporation. A Partner at the international law</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firm of Dewey &amp; LeBoeuf LLP since 2007,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7"/>
              </w:rPr>
              <w:t>where he practices in the real estate and private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equity groups. Prior to his tenure at Dewey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LeBoeuf LLP, which began in 2005,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Mr. Brozost practiced law at O’Melveny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Myers LLP and at Solomon &amp; Weinberg LLP</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78"/>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80" w:type="dxa"/>
            <w:vAlign w:val="bottom"/>
          </w:tcPr>
          <w:p>
            <w:pPr>
              <w:spacing w:after="0" w:line="201" w:lineRule="exact"/>
              <w:rPr>
                <w:sz w:val="20"/>
                <w:szCs w:val="20"/>
                <w:color w:val="auto"/>
              </w:rPr>
            </w:pPr>
            <w:r>
              <w:rPr>
                <w:rFonts w:ascii="Arial" w:cs="Arial" w:eastAsia="Arial" w:hAnsi="Arial"/>
                <w:sz w:val="18"/>
                <w:szCs w:val="18"/>
                <w:color w:val="auto"/>
              </w:rPr>
              <w:t>Samuel L. Katz (45)</w:t>
            </w:r>
          </w:p>
        </w:tc>
        <w:tc>
          <w:tcPr>
            <w:tcW w:w="3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3"/>
              </w:rPr>
              <w:t>Director since October</w:t>
            </w:r>
          </w:p>
        </w:tc>
        <w:tc>
          <w:tcPr>
            <w:tcW w:w="30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Corporation. The Managing Partner since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of TZP Group LLC, a private equity fund.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Before joining TZP Group, Mr. Katz was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7"/>
              </w:rPr>
              <w:t>Executive Officer of MacAndrews &amp; Forbes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Acquisition Holdings, Inc. from 2006 to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Prior to that position, Mr. Katz was Chairman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and Chief Executive Officer of the Cendant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Travel Distribution Services Division from</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2001 to 2005.</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Adam K. Bernstein (47)</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Corporation. President of The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6"/>
              </w:rPr>
              <w:t>Companies, a Washington, D.C.-based real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estate firm that he joined in 1986. Mr.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also serves as the President and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Executive Officer of Consortium Atlantic</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Realty Trust, Inc., a private real estate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investment trust operating in the Mid-Atlantic</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region since its formation in 2000.</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Jeffrey Flug (48)</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Corporation. Since 2009, Mr. Flug has held 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variety of senior positions, including, most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0"/>
              </w:rPr>
              <w:t>recently, President of Union Square Hospitality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Group, an exclusive chain of restaurants.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Flug also has served as Chief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and Executive Director from 2006 to 2008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Millennium Promise Alliance, Inc., a non-profit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9"/>
              </w:rPr>
              <w:t>organization whose mission is to eradicate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extreme global poverty. From 2000 to 2006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Flug was a Managing Director and Head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North American Institutional Sales at JP</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Morgan’s Investment Bank.</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Penn is an interested director due to his positions as an officer of PennantPark Floating Rate Capital and of PennantPark Investment Advisers, LLC.</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Biographical Information of our Executive Officers</w:t>
      </w:r>
      <w:r>
        <w:rPr>
          <w:rFonts w:ascii="Arial" w:cs="Arial" w:eastAsia="Arial" w:hAnsi="Arial"/>
          <w:sz w:val="18"/>
          <w:szCs w:val="18"/>
          <w:color w:val="auto"/>
        </w:rPr>
        <w:t>. Certain biographical and other information relating to the executive officers of the company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Chief Financial Officer and Treasurer of PennantPark</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Corporation since inception in 2007.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Managing Director of PennantPark Investment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Administration, LLC since inception in 2007. A Director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at BlackRock, Inc. from 1997 to 2007 where he was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responsible for a variety of administrative, operational,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and financial aspects of closed-end and open-end</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Investment Adviser, and none of the Directors owned directly or indirectly any securities in any of the Underwriters.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Each Independent Director receives an annual payment of $50,000 for services performed on behalf of us as a director.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will be required to complete an independence questionnaire designed to provide information to assist our board of directors in determining whether the director is independent under NASDAQ corporate governance rules, the 1940 Act and our corporate governance guidelines. Our board of directors has determined that each of our directors, other than Mr. Penn, is independent under the listing standards of the NASDAQ and the 1940 Act. Our governance guidelines require any director who has previously been determined to be independent to inform the Chairman of our board of directors, the Chairman of the Nominating and Corporate Governance Committee and our Corporate Secretary of any change in circumstance that may cause his or her status as an independent director to change. Our board of directors limits membership on the Audit Committee and the Nominating and Corporate Governance Committee to independent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will perform its risk oversight function primarily through (1) its two standing committees,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will assist our board of directors in fulfilling its risk oversight responsibilities. The Audit Committee’s risk oversight responsibilities include overseeing our accounting and financial reporting processes, including the annual audit of our financial statements, our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our board of directors a set of corporate governance principles and overseeing the evaluation of our board of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Our board of directors will also perform its risk oversight responsibilities with the assistance of the Chief Compliance Officer. Our Chief Compliance Officer will prepare a written report annually discussing the adequacy and effectiveness of our compliance policies and procedures and certain of our service providers. The Chief Compliance Officer’s report, which will be reviewed by our board of directors, will address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220"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our board of directors would reasonably need to know to oversee our compliance activities and risks. In addition, the Chief Compliance Officer will meet separately in executive session with our independent directors at least once each year.</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our board of director’s role in risk oversight will be effective and appropriate given the extensive regulation to which we will be subject as a closed-end management investment company. Specifically, as a closed-end management investment company, we must comply with certain regulatory requirements that control the levels of risk in our business and operations. In addition, we intend to elect to be treated, and intend to qualify annually, as a RIC under Subchapter M of the Code, commencing with our first taxable year ending after completion of this offering. As a RIC we must meet certain income source, asset diversification and annual distribution requirements.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our board of director’s and its committees’ roles in risk oversight will complement our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will establish direct communication and oversight channels that our board of directors believes will foster open communication and early detection of issues of concern.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board of director’s role in risk oversight must be evaluated on a case by case basis and that the current configuration and allocation of responsibilities among our board of directors and its committees with respect to the oversight of risk is appropriate. However, our board of directors and its committees will continually re-examine the manner in which they administer their respective risk oversight functions, including through formal annual assessments of performance, to ensure that they meet our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will require that at least a majority of our directors not be “interested persons” (as defined in the 1940 Act) of us. Currently, four of our five directors are independent directors; however the Chairman of our board of directors is an interested person of us. The independent directors believe that the combined position of Chief Executive Officer and Chairman of our board of directors will result in greater efficiencies in managing us by eliminating the need to transfer substantial information quickly and repeatedly between a separate Chief Executive Officer and Chairman, and the ability to capitalize on the specialized knowledge acquired from the duties of these roles. Our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will provide to us and the potential conflicts of interest that could arise from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our board of directors believes has prepared each director to be an effective board member. Our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our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Our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on our board of directors) or as an executive of investment funds, public companies or significant private or not-for-profit entities or other organizations, and/or other life experiences. To assist them in evaluating matters under federal and state law, the independent directors will be counseled by their own independent legal counsel, who will participate in board of directors meetings and interacts with the Investment Adviser, and also may benefit from information provided by our counsel. Both independent directors’ counsel and our counsel have significant experience advising funds and fund board members. Our board of directors and its committees will have the ability to engage other experts as appropriate. Our board of directors will evaluate its performance on an annual basis.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Chairman of our board of directors and Chief Executive Officer, Mr. Penn will assume a leading role in strategic planning and executing our initiatives. Mr. Penn will also manage our day-to-day operations, with the support of the other investment professionals and officers. As Chief Executive Officer, Mr. Penn will have general responsibility for the implementation of our policies, as determined by our board of directors, and for the management of our business and affairs.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believes that, collectively, the directors have balanced and diverse experience, qualifications, attributes and skills, which will allow our board of directors to operate effectively in governing us and protecting the interests of our stockholders. Below is a description of the various experiences, qualifications, attributes and/or skills with respect to each director considered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Our board of directors will benefit from Mr. Penn’s business leadership and experience and knowledge of senior loan, mezzanine lending, leveraged finance, distressed debt and private equity businesses, as well as a diverse knowledge of management practices. Mr. Penn is our Founder, Chairman and Chief Executive Officer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PennantPark Investment Corp.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Bernstein brings to our board of directors 25 years of experience in leading a real estate development, investment and management business in the Mid-Atlantic region of the United States. Mr. Bernstein affords our board of directors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Brozost brings 17 years of experience in the areas of finance, private equity, mergers and acquisitions and restructurings. Since 2007, Mr. Brozost has been Partner at the international law firm of Dewey &amp; LeBoeuf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Flug brings to our board of directors expertise in fixed income, investment banking, accounting and business operations. Since 2009, Mr. Flug has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our board of directors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Aviv Efrat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Efrat became PennantPark Floating Rate Capital Ltd.’s Chief Financial Officer and Treasurer in October 2010. Mr. Efrat is also a Managing Director of PennantPark Investment Administration, LLC and the Chief Financial Officer and Treasurer of PennantPark Investment Corp.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Guy F. Talarico</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Mr. Talarico became PennantPark Floating Rate Capital’s Chief Compliance Officer in 2011.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will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our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our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Our board of directors and Audit Committee will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our board of directors or a committee of our board of directors, developing and recommending to our board of directors a set of corporate governance principles and overseeing the evaluation of our board of directors and our management.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stockholders’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our board of directors will include compliance with the independence and other applicable requirements of the NASDAQ corporate governance rules and the 1940 Act, and all other applicable laws, rules, regulations and listing standards; the criteria, policies and principles set forth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our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our board of director’s annual-self assessment, the members of the Nominating and Corporate Governance Committee will evaluate the membership of our board of directors and whether our board of directors maintains satisfactory policies regarding membership selection.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Below is a summary of their biographical information.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December 31, 2010, our portfolio managers also managed investments on behalf of the following entities: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42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Investment Focus</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Gross Assets</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Investment</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Business development</w:t>
            </w:r>
          </w:p>
        </w:tc>
        <w:tc>
          <w:tcPr>
            <w:tcW w:w="42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Primarily mezzanine debt and equity</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investments in middle-market leveraged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companies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460" w:hanging="5612"/>
        <w:spacing w:after="0" w:line="525" w:lineRule="auto"/>
        <w:tabs>
          <w:tab w:leader="none" w:pos="4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Gross assets are calculated as of December 31, 2010, and are rounded to the nearest million. 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we estimate will be beneficially owned by each of our portfolio managers and each of our officers subsequent to completion of this offering.</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Dollar</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Range of Equity</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PennantPark</w:t>
            </w: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Floating Rate</w:t>
            </w:r>
          </w:p>
        </w:tc>
      </w:tr>
      <w:tr>
        <w:trPr>
          <w:trHeight w:val="176"/>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Portfolio Manager</w:t>
            </w:r>
          </w:p>
        </w:tc>
        <w:tc>
          <w:tcPr>
            <w:tcW w:w="13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6"/>
              </w:rPr>
              <w:t>Capital Ltd.</w:t>
            </w:r>
            <w:r>
              <w:rPr>
                <w:rFonts w:ascii="Arial" w:cs="Arial" w:eastAsia="Arial" w:hAnsi="Arial"/>
                <w:sz w:val="20"/>
                <w:szCs w:val="20"/>
                <w:b w:val="1"/>
                <w:bCs w:val="1"/>
                <w:color w:val="auto"/>
                <w:w w:val="96"/>
                <w:vertAlign w:val="superscript"/>
              </w:rPr>
              <w:t>(1)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7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 $10,000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Salvatore Giannetti III</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Jose A. Briones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358"/>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officer</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54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Guy F. Talarico</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Communication with our Board of Directors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our board of directors.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667 shares of common stock outstanding and one stockholder of record. At that time, we will have no other shares of capital stock outstanding. The following table sets out certain ownership information with respect to our common stock for those persons who directly or indirectly own, control or hold with the power to vote 5% or more of our outstanding common stock and all officers and directors as a group.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Immediately Prior to</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Immediately After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Type of</w:t>
            </w:r>
          </w:p>
        </w:tc>
        <w:tc>
          <w:tcPr>
            <w:tcW w:w="420" w:type="dxa"/>
            <w:vAlign w:val="bottom"/>
          </w:tcPr>
          <w:p>
            <w:pPr>
              <w:spacing w:after="0"/>
              <w:rPr>
                <w:sz w:val="15"/>
                <w:szCs w:val="15"/>
                <w:color w:val="auto"/>
              </w:rPr>
            </w:pPr>
          </w:p>
        </w:tc>
        <w:tc>
          <w:tcPr>
            <w:tcW w:w="18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7"/>
              </w:rPr>
              <w:t>This Offering</w:t>
            </w:r>
          </w:p>
        </w:tc>
        <w:tc>
          <w:tcPr>
            <w:tcW w:w="1720" w:type="dxa"/>
            <w:vAlign w:val="bottom"/>
            <w:gridSpan w:val="4"/>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Ownership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Percentage</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Owned</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11"/>
                <w:szCs w:val="11"/>
                <w:color w:val="auto"/>
              </w:rPr>
              <w:t>(2)</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w:t>
            </w:r>
            <w:r>
              <w:rPr>
                <w:rFonts w:ascii="Arial" w:cs="Arial" w:eastAsia="Arial" w:hAnsi="Arial"/>
                <w:sz w:val="11"/>
                <w:szCs w:val="11"/>
                <w:color w:val="auto"/>
              </w:rPr>
              <w:t>(4)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reflect shares of common stock reserved for issuance upon exercise of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address for PennantPark Investment Advisers LLC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beneficially own the 667 shares owned by PennantPark Investment Advisers LLC.</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address for all officers and directors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sz w:val="20"/>
          <w:szCs w:val="20"/>
          <w:color w:val="auto"/>
        </w:rPr>
      </w:pPr>
    </w:p>
    <w:p>
      <w:pPr>
        <w:ind w:left="460" w:hanging="408"/>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we expect will be beneficially owned by each of our Directors immediately after this offering.</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2"/>
          </w:tcPr>
          <w:p>
            <w:pPr>
              <w:ind w:left="780"/>
              <w:spacing w:after="0"/>
              <w:rPr>
                <w:sz w:val="20"/>
                <w:szCs w:val="20"/>
                <w:color w:val="auto"/>
              </w:rPr>
            </w:pPr>
            <w:r>
              <w:rPr>
                <w:rFonts w:ascii="Arial" w:cs="Arial" w:eastAsia="Arial" w:hAnsi="Arial"/>
                <w:sz w:val="14"/>
                <w:szCs w:val="14"/>
                <w:b w:val="1"/>
                <w:bCs w:val="1"/>
                <w:color w:val="auto"/>
              </w:rPr>
              <w:t>Dollar Range of Equity</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456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rPr>
              <w:t>Securities in PennantPark Floating Rate Capital</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154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 – $10,000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60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We will enter into the Investment Management Agreement with the Investment Adviser under which the Investment Adviser, subject to the overall supervision of our board of directors, will manage the day-to-day operations of and provides investment advisory services to us. Under the terms of the Investment Management Agreement, the Investment Adviser will:</w:t>
      </w:r>
    </w:p>
    <w:p>
      <w:pPr>
        <w:spacing w:after="0" w:line="5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will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close and monitor the investments we will make.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Adviser’s services under the Investment Management Agreement are not exclusive, and it is free to furnish similar services, without the prior approval of our stockholders or our board of directors, to other entities so long as its services to us are not impaired. Our board of directors will monitor any potential conflicts that may arise upon such a development. For providing these services, the Investment Adviser will receive a fee from us, consisting of two components—a base management fee and an incentive fee, which we refer to collectively as the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Investment Management Agreement, we will agree to pay PennantPark Investment Advisers a fee for investment advisory and management services consisting of two components—a base management fee and an incentive fee.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base management fee will be calculated at an annual rate of 1.00% of our gross assets.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For services rendered under the Investment Management Agreement, the base management fee will be payable quarterly in arrears. The base management fee will be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will be compared to a hurdle of 1.75% per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quarter (7.00% annualized). Our net investment income used to calculate this part of the incentive fee is also included in the amount of our gross assets used to calculate the 1.00% base management fee. We will pay PennantPark Investment Advisers an incentive fee with respect to our Pre-Incentive Fee Net Investment Income in each calendar quarter as follows:</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the Investment Adviser with approximately 20% of our Pre-Incentive Fee Net Investment Income as if a hurdle did not apply if this net investment income exceeds 2.9167% in any calendar quarter; and</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2.9167% in any calendar quarter (11.67% annualized) will be payable to PennantPark Investment Advisers (once the hurdle is reached and the catch-up is achieved, 20% of all Pre-Incentive Fee Investment Income thereafter is allocated to PennantPark Investment Advisers).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24175" cy="514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241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PennantPark Investment Advisers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our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0.80%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Pre-Incentive Fee Net Investment Income, subject to the “catch-up”</w:t>
      </w:r>
      <w:r>
        <w:rPr>
          <w:rFonts w:ascii="Arial" w:cs="Arial" w:eastAsia="Arial" w:hAnsi="Arial"/>
          <w:sz w:val="11"/>
          <w:szCs w:val="11"/>
          <w:color w:val="auto"/>
        </w:rPr>
        <w:t>(4)</w:t>
      </w:r>
    </w:p>
    <w:p>
      <w:pPr>
        <w:spacing w:after="0" w:line="84" w:lineRule="exact"/>
        <w:rPr>
          <w:sz w:val="20"/>
          <w:szCs w:val="20"/>
          <w:color w:val="auto"/>
        </w:rPr>
      </w:pPr>
    </w:p>
    <w:p>
      <w:pPr>
        <w:ind w:left="2040" w:hanging="151"/>
        <w:spacing w:after="0"/>
        <w:tabs>
          <w:tab w:leader="none" w:pos="2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 (2.25% – 1.75%)</w:t>
      </w:r>
    </w:p>
    <w:p>
      <w:pPr>
        <w:spacing w:after="0" w:line="15" w:lineRule="exact"/>
        <w:rPr>
          <w:rFonts w:ascii="Arial" w:cs="Arial" w:eastAsia="Arial" w:hAnsi="Arial"/>
          <w:sz w:val="18"/>
          <w:szCs w:val="18"/>
          <w:color w:val="auto"/>
        </w:rPr>
      </w:pPr>
    </w:p>
    <w:p>
      <w:pPr>
        <w:ind w:left="2040" w:hanging="151"/>
        <w:spacing w:after="0"/>
        <w:tabs>
          <w:tab w:leader="none" w:pos="2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 Pre-Incentive Fee Net Investment Income, subject to “catch-up”</w:t>
      </w:r>
      <w:r>
        <w:rPr>
          <w:rFonts w:ascii="Arial" w:cs="Arial" w:eastAsia="Arial" w:hAnsi="Arial"/>
          <w:sz w:val="11"/>
          <w:szCs w:val="11"/>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“catch-up” + (20% × (Pre-Incentive Fee Net Investment Income – 2.9167%))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2.9167% – 1.75%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1.1667%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1.1667%) + (20% × (3.55% – 2.9167%))</w:t>
      </w:r>
    </w:p>
    <w:p>
      <w:pPr>
        <w:spacing w:after="0" w:line="9" w:lineRule="exact"/>
        <w:rPr>
          <w:sz w:val="20"/>
          <w:szCs w:val="20"/>
          <w:color w:val="auto"/>
        </w:rPr>
      </w:pPr>
    </w:p>
    <w:p>
      <w:pPr>
        <w:ind w:left="2040" w:hanging="151"/>
        <w:spacing w:after="0"/>
        <w:tabs>
          <w:tab w:leader="none" w:pos="2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0.58334% + (20% × 0.6333%)</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0.58334% + 0.12667%</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0.71001%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1.00%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24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2: $6 million capital gains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$30 million realized capital gains on sale of Investment A multiplied by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5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4: FMV of Investment B determined to be $35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118" w:lineRule="exact"/>
        <w:rPr>
          <w:sz w:val="20"/>
          <w:szCs w:val="20"/>
          <w:color w:val="auto"/>
        </w:rPr>
      </w:pPr>
    </w:p>
    <w:p>
      <w:pPr>
        <w:ind w:left="460" w:right="100" w:hanging="452"/>
        <w:spacing w:after="0" w:line="235"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As illustrated in Year 3 of Alternative 1 above, if PennantPark Floating Rate Capital were to be wound up on a date other than December 31 of any year, PennantPark Floating Rate Capital may have paid aggregate capital gain incentive fees that are more than the amount of such fees that would be payable if PennantPark Floating Rate Capital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 million cumulative fee (20% multiplied by $25 million ($35 million cumulative realized capital gains less $10 million realized capital losses))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less $6.4 million (previous cumulative capital gains fee paid in Year 2 and Year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 March 10,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will furnish us with office facilities, equipment and clerical, bookkeeping and record keeping services at such facilities. Under the Administration Agreement, the Administrator will perform,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will offer, on our behalf, managerial assistance to those portfolio companies to which we are required to offer such assistance. To the extent that the Administrator outsources any of its functions, we will pay the fees associated with such functions on a direct basis without profit to the Administrator.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 Investment, on March 10, 2011 and is scheduled to be executed on the date of this prospectus. Unless terminated earlier as described below, the Administration Agreement will continue in effect for a period of two years from its execution date. It will remain in effect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approved annually by our board of directors, including approval by a majority of our directors who are not interested persons. The Administration Agreement may not be assigned by either party without the consent of the other party. The Administration Agreement may be terminated by either party without penalty upon 60 days’ written notice to the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the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PennantPark Investment Advisers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investments will generally consist of illiquid securities including Floating Rate Loans and, to a lesser extent equity investments in middle-market companies. The net asset value per share of our outstanding shares of common stock will be determined quarterly by dividing the value of total assets minus liabilities by the total number of shares outstanding.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investments of middle-market companies. All of our investments will be recorded using broker/dealers quotes or using fair value as determined in good faith by our board of directors in consultation with our independent third party valuation firms. Our board of directors will generally use market quotations to assess the value of our investments for which market quotations are readily available. We will obtain these market values from an independent pricing service or at the bid prices, if available, obtained from at least two broker/dealers, or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Debt and equity investments that are not publicly traded or whose market prices are not readily available will be valued at fair value as determined in good faith by or under the direction of our board of directors. Such determination of fair values will involve subjective judgments and estimates. Investments, of sufficient credit quality, purchased within 60 days of maturity will be valued at cost plus accreted discount, or minus amortized premium, which approximates value. With respect to unquoted securities, our board of directors, in consultation with independent third party valuation firms, will value each investment considering, among other measures, discounted cash flow models, comparisons of financial ratios of peer companies that are public and other factors.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our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net asset value and our board of directors decides that such an offering is in the best interest of our common stockholders, we may undertake such an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our board of directors or a committee thereof will elect, in the case of clause (i) above, either to postpone the offering until such time that there is no longer the possibility of the occurrence of such event or to undertake to determine our net asset value within two days prior to any such sale to ensure that such sale will not be below our then current net asset value, and, in the case of clause (ii) above, to comply with such undertaking or to undertake to determine our net asset value to ensure that such undertaking has not been triggered.</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our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our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 action is required on the part of a registered stockholder to have the stockholder’s cash dividend reinvested in shares of common stock. A registered stockholder may elect to receive a dividend in cash by notifying American Stock Transfer and Trust Company, the plan administrator and transfer agent and registrar, in writing so that the notice is received by the plan administrator no later than the record date for distribution to stockholders. The plan administrator will set up an account for shares acquired through the plan for each stockholder who has not elected to receive dividends in cash.</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subject to the provisions of the 1940 Act. We reserve the right to purchase shares in the open market in connection with the implementation of the plan. The number of shares to be issued to a stockholders will be determined by dividing the total dollar amount of the dividend payable to the stockholder by the market price per share of common stock at the close of regular trading on NASDAQ Global Select Market on the valuation date for such distribution. Market price per share on that date will be the closing price for the shares on NASDAQ Global Select Market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Except as described below,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distribution payable to the stockholder. Any stock received in a dividend will have a new holding period for tax purposes commencing on the day following the day on which the shares are credited to the U.S. stockholder’s account.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or by filling out the transaction request form located at the bottom of their statement and sending it to the plan administrator.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4, 2011 our authorized capital stock consisted of 100,000,000 shares of stock, par value $0.001 per share, all of which were classified as common stock. Our common stock has been approved for listing on the NASDAQ Global Select Market under the ticker symbol “PFLT”.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4, 2011, we had 1 stockholder of record.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4,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Amount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Held by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Us for Our</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as of</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40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4, 2011</w:t>
            </w:r>
          </w:p>
        </w:tc>
        <w:tc>
          <w:tcPr>
            <w:tcW w:w="100" w:type="dxa"/>
            <w:vAlign w:val="bottom"/>
          </w:tcPr>
          <w:p>
            <w:pPr>
              <w:spacing w:after="0"/>
              <w:rPr>
                <w:sz w:val="14"/>
                <w:szCs w:val="1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100,000,000 Shares</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667 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our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(1) actual receipt of an improper 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2012, 2013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those directors will serve until their successors are duly elected and qualified.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by the Maryland General Corporation Law nor more than fifteen. We have elected to be subject to the provision of Subtitle 8 of Title 3 of the Maryland General Corporation Law regarding the filling of vacancies on our board of directors. Accordingly, at such time as we have three independent directors and our common stock is registered under the Exchange Act,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the chairman of the board, president or chief executive officer.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of at least two-thirds of the votes entitled to be cast on the matter. However, a Maryland corporation may provide in its charter for approval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matters by a lesser percentage, but not less than a majority of all of the votes entitled to be cast on the matter. Our charter generally provides for approval of charter amendments and extraordinary transactions by the stockholders of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of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our board of directors. Our charter and bylaws provide that our board of directors will have the exclusive power to adopt, alter or repeal any provision of our bylaws and to make new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our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however, may be altered or repealed in whole or in part at any time. If this resolution is repealed, or our board of directors does not otherwise approve a business combination, the statute may discourage others from trying to acquire control of us and increase the difficulty of consummating any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will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elected to be treated as a business development company under the 1940 Act, and we intend to elect to be treated, and intend to qualify annually, as a RIC under Subchapter M of the Code, commencing with our first taxable year ending after completion of this offering.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20" w:hanging="567"/>
        <w:spacing w:after="0" w:line="259"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reorganization or if the issuer, immediately prior to the purchase of its securities was unable to meet its obligations as they came due without material assistance other than conventional lending or financing arrangements.</w:t>
      </w:r>
    </w:p>
    <w:p>
      <w:pPr>
        <w:spacing w:after="0" w:line="51" w:lineRule="exact"/>
        <w:rPr>
          <w:sz w:val="20"/>
          <w:szCs w:val="20"/>
          <w:color w:val="auto"/>
        </w:rPr>
      </w:pPr>
    </w:p>
    <w:p>
      <w:pPr>
        <w:ind w:left="900" w:right="1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The Administrator may provide such assistance on our behalf to portfolio companies that request such assistance.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investment grade debt securities maturing in one year or less from the time of investment, which we refer to, collectively, as temporary investments, so that 70% of our assets are qualifying assets. The income we earn on such temporary investments will generally be significantly less than what we would expect to receive from investments in the types of Floating Rate Loans we intend to target for investment.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The Investment Adviser will monitor the creditworthiness of the counterparties with which we enter into repurchase agreement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Our board of directors has adopted a code of ethics pursuant to Rule 17j-1 under the 1940 Act and has also approved the Investment Adviser’s code of ethics that was adopted by it in accordance with Rule 17j-1 and Rule 204A-1 under the Advisers Act. These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9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board of directors has also adopted a code of conduct pursuant to the Sarbanes-Oxley Act and the NASDAQ listing standards. The code of conduct establishes procedures for the purpose of promoting honest and ethical conduct and compliance with applicable laws and governmental rules and regulations.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codes of ethics and conduct will be available for viewing and copying at the SEC’s Public Reference Room in Washington, D.C. Information about the SEC’s Public Reference Room may be obtained by calling the SEC at 1-800-SEC-0330. In the future, the codes of ethics and conduct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be obtained, after paying a duplicating fee, by electronic request to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to: SEC’s Public Reference Section, 100 F Street, N.E., Washington, D.C. 20549-0102.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delegated our proxy voting responsibility to the Investment Adviser. The Proxy Voting Policies and Procedures of the Investment Adviser are set forth below. The guidelines are reviewed periodically by the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the investments our clients.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the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will be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the future as an exhibit to the registration statement of which this prospectus forms a part. In the future,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will generally seek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held by, or be appropriate investments for, us as well as other funds or investment advisory clients of the Investment Adviser or its affiliates. Because of different investment objectives or other factors, a particular security may be bought for one or more clients of the Investment Adviser or its affiliates when one or more clients of the Investment Adviser or its affiliates are selling the same security. If purchases or sales of securities arise for consideration at or about the same time that would involve us or other clients or funds for which the Investment Adviser or its affiliates act as investment advisers, transactions in such securities will be made, insofar as feasible, for the respective funds and clients in a manner deemed equitable to all. To the extent that transactions on behalf of more than one client of the Investment Adviser or its affiliates during the same period may increase the demand for securities being purchased or the supply of securities being sold, there may be an adverse effect on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our common stock.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the activities of the partnership and certain determinations made at the partnership level. A prospective stockholder that is a partnership and a partner in such partnership should consult their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elect to be treated, and intend to qualify annually, as a RIC under Subchapter M of the Code, commencing with our first taxable year ending after completion of this offering. To qualify and maintain RIC tax benefits, we must, among other requirements, meet certain source-of-income and quarterly asset diversification requirements (as described below). We also must annually distribute dividends of at least 90% of the sum of our ordinary income plus realized net short-term capital gains in excess of realized net long-term capital losses out of the assets legally available for distribution (the “Annual Distribution Requirement”). Although not required for us to maintain our RIC tax status, in order to preclude the imposition of a 4% nondeductible federal excise tax imposed on RICs, we currently intend to distribute during each calendar year an amount at least equal to the sum of (1) 98% of our ordinary income for the calendar year,</w:t>
      </w:r>
    </w:p>
    <w:p>
      <w:pPr>
        <w:spacing w:after="0" w:line="1" w:lineRule="exact"/>
        <w:rPr>
          <w:sz w:val="20"/>
          <w:szCs w:val="20"/>
          <w:color w:val="auto"/>
        </w:rPr>
      </w:pPr>
    </w:p>
    <w:p>
      <w:pPr>
        <w:ind w:right="20" w:firstLine="8"/>
        <w:spacing w:after="0" w:line="261"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(the “Excise Tax Avoidance Requirement”).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 we currently intend to distribute realized net capital gains (i.e., net long-term capital gains in excess of short-term capital losses), if any, at least annually, out of the assets legally available for such distributions.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900" w:right="10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left="5620" w:right="5360" w:hanging="5612"/>
        <w:spacing w:after="0" w:line="517" w:lineRule="auto"/>
        <w:tabs>
          <w:tab w:leader="none" w:pos="25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In situations where this revenue procedure is not applicable, the IRS has also issued private letter rulings on cash/stock dividends paid by RICs and real estate investment trusts using a 20% cash standard (instead of the 10% cash standard of the revenue procedure) if certain requirements are satisfied.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sale. We currently do not intend to distribute stock as a dividend but reserve the right to do so.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satisfy the 90% Income Test or the Diversification Tests for any taxable year or quarter of such taxable year, we may nevertheless continue to qualify as a RIC for such year if certain relief provisions of the Code apply (which may, among other things, require us to pay certain corporate-level federal taxes or to dispose of certain assets). If we fail to qualify for treatment as a RIC in any taxable year and such relief provisions do not apply to us,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are unable to obtain and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dividends to the extent of our current and accumulated earnings and profits, and, subject to certain limitations under the Code, distributions made in taxable years beginning before January 1, 2013 would be eligible for the 15% maximum rate applicable to non-corporate U.S. stockholders.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To requalify as a RIC in a subsequent taxable year, we would be required to satisfy the RIC qualification requirements of the Code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our requalification as a RIC.</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in written statements furnished to our stockholders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dividend reinvestment plan, if a U.S. stockholder owns shares of our common stock registered in the U.S. stockholder’s own name, the U.S. stockholder will have all cash distributions automatically reinvested in additional shares of our common stock unless the U.S. stockholder opts out of the dividend reinvestment plan by delivering a written notice to the plan administrator so that the plan administrator receives the notice not less than 10 days prior to the record date of the next dividend or distribution. See “Dividend Reinvestment Plan”. Any distributions reinvested under the plan will nevertheless remain taxable to the U.S. stockholder. The U.S. stockholder will have an adjusted tax basis in the additional shares of our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U.S. stockholders should consult their own tax advisors concerning the imposition of this tax.</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If the distributions are effectively connected with a U.S. trade or business of the Non-U.S. stockholder, and, if an income tax treaty applies, attributable to a permanent establishment of the Non-U.S. stockholder in the United States,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dividends with respect to any taxable year beginning on or before December 31, 2011 will not be subject to withholding of federal income tax to the extent the dividends are reported by us as ‘‘interest-related dividends’’ or ‘‘short-term capital gain dividends’’ in written statements furnished to our stockholders. Under this exemption, interest-related dividends and short-term capital gain dividends generally represent distributions of interest or short-term capital gains that would not have been subject to withholding of federal income tax at the source if they had been received directly by a non-U.S. person, and that satisfy certain other requirements. No assurance can be given as to whether any of our distributions will be eligible for this exemption from withholding tax or, if eligible, will be reported as such by us. In addition, no assurance can be given as to whether this exemption will be extended for taxable years after 2011.</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provided below, actual or deemed distributions of our net long-term capital gains to a Non-U.S. stockholder, and gains realized by a Non-U.S. stockholder upon the sale of our common stock, will not be subject to federal income or withholding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the Non-U.S. stockholder is an individual who is present for more than 182 days in the United States and meets certain other conditions.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w:t>
      </w:r>
    </w:p>
    <w:p>
      <w:pPr>
        <w:spacing w:after="0" w:line="3" w:lineRule="exact"/>
        <w:rPr>
          <w:sz w:val="20"/>
          <w:szCs w:val="20"/>
          <w:color w:val="auto"/>
        </w:rPr>
      </w:pPr>
    </w:p>
    <w:p>
      <w:pPr>
        <w:ind w:right="280" w:firstLine="8"/>
        <w:spacing w:after="0" w:line="302" w:lineRule="auto"/>
        <w:tabs>
          <w:tab w:leader="none" w:pos="2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certifies to us that such entity does not have any “substantial United States owners” or (ii) provides certain information regarding the entity’s “substantial United States owners,” which we will in turn provide to the Secretary of the Treasury. Non-U.S. stockholders are encouraged to consult with their tax advisers regarding the possible implications of these requirements on their investment in our common stock.</w:t>
      </w:r>
    </w:p>
    <w:p>
      <w:pPr>
        <w:spacing w:after="0" w:line="10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dividend reinvestment plan, if a Non-U.S. stockholder owns shares of our common stock registered in the non-U.S. shareholder’s own name, the Non-U.S. shareholder will have all cash distributions automatically reinvested in additional shares of our common stock unless it opts out of the dividend reinvestment plan by delivering a written notice to the plan administrator so that the plan administrator receives the notice not less than 10 days prior to the record date of the next dividend or distribution. See “Dividend Reinvestment Plan”. If the distribution is a distribution of our investment company taxable income, is not designated by us as a short-term capital gain dividend or interest-related dividend, if applicable,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common stock. If the distribution is effectively connected with a U.S. trade or business of the Non-U.S. stockholder (and, if required by an applicable income tax treaty, is attributable to a U.S. permanent establishment),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equal to the amount of the reinvested distribution. The additional shares will have a new holding period commencing on the day following the day on which the shares are credited to the Non-U.S. stockholder’s account.</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the underwriters named below, for whom Morgan Stanley &amp; Co. Incorporated, SunTrust Robinson Humphrey, Inc. and UBS Securities LLC are acting as representatives and as joint book-running managers of this offering, have severally agreed to purchase, and we have agreed to sell to them, severally, the number of shares of common stock indicated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Capital, Inc.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our common stock offered by this prospectus are subject to the approval of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 of</w:t>
      </w:r>
    </w:p>
    <w:p>
      <w:pPr>
        <w:spacing w:after="0" w:line="38" w:lineRule="exact"/>
        <w:rPr>
          <w:sz w:val="20"/>
          <w:szCs w:val="20"/>
          <w:color w:val="auto"/>
        </w:rPr>
      </w:pPr>
    </w:p>
    <w:p>
      <w:pPr>
        <w:spacing w:after="0"/>
        <w:tabs>
          <w:tab w:leader="none" w:pos="7240" w:val="left"/>
        </w:tabs>
        <w:rPr>
          <w:sz w:val="20"/>
          <w:szCs w:val="20"/>
          <w:color w:val="auto"/>
        </w:rPr>
      </w:pPr>
      <w:r>
        <w:rPr>
          <w:rFonts w:ascii="Arial" w:cs="Arial" w:eastAsia="Arial" w:hAnsi="Arial"/>
          <w:sz w:val="18"/>
          <w:szCs w:val="18"/>
          <w:color w:val="auto"/>
        </w:rPr>
        <w:t>this prospectus and part to certain dealers at a price that represents a concession not in excess of $</w:t>
      </w:r>
      <w:r>
        <w:rPr>
          <w:sz w:val="20"/>
          <w:szCs w:val="20"/>
          <w:color w:val="auto"/>
        </w:rPr>
        <w:tab/>
      </w:r>
      <w:r>
        <w:rPr>
          <w:rFonts w:ascii="Arial" w:cs="Arial" w:eastAsia="Arial" w:hAnsi="Arial"/>
          <w:sz w:val="16"/>
          <w:szCs w:val="16"/>
          <w:color w:val="auto"/>
        </w:rPr>
        <w:t>a share under the public offering price. Any Underwriter</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may allow, and such dealers may reallow, a concession not in excess of $ a share to other underwriters or to certain dealers.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Underwriters have been granted an option, exercisable for 30 days from the date of this prospectus, to purchase up to an aggregate of 1,005,000 additional shares of our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our common stock offered by this prospectus. To the extent the option is exercised, each Underwriter will become obligated, subject to limited conditions, to purchase approximately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 including the amount that the Investment Adviser has agreed to pay to the underwriters as a portion of the sales load. The information assumes either no exercise or full exercise by the Underwriters of their over-allotment option.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Without Option</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$ 100,500,000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$ 115,575,000</w:t>
            </w:r>
          </w:p>
        </w:tc>
      </w:tr>
      <w:tr>
        <w:trPr>
          <w:trHeight w:val="228"/>
        </w:trPr>
        <w:tc>
          <w:tcPr>
            <w:tcW w:w="500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2820" w:type="dxa"/>
            <w:vAlign w:val="bottom"/>
            <w:gridSpan w:val="3"/>
          </w:tcPr>
          <w:p>
            <w:pPr>
              <w:jc w:val="right"/>
              <w:ind w:right="500"/>
              <w:spacing w:after="0"/>
              <w:rPr>
                <w:sz w:val="20"/>
                <w:szCs w:val="20"/>
                <w:color w:val="auto"/>
              </w:rPr>
            </w:pPr>
            <w:r>
              <w:rPr>
                <w:rFonts w:ascii="Arial" w:cs="Arial" w:eastAsia="Arial" w:hAnsi="Arial"/>
                <w:sz w:val="18"/>
                <w:szCs w:val="18"/>
                <w:color w:val="auto"/>
              </w:rPr>
              <w:t>1.050</w:t>
            </w:r>
          </w:p>
        </w:tc>
        <w:tc>
          <w:tcPr>
            <w:tcW w:w="1020" w:type="dxa"/>
            <w:vAlign w:val="bottom"/>
          </w:tcPr>
          <w:p>
            <w:pPr>
              <w:jc w:val="right"/>
              <w:spacing w:after="0"/>
              <w:rPr>
                <w:sz w:val="20"/>
                <w:szCs w:val="20"/>
                <w:color w:val="auto"/>
              </w:rPr>
            </w:pPr>
            <w:r>
              <w:rPr>
                <w:rFonts w:ascii="Arial" w:cs="Arial" w:eastAsia="Arial" w:hAnsi="Arial"/>
                <w:sz w:val="18"/>
                <w:szCs w:val="18"/>
                <w:color w:val="auto"/>
              </w:rPr>
              <w:t>7,035,000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8,090,250</w:t>
            </w: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PennantPark Floating Rate Capital Ltd.</w:t>
            </w:r>
          </w:p>
        </w:tc>
        <w:tc>
          <w:tcPr>
            <w:tcW w:w="2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13.950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93,465,000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107,484,750</w:t>
            </w:r>
          </w:p>
        </w:tc>
      </w:tr>
      <w:tr>
        <w:trPr>
          <w:trHeight w:val="363"/>
        </w:trPr>
        <w:tc>
          <w:tcPr>
            <w:tcW w:w="5000" w:type="dxa"/>
            <w:vAlign w:val="bottom"/>
          </w:tcPr>
          <w:p>
            <w:pPr>
              <w:spacing w:after="0"/>
              <w:rPr>
                <w:sz w:val="24"/>
                <w:szCs w:val="24"/>
                <w:color w:val="auto"/>
              </w:rPr>
            </w:pPr>
          </w:p>
        </w:tc>
        <w:tc>
          <w:tcPr>
            <w:tcW w:w="1720" w:type="dxa"/>
            <w:vAlign w:val="bottom"/>
          </w:tcPr>
          <w:p>
            <w:pPr>
              <w:jc w:val="right"/>
              <w:ind w:right="1252"/>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estimate that the total expenses of this offering, excluding sales load (underwriting discounts and commissions), will be approximately $1,000,000. The underwriters have agreed to reimburse us for $350,000 of the estimated $1,000,000 of offering expenses we expect to incur in connection with this offering.</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shares of our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“PFLT.”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180 days after the date of this prospectus without first obtaining the written consent of the Representatives.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180 days after the date of this prospectus supplement without first obtaining the written consent of the Representatives. Specifically, we and these other individuals and entities have agreed not to directly or indirectly:</w:t>
      </w:r>
    </w:p>
    <w:p>
      <w:pPr>
        <w:spacing w:after="0" w:line="26"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in our common stock for their own account.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In addition, in order to cover any over-allotments or to stabilize the price of our common stock, the Underwriters may bid for, and purchase, shares of our common stock in the open market. Finally, the underwriting syndicate may also reclaim selling concessions allowed to an Underwriter or a dealer for distributing our common stock in the offering, if the syndicate repurchases previously distributed shares of our common stock to cover syndicate short positions or to stabilize the price of the common stock. Any of these activities may stabilize or maintain the market price of our common stock above independent market levels. The Underwriters are not required to engage in these activities, and may end any of these activities at any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Underwriters and their affiliates have provided in the past to us and may provide from time to time in the future in the ordinary course of their business certain commercial banking, financial advisory, investment banking and other services to PennantPark Floating Rate Capital and its affiliates and managed funds or our portfolio companies for which they have received or will be entitled to receive separate fees. In particular, the Underwriters or their affiliates may execute transactions with PennantPark Floating Rate Capital or on behalf of PennantPark Floating Rate Capital or any of our portfolio companies, affiliates and/or managed funds. In addition, the Underwriters or their affiliates may act as arrangers, underwriters or placement agents for companies whose securities are sold to or whose loans are syndicated to PennantPark Floating Rate Capital and its affiliates and managed funds. An affiliate of SunTrust Robinson Humphrey, Inc. has committed to be a lender under the Credit Facility.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principal business addresses of the underwriters are: Morgan Stanley &amp; Co. Incorporated is 1585 Broadway, New York, NY 10036; SunTrust Robinson Humphrey, Inc. is 3333 Peachtree Road, NE, Atlanta, GA 30326; UBS Securities LLC is 299 Park Avenue, New York, NY 10171; BMO Capital Markets Corp. is 3 Times Square, New York, NY 10036; Houlihan Lokey Capital, Inc. is 1930 Century Park West, Los Angeles, CA 90067; Janney Montgomery Scott LLC is 1801 Market Street, Philadelphia, PA 19103; RBC Capital Markets, LLC is Three World Financial Center, New York, NY 10281; Stifel, Nicolaus &amp; Company, Incorporated is 501 N. Broadway, St. Louis MO 63102.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60" w:firstLine="443"/>
        <w:spacing w:after="0" w:line="268" w:lineRule="auto"/>
        <w:tabs>
          <w:tab w:leader="none" w:pos="11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00" w:firstLine="443"/>
        <w:spacing w:after="0" w:line="298"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the shares of our common stock. The initial public offering price will be determined by negotiations between us and the Representatives. Among the factors to be considered in determining the initial public offering price will be our future prospects and our industry in general, sales, earnings and certain other financial and operating information in recent periods, and the price-earnings ratios, market prices of securities and financial and operating information of companies engaged in activities similar to ours.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AND TRANSFER AGENT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BNY Mellon Investment Servicing (US) Inc., a subsidiary of Bank of New York Mellon, provides administrative and accounting services to us under a sub-administration and accounting services agreement. The custodian of the assets of the company will be The Bank of New York Mellon located at One Wall Street, New York, NY 10286. The custodian will perform custodial services. American Stock Transfer &amp; Trust Company located at 59 Maiden Lane, New York, NY 10038, will serve as the company’s transfer agent and dividend paying agent with respect to the common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legal matters in connection with the common shares will be passed upon for the company by Dechert LLP, Washington, D.C. and for the Underwriters by Fried, Frank, Harris, Shriver &amp; Jacobson LLP, New York, NY. Dechert LLP and Fried, Frank, Harris, Shriver &amp; Jacobson LLP may rely as to certain matters of Maryland law on the opinion of Venable LLP, Baltimore, Maryland.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accounting purposes, our fiscal year is the 12-month period ending on September 30. For tax purposes, we have adopted the 12-month period ending September 30 of each year as our taxable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selected KPMG LLP as our independent registered public accounting firm. KPMG LLP’s principal business address is located at 345 Park Avenue, New York, NY 10154.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(800) SEC-0330. The SEC maintains an Internet site that contains reports, proxy and information statements and other information filed electronically by us with the SEC which are available on the SEC’s website at </w:t>
      </w:r>
      <w:r>
        <w:rPr>
          <w:rFonts w:ascii="Arial" w:cs="Arial" w:eastAsia="Arial" w:hAnsi="Arial"/>
          <w:sz w:val="16"/>
          <w:szCs w:val="16"/>
          <w:i w:val="1"/>
          <w:iCs w:val="1"/>
          <w:color w:val="auto"/>
        </w:rPr>
        <w:t xml:space="preserve">http://www.sec.gov. </w:t>
      </w:r>
      <w:r>
        <w:rPr>
          <w:rFonts w:ascii="Arial" w:cs="Arial" w:eastAsia="Arial" w:hAnsi="Arial"/>
          <w:sz w:val="16"/>
          <w:szCs w:val="16"/>
          <w:color w:val="auto"/>
        </w:rPr>
        <w:t>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at the following e-mail address: publicinfo@sec.gov, or by writing the SEC’s Public Reference Section, Washington, D.C. 20549. This information will also be available free of charge by contacting us at PennantPark Floating Rate Capital Ltd., 590 Madison Avenue, 15th Floor, New York, NY 10022, by telephone at (212) 905-1000, or on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9"/>
              </w:rPr>
              <w:t>INDEX TO FINANCIAL STATEMENTS</w:t>
            </w:r>
          </w:p>
        </w:tc>
        <w:tc>
          <w:tcPr>
            <w:tcW w:w="0" w:type="dxa"/>
            <w:vAlign w:val="bottom"/>
          </w:tcPr>
          <w:p>
            <w:pPr>
              <w:spacing w:after="0"/>
              <w:rPr>
                <w:sz w:val="1"/>
                <w:szCs w:val="1"/>
                <w:color w:val="auto"/>
              </w:rPr>
            </w:pPr>
          </w:p>
        </w:tc>
      </w:tr>
      <w:tr>
        <w:trPr>
          <w:trHeight w:val="434"/>
        </w:trPr>
        <w:tc>
          <w:tcPr>
            <w:tcW w:w="4140" w:type="dxa"/>
            <w:vAlign w:val="bottom"/>
            <w:gridSpan w:val="4"/>
            <w:vMerge w:val="restart"/>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Report of Independent Registered Public Accounting Firm</w:t>
              </w:r>
            </w:hyperlink>
          </w:p>
        </w:tc>
        <w:tc>
          <w:tcPr>
            <w:tcW w:w="688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40" w:type="dxa"/>
            <w:vAlign w:val="bottom"/>
            <w:gridSpan w:val="4"/>
            <w:vMerge w:val="continue"/>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Balance Sheet as of March 4, 2011</w:t>
              </w:r>
            </w:hyperlink>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40" w:type="dxa"/>
            <w:vAlign w:val="bottom"/>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Notes to Balance Sheet</w:t>
              </w:r>
            </w:hyperlink>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balance sheet of PennantPark Floating Rate Capital Ltd. (a development stage company) as of March 4, 2011. This financial statement is the responsibility of PennantPark Floating Rate Capital Ltd.’s management. Our responsibility is to express an opinion on this financial statement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PennantPark Floating Rate Capital Ltd. (a development stage company) as of March 4, 2011,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(A DEVELOPMENT STAGE COMPANY)</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BALANCE SHEET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of March 4,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3)</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Common stock, par value $0.001 per share; 100,000,000 shares authorized; 667 shares issued and outstanding</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 in excess of par value</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140" w:type="dxa"/>
            <w:vAlign w:val="bottom"/>
          </w:tcPr>
          <w:p>
            <w:pPr>
              <w:ind w:left="860"/>
              <w:spacing w:after="0"/>
              <w:rPr>
                <w:sz w:val="20"/>
                <w:szCs w:val="20"/>
                <w:color w:val="auto"/>
              </w:rPr>
            </w:pPr>
            <w:r>
              <w:rPr>
                <w:rFonts w:ascii="Arial" w:cs="Arial" w:eastAsia="Arial" w:hAnsi="Arial"/>
                <w:sz w:val="18"/>
                <w:szCs w:val="18"/>
                <w:color w:val="auto"/>
              </w:rPr>
              <w:t>Total Net Assets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In this Balance Sheet, except where the context suggests otherwise, the terms “we,” “us,” “our,” “Company” or “PennantPark Floating Rate Capital” refers to PennantPark Floating Rate Capital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Floating Rate Capital Ltd. was formed on October 28, 2010 as a Maryland corporation structured as an externally managed, non-diversified closed-end management investment company. PennantPark Floating Rate Capital intends to elect to be treated as a business development company under the Investment Company Act of 1940, as amended, (the “1940 Act”), prior to pricing of its initial public offering. PennantPark Floating Rate Capital will be managed by PennantPark Investment Advisers, LLC (the “Investment Advisers”). PennantPark Investment Administration, LLC (the “Administrator”) will provide the administrative services necessary for us to operate. The Company has had no operations other than a sale of 667 shares of common stock for $10,000 ($15.00 per share). All of the outstanding shares of PennantPark Floating Rate Capital common stock are owned by PennantPark Investment Advisers, LLC.</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investment objective is to maximize current income consistent with the preservation of capital. We will seek to achieve our investment objectives by investing primarily in floating rate loans made to private middle-market companies whose debt is rated below investment grade. The Company may also invest in loans of portfolio companies that are thinly traded. Under normal market conditions, at least 80% of the value of our assets will be invested in floating rate loans and investments with similar economic characteristics. We expect that senior secured loans will represent at least 65% of our overall portfolio. We expect to invest the remaining approximately 35% of our overall portfolio opportunistically in other types of investments, including second-lien, high yield, mezzanine and distressed debt securities and private equity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accompanying balance sheet has been prepared on the accrual basis of accounting in conformity with accounting principles generally accepted in the United States of America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demand deposits at a financial institution.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operate so as to qualify and elect to be tax as a regulated investment company (“RIC”) under Subchapter M of the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the balance sheet in conformity with GAAP requires management to make estimates and assumptions that affect the reported amount of assets and liabilities and disclosure of contingent assets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liabilities at the date of the balance sheet. Changes in the economic environment, financial markets and any other parameters used in determining these estimates could cause actual results to differ materially.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 organization and operating costs will be borne by the Company upon consummation of its proposed initial public offering. Should the Company not be successful in the initial public offering, initial organization and operating costs incurred will be borne by the Company’s Investment Adviser. As there has been no formal commitment of external capital as of the date of issuance of this balance sheet, no such costs have been recorded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authorized 100,000,000 shares of its common stock with a par value of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considered events from March 5, 2011 to March 11, 2011 (the date of this report’s issuance) and has concluded that no subsequent events of a material effect have occurred from the date of the balance sheet through the date this report was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 Contingency (Unaudited)</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Upon consummation of the Company’s proposed initial public offering of common stock, the Investment Adviser has agreed to pay to the underwriters a portion of the sales load, in the amount of $2,010,000 ($2,311,500 if the underwriters exercise their overallotment option in full) with respect to the offering of shares the Company’s common stock. The Company (and indirectly its stockholders) will be obligated to repay this amount (a) if during any four consecutive calendar quarter-periods ending on or after the one year anniversary of the closing of the offering, the Company’s Pre-Incentive Fee Net Investment Income equals or exceeds 1.75% (7.0% annualized) of the Company’s net assets at the beginning of such period (as adjusted for any issuances or repurchases of shares of the Company’s common stock) or (b) upon our liquidation. If one or more of these events does not occur on or before April 7, 2014, the Company will not be obligated to repay this amount. The Company will repay such amount to the Investment Adviser in cash, and the Investment Adviser has agreed to use such payment to purchase shares of the Company’s common stock in the secondary market. Should the Company not be successful in the initial public offering, then no contingency would exist.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May 3, 2011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w:t>
      </w:r>
    </w:p>
    <w:p>
      <w:pPr>
        <w:spacing w:after="0" w:line="107"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14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701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1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44"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Arial" w:cs="Arial" w:eastAsia="Arial" w:hAnsi="Arial"/>
          <w:sz w:val="24"/>
          <w:szCs w:val="24"/>
          <w:b w:val="1"/>
          <w:bCs w:val="1"/>
          <w:color w:val="auto"/>
        </w:rPr>
        <w:t>PRELIMINARY PROSPECTUS</w:t>
      </w:r>
    </w:p>
    <w:p>
      <w:pPr>
        <w:spacing w:after="0" w:line="170"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SunTrust Robinson Humphrey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BMO Capital Markets</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Houlihan Lokey</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Janney Montgomery Scott</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RBC Capital Markets</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Stifel Nicolaus Weisel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240" w:top="459" w:right="9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96" w:lineRule="exact"/>
        <w:rPr>
          <w:sz w:val="20"/>
          <w:szCs w:val="20"/>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Articles of Amendment and Restatement.</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Amended and Restated Bylaws.</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Stock Certificate.</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Dividend Reinvestment Plan.</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Form of Investment Management Agreement between the Registrant and PennantPark Investment Advisers, LLC (the “Investment Adviser”).</w:t>
      </w:r>
      <w:r>
        <w:rPr>
          <w:rFonts w:ascii="Arial" w:cs="Arial" w:eastAsia="Arial" w:hAnsi="Arial"/>
          <w:sz w:val="10"/>
          <w:szCs w:val="10"/>
          <w:color w:val="auto"/>
        </w:rPr>
        <w:t>(2)</w:t>
      </w:r>
    </w:p>
    <w:p>
      <w:pPr>
        <w:spacing w:after="0" w:line="200" w:lineRule="exact"/>
        <w:rPr>
          <w:sz w:val="20"/>
          <w:szCs w:val="20"/>
          <w:color w:val="auto"/>
        </w:rPr>
      </w:pPr>
    </w:p>
    <w:p>
      <w:pPr>
        <w:spacing w:after="0" w:line="264" w:lineRule="exact"/>
        <w:rPr>
          <w:sz w:val="20"/>
          <w:szCs w:val="20"/>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Custodian Agreement.</w:t>
      </w:r>
      <w:r>
        <w:rPr>
          <w:rFonts w:ascii="Arial" w:cs="Arial" w:eastAsia="Arial" w:hAnsi="Arial"/>
          <w:sz w:val="11"/>
          <w:szCs w:val="11"/>
          <w:color w:val="auto"/>
        </w:rPr>
        <w: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10260" w:type="dxa"/>
            <w:vAlign w:val="bottom"/>
          </w:tcPr>
          <w:p>
            <w:pPr>
              <w:ind w:left="300"/>
              <w:spacing w:after="0"/>
              <w:rPr>
                <w:sz w:val="20"/>
                <w:szCs w:val="20"/>
                <w:color w:val="auto"/>
              </w:rPr>
            </w:pPr>
            <w:r>
              <w:rPr>
                <w:rFonts w:ascii="Arial" w:cs="Arial" w:eastAsia="Arial" w:hAnsi="Arial"/>
                <w:sz w:val="18"/>
                <w:szCs w:val="18"/>
                <w:color w:val="auto"/>
              </w:rPr>
              <w:t>Form of Certificate of Appointment of Transfer Agent.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10260" w:type="dxa"/>
            <w:vAlign w:val="bottom"/>
          </w:tcPr>
          <w:p>
            <w:pPr>
              <w:ind w:left="300"/>
              <w:spacing w:after="0"/>
              <w:rPr>
                <w:sz w:val="20"/>
                <w:szCs w:val="20"/>
                <w:color w:val="auto"/>
              </w:rPr>
            </w:pPr>
            <w:r>
              <w:rPr>
                <w:rFonts w:ascii="Arial" w:cs="Arial" w:eastAsia="Arial" w:hAnsi="Arial"/>
                <w:sz w:val="18"/>
                <w:szCs w:val="18"/>
                <w:color w:val="auto"/>
              </w:rPr>
              <w:t>Form of Administration Agreement between Registrant and PennantPark Administration, LLC.</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10260" w:type="dxa"/>
            <w:vAlign w:val="bottom"/>
          </w:tcPr>
          <w:p>
            <w:pPr>
              <w:ind w:left="300"/>
              <w:spacing w:after="0"/>
              <w:rPr>
                <w:sz w:val="20"/>
                <w:szCs w:val="20"/>
                <w:color w:val="auto"/>
              </w:rPr>
            </w:pPr>
            <w:r>
              <w:rPr>
                <w:rFonts w:ascii="Arial" w:cs="Arial" w:eastAsia="Arial" w:hAnsi="Arial"/>
                <w:sz w:val="18"/>
                <w:szCs w:val="18"/>
                <w:color w:val="auto"/>
              </w:rPr>
              <w:t>Form of License Agreement between the Registrant and the Investment Adviser.</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10260" w:type="dxa"/>
            <w:vAlign w:val="bottom"/>
          </w:tcPr>
          <w:p>
            <w:pPr>
              <w:ind w:left="300"/>
              <w:spacing w:after="0"/>
              <w:rPr>
                <w:sz w:val="20"/>
                <w:szCs w:val="20"/>
                <w:color w:val="auto"/>
              </w:rPr>
            </w:pPr>
            <w:r>
              <w:rPr>
                <w:rFonts w:ascii="Arial" w:cs="Arial" w:eastAsia="Arial" w:hAnsi="Arial"/>
                <w:sz w:val="18"/>
                <w:szCs w:val="18"/>
                <w:color w:val="auto"/>
              </w:rPr>
              <w:t>Form of Sub-Administrative and Accounting Services Agreement.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10260" w:type="dxa"/>
            <w:vAlign w:val="bottom"/>
          </w:tcPr>
          <w:p>
            <w:pPr>
              <w:ind w:left="300"/>
              <w:spacing w:after="0"/>
              <w:rPr>
                <w:sz w:val="20"/>
                <w:szCs w:val="20"/>
                <w:color w:val="auto"/>
              </w:rPr>
            </w:pPr>
            <w:r>
              <w:rPr>
                <w:rFonts w:ascii="Arial" w:cs="Arial" w:eastAsia="Arial" w:hAnsi="Arial"/>
                <w:sz w:val="18"/>
                <w:szCs w:val="18"/>
                <w:color w:val="auto"/>
                <w:w w:val="87"/>
              </w:rPr>
              <w:t>Second Amended and Restated Agreement Regarding Repayment of Sales Load by and between the Registrant and the Investment Adviser.</w:t>
            </w:r>
            <w:r>
              <w:rPr>
                <w:rFonts w:ascii="Arial" w:cs="Arial" w:eastAsia="Arial" w:hAnsi="Arial"/>
                <w:sz w:val="11"/>
                <w:szCs w:val="11"/>
                <w:color w:val="auto"/>
                <w:w w:val="87"/>
              </w:rPr>
              <w:t>(1)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(l)(1)</w:t>
            </w:r>
          </w:p>
        </w:tc>
        <w:tc>
          <w:tcPr>
            <w:tcW w:w="10260" w:type="dxa"/>
            <w:vAlign w:val="bottom"/>
          </w:tcPr>
          <w:p>
            <w:pPr>
              <w:ind w:left="300"/>
              <w:spacing w:after="0"/>
              <w:rPr>
                <w:sz w:val="20"/>
                <w:szCs w:val="20"/>
                <w:color w:val="auto"/>
              </w:rPr>
            </w:pPr>
            <w:r>
              <w:rPr>
                <w:rFonts w:ascii="Arial" w:cs="Arial" w:eastAsia="Arial" w:hAnsi="Arial"/>
                <w:sz w:val="18"/>
                <w:szCs w:val="18"/>
                <w:color w:val="auto"/>
              </w:rPr>
              <w:t>Opinion and Consent of Maryland Counsel.</w:t>
            </w:r>
            <w:r>
              <w:rPr>
                <w:rFonts w:ascii="Arial" w:cs="Arial" w:eastAsia="Arial" w:hAnsi="Arial"/>
                <w:sz w:val="11"/>
                <w:szCs w:val="11"/>
                <w:color w:val="auto"/>
              </w:rPr>
              <w:t>(2)</w:t>
            </w:r>
          </w:p>
        </w:tc>
      </w:tr>
    </w:tbl>
    <w:p>
      <w:pPr>
        <w:spacing w:after="0" w:line="102" w:lineRule="exact"/>
        <w:rPr>
          <w:sz w:val="20"/>
          <w:szCs w:val="20"/>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PennantPark Floating Rate Capital Ltd. and the Investment Adviser.</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36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0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NASDAQ listing fees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fees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Printing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Underwriters’ Reimbursement</w:t>
            </w:r>
          </w:p>
        </w:tc>
        <w:tc>
          <w:tcPr>
            <w:tcW w:w="15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Immediately prior to this offering, PennantPark Investment Advisers, LLC, a Delaware limited liability company, will own shares of the Registrant, representing 100% of the common stock outstanding. Following the completion of this offering, PennantPark Investment Advisers, LLC’s share ownership is expected to represent less than 1% of the common stock outstanding.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Registrant’s common stock at March 4,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Record 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 to any person who served a predecessor of the Registrant in any of the capacities described above and any of the Registrant’s employees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4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Maryland law requires a corporation (unless its charter provides otherwise, which the Registrant’s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w:t>
      </w:r>
    </w:p>
    <w:p>
      <w:pPr>
        <w:spacing w:after="0" w:line="2" w:lineRule="exact"/>
        <w:rPr>
          <w:sz w:val="20"/>
          <w:szCs w:val="20"/>
          <w:color w:val="auto"/>
        </w:rPr>
      </w:pPr>
    </w:p>
    <w:p>
      <w:pPr>
        <w:ind w:firstLine="8"/>
        <w:spacing w:after="0" w:line="252"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4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Investment Management Agreement provides that PennantPark Investment Advisers, LLC and its officers, managers, partners, agents, employees, controlling persons, members and any other person of entity affiliated with the Investment Adviser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Management Agreement or otherwise as our investment adviser to the extent such damages, liabilities, costs and expenses do not arise by reason of willful misfeasance, bad faith, or gross negligence in PennantPark Investment Advisers, LLC’s performance of such duties or obligations, or PennantPark Investment Advisers, LLC’s reckless disregard of such duties or obligations.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description of the business of the Investment Adviser is set out in the sections entitled “Management” and “Certain Relationships and Transactions” in the prospectus which forms a part of this registration statement. A description of any other business, profession, vocation, or employment of a substantial nature in which each managing director, executive officer or investment professional of the Investment Adviser, is or has been, at any time during the past two fiscal years, engaged in for his or her own account or in the capacity of director, officer, employee, partner or trustee, is set out below:</w:t>
      </w:r>
    </w:p>
    <w:p>
      <w:pPr>
        <w:spacing w:after="0" w:line="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Additional Information regarding PennantPark Investment Advisers LLC and its officers and directors is set forth in its Form ADV, as filed with the Securities and Exchange Commission (SEC File No. 801-67622) under the Investment Advisers Act of 1940, as amended,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59 Maiden Lane, New York, NY 10038;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New York 10286;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8</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0"/>
              </w:rPr>
              <w:t>Title</w:t>
            </w:r>
          </w:p>
        </w:tc>
        <w:tc>
          <w:tcPr>
            <w:tcW w:w="106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Chief Executive Officer and 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8, 2011</w:t>
            </w:r>
          </w:p>
        </w:tc>
      </w:tr>
      <w:tr>
        <w:trPr>
          <w:trHeight w:val="222"/>
        </w:trPr>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2"/>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46"/>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(Aviv Efrat)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Treasurer (Principal Financial Officer)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8,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(Jeffrey Flug)</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8,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8,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(Samuel L. Katz)</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8,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16, 2010</w:t>
      </w:r>
    </w:p>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(k)(5)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PennantPark Floating Rate Capital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8,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ind w:right="4820"/>
        <w:spacing w:after="0" w:line="438" w:lineRule="auto"/>
        <w:rPr>
          <w:sz w:val="20"/>
          <w:szCs w:val="20"/>
          <w:color w:val="auto"/>
        </w:rPr>
      </w:pPr>
      <w:r>
        <w:rPr>
          <w:rFonts w:ascii="Arial" w:cs="Arial" w:eastAsia="Arial" w:hAnsi="Arial"/>
          <w:sz w:val="18"/>
          <w:szCs w:val="18"/>
          <w:color w:val="auto"/>
        </w:rPr>
        <w:t>Re: Second Amended and Restated Letter Agreement regarding the Repayment of Sales Load Gentlemen:</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Reference is hereby made to the letter agreement regarding the repayment of sales load accepted by you on April 7, 2011. By accepting this letter agreement, you hereby agree that this letter agreement shall amend and restate in its entirety the letter agreement of April 7,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your agreement to pay to the underwriters 2.0% of the sales load in connection with the initial public offering of common stock (the “IPO”)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(“PFLT”), and subject to the closing of such IPO, we hereby agree as follows:</w:t>
      </w:r>
    </w:p>
    <w:p>
      <w:pPr>
        <w:spacing w:after="0" w:line="165" w:lineRule="exact"/>
        <w:rPr>
          <w:sz w:val="20"/>
          <w:szCs w:val="20"/>
          <w:color w:val="auto"/>
        </w:rPr>
      </w:pPr>
    </w:p>
    <w:p>
      <w:pPr>
        <w:ind w:right="140" w:firstLine="8"/>
        <w:spacing w:after="0" w:line="268" w:lineRule="auto"/>
        <w:tabs>
          <w:tab w:leader="none" w:pos="1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$2,010,000 (or up to $2,311,500 upon exercise by the underwriters in full of their overallotment option) paid by you (the “Sales Load Amount”) shall not bear interest at any time.</w:t>
      </w:r>
    </w:p>
    <w:p>
      <w:pPr>
        <w:spacing w:after="0" w:line="131" w:lineRule="exact"/>
        <w:rPr>
          <w:rFonts w:ascii="Arial" w:cs="Arial" w:eastAsia="Arial" w:hAnsi="Arial"/>
          <w:sz w:val="18"/>
          <w:szCs w:val="18"/>
          <w:color w:val="auto"/>
        </w:rPr>
      </w:pPr>
    </w:p>
    <w:p>
      <w:pPr>
        <w:ind w:firstLine="8"/>
        <w:spacing w:after="0" w:line="294" w:lineRule="auto"/>
        <w:tabs>
          <w:tab w:leader="none" w:pos="1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later than two business days after a Payment Event (as defined below) has been determined to have occurred, PFLT shall pay you the Sales Load Amount. In this letter agreement, we refer to the payment date with respect to any Payment Event as the “Payment Date.” On the Payment Date, (a) PFLT shall pay the Sales Load Amount to you in cash, and (b) you, directly or through your affiliates or employees, shall use all of such payment amount to purchase shares of common stock of PFLT in the secondary market within 180 days of the Payment Date or as soon as reasonably practicable thereafter. All cash payments in respect of the Sales Load Amount shall be made to you in U.S. dollars by wire transfer of immediately available funds. In the event of any</w:t>
      </w:r>
    </w:p>
    <w:p>
      <w:pPr>
        <w:sectPr>
          <w:pgSz w:w="11900" w:h="16838" w:orient="portrait"/>
          <w:cols w:equalWidth="0" w:num="1">
            <w:col w:w="11420"/>
          </w:cols>
          <w:pgMar w:left="240" w:top="125" w:right="239" w:bottom="1440" w:gutter="0" w:footer="0" w:header="0"/>
        </w:sectPr>
      </w:pPr>
    </w:p>
    <w:bookmarkStart w:id="125" w:name="page126"/>
    <w:bookmarkEnd w:id="12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dissolution or winding up of PFLT, the Sales Load Amount shall be paid to you prior to the distribution of any assets to holders of PFLT’s common stock.</w:t>
      </w:r>
    </w:p>
    <w:p>
      <w:pPr>
        <w:spacing w:after="0" w:line="132"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Payment Event shall mean the occurrence of one or more of the following events on or before April 7, 2014:</w:t>
      </w:r>
    </w:p>
    <w:p>
      <w:pPr>
        <w:spacing w:after="0" w:line="171" w:lineRule="exact"/>
        <w:rPr>
          <w:rFonts w:ascii="Arial" w:cs="Arial" w:eastAsia="Arial" w:hAnsi="Arial"/>
          <w:sz w:val="18"/>
          <w:szCs w:val="18"/>
          <w:color w:val="auto"/>
        </w:rPr>
      </w:pPr>
    </w:p>
    <w:p>
      <w:pPr>
        <w:ind w:firstLine="464"/>
        <w:spacing w:after="0" w:line="306" w:lineRule="auto"/>
        <w:tabs>
          <w:tab w:leader="none" w:pos="695"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during any consecutive four calendar quarter period ending on or after the one year anniversary of the date of the closing of the IPO, the Pre-Incentive Fee Net Investment Income of PFLT (as such term is defined in the Investment Advisory Agreement dated as of April 7, 2011 between you and PFLT) equals or exceeds 7.0% of PFLT’s net assets at the beginning of such period (as adjusted for any share issuances or repurchases); or</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any liquidation, dissolution or winding up of PFLT.</w:t>
      </w:r>
    </w:p>
    <w:p>
      <w:pPr>
        <w:spacing w:after="0" w:line="171" w:lineRule="exact"/>
        <w:rPr>
          <w:rFonts w:ascii="Arial" w:cs="Arial" w:eastAsia="Arial" w:hAnsi="Arial"/>
          <w:sz w:val="18"/>
          <w:szCs w:val="18"/>
          <w:color w:val="auto"/>
        </w:rPr>
      </w:pPr>
    </w:p>
    <w:p>
      <w:pPr>
        <w:ind w:right="360" w:firstLine="8"/>
        <w:spacing w:after="0" w:line="268" w:lineRule="auto"/>
        <w:tabs>
          <w:tab w:leader="none" w:pos="1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Payment Event does not occur on or before April 7, 2014, PFLT’s obligation to pay you the Sales Load Amount shall automatically terminate, and this letter agreement shall be of no further effect.</w:t>
      </w:r>
    </w:p>
    <w:p>
      <w:pPr>
        <w:spacing w:after="0" w:line="131" w:lineRule="exact"/>
        <w:rPr>
          <w:rFonts w:ascii="Arial" w:cs="Arial" w:eastAsia="Arial" w:hAnsi="Arial"/>
          <w:sz w:val="18"/>
          <w:szCs w:val="18"/>
          <w:color w:val="auto"/>
        </w:rPr>
      </w:pPr>
    </w:p>
    <w:p>
      <w:pPr>
        <w:ind w:right="760" w:firstLine="8"/>
        <w:spacing w:after="0" w:line="332" w:lineRule="auto"/>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rights and obligations of PFLT hereunder shall be binding upon PFLT and its successors in interest and shall inure to the benefit of you and your successors, assigns, and transferees. Neither party may assign this letter agreement without the consent of the other party hereto.</w:t>
      </w:r>
    </w:p>
    <w:p>
      <w:pPr>
        <w:spacing w:after="0" w:line="85" w:lineRule="exact"/>
        <w:rPr>
          <w:rFonts w:ascii="Arial" w:cs="Arial" w:eastAsia="Arial" w:hAnsi="Arial"/>
          <w:sz w:val="16"/>
          <w:szCs w:val="16"/>
          <w:color w:val="auto"/>
        </w:rPr>
      </w:pPr>
    </w:p>
    <w:p>
      <w:pPr>
        <w:ind w:firstLine="8"/>
        <w:spacing w:after="0" w:line="294" w:lineRule="auto"/>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Any action or proceeding seeking to enforce any provision of, or based on any right arising out of, this Agreement may be brought against any of the parties in the courts of the State of New York, or, if it has or can acquire jurisdiction, in the U.S. District Court for the Southern District of New York,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1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letter agreement may be executed in one or more counterparts, each of which shall be deemed to be an original copy of this letter agreement and all of which, when taken together, shall be deemed to constitute one and the same agreement.</w:t>
      </w:r>
    </w:p>
    <w:p>
      <w:pPr>
        <w:sectPr>
          <w:pgSz w:w="11900" w:h="16838" w:orient="portrait"/>
          <w:cols w:equalWidth="0" w:num="1">
            <w:col w:w="11400"/>
          </w:cols>
          <w:pgMar w:left="240" w:top="280" w:right="259" w:bottom="1440" w:gutter="0" w:footer="0" w:header="0"/>
        </w:sectPr>
      </w:pPr>
    </w:p>
    <w:bookmarkStart w:id="126" w:name="page127"/>
    <w:bookmarkEnd w:id="126"/>
    <w:p>
      <w:pPr>
        <w:ind w:left="172" w:hanging="172"/>
        <w:spacing w:after="0"/>
        <w:tabs>
          <w:tab w:leader="none" w:pos="172"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agreement may not be modified, waived, discharged, or terminated orally, but only by an instrument in writing signed by the parties hereto.</w:t>
      </w:r>
    </w:p>
    <w:p>
      <w:pPr>
        <w:spacing w:after="0" w:line="194" w:lineRule="exact"/>
        <w:rPr>
          <w:rFonts w:ascii="Arial" w:cs="Arial" w:eastAsia="Arial" w:hAnsi="Arial"/>
          <w:sz w:val="16"/>
          <w:szCs w:val="16"/>
          <w:color w:val="auto"/>
        </w:rPr>
      </w:pPr>
    </w:p>
    <w:p>
      <w:pPr>
        <w:ind w:left="-8" w:firstLine="8"/>
        <w:spacing w:after="0" w:line="332" w:lineRule="auto"/>
        <w:tabs>
          <w:tab w:leader="none" w:pos="16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any provision of this letter agreement shall for any reason be held to be invalid or unenforceable, such invalidity or unenforceability shall not affect any other provision hereof, but this letter agreement shall be construed as if such invalid or unenforceable provision had never been contained herein.</w:t>
      </w:r>
    </w:p>
    <w:p>
      <w:pPr>
        <w:sectPr>
          <w:pgSz w:w="11900" w:h="16838" w:orient="portrait"/>
          <w:cols w:equalWidth="0" w:num="1">
            <w:col w:w="11392"/>
          </w:cols>
          <w:pgMar w:left="248" w:top="280" w:right="259" w:bottom="1440" w:gutter="0" w:footer="0" w:header="0"/>
        </w:sectPr>
      </w:pPr>
    </w:p>
    <w:bookmarkStart w:id="127" w:name="page128"/>
    <w:bookmarkEnd w:id="12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signature below shall signify your agreement with the foregoing letter agreement. Please sign two copies of this letter agreement, retaining one for your files and returning the other copy to PennantPark Floating Rate Capital Ltd.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8473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Duly executed and agreed on April 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8473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400"/>
          </w:cols>
          <w:pgMar w:left="240" w:top="280"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consent to the use of our report, dated March 4, 2011, included herein and to the references to our firm under the headings “Independent Registered Public Accounting Firm”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8, 2011</w:t>
      </w:r>
    </w:p>
    <w:p>
      <w:pPr>
        <w:sectPr>
          <w:pgSz w:w="11900" w:h="16838" w:orient="portrait"/>
          <w:cols w:equalWidth="0" w:num="1">
            <w:col w:w="11420"/>
          </w:cols>
          <w:pgMar w:left="240" w:top="125" w:right="239" w:bottom="1440" w:gutter="0" w:footer="0" w:header="0"/>
        </w:sectPr>
      </w:pPr>
    </w:p>
    <w:bookmarkStart w:id="129" w:name="page130"/>
    <w:bookmarkEnd w:id="129"/>
    <w:p>
      <w:pPr>
        <w:ind w:left="8040"/>
        <w:spacing w:after="0"/>
        <w:rPr>
          <w:sz w:val="20"/>
          <w:szCs w:val="20"/>
          <w:color w:val="auto"/>
        </w:rPr>
      </w:pPr>
      <w:r>
        <w:rPr>
          <w:rFonts w:ascii="Arial" w:cs="Arial" w:eastAsia="Arial" w:hAnsi="Arial"/>
          <w:sz w:val="18"/>
          <w:szCs w:val="18"/>
          <w:b w:val="1"/>
          <w:bCs w:val="1"/>
          <w:color w:val="auto"/>
        </w:rPr>
        <w:t>THOMAS FRIEDMANN</w:t>
      </w:r>
    </w:p>
    <w:p>
      <w:pPr>
        <w:spacing w:after="0" w:line="9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thomas.friedmann@dechert.com</w:t>
      </w:r>
    </w:p>
    <w:p>
      <w:pPr>
        <w:ind w:left="8040"/>
        <w:spacing w:after="0" w:line="234" w:lineRule="auto"/>
        <w:rPr>
          <w:sz w:val="20"/>
          <w:szCs w:val="20"/>
          <w:color w:val="auto"/>
        </w:rPr>
      </w:pPr>
      <w:r>
        <w:rPr>
          <w:rFonts w:ascii="Arial" w:cs="Arial" w:eastAsia="Arial" w:hAnsi="Arial"/>
          <w:sz w:val="18"/>
          <w:szCs w:val="18"/>
          <w:color w:val="auto"/>
        </w:rPr>
        <w:t>+1 202 261 3313 Direct</w:t>
      </w:r>
    </w:p>
    <w:p>
      <w:pPr>
        <w:ind w:left="8040"/>
        <w:spacing w:after="0" w:line="238" w:lineRule="auto"/>
        <w:rPr>
          <w:sz w:val="20"/>
          <w:szCs w:val="20"/>
          <w:color w:val="auto"/>
        </w:rPr>
      </w:pPr>
      <w:r>
        <w:rPr>
          <w:rFonts w:ascii="Arial" w:cs="Arial" w:eastAsia="Arial" w:hAnsi="Arial"/>
          <w:sz w:val="18"/>
          <w:szCs w:val="18"/>
          <w:color w:val="auto"/>
        </w:rPr>
        <w:t>+1 202 261 3016 Fax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8, 2011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 (the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Pennant Floating Rate Capital Ltd. (the “</w:t>
      </w:r>
      <w:r>
        <w:rPr>
          <w:rFonts w:ascii="Arial" w:cs="Arial" w:eastAsia="Arial" w:hAnsi="Arial"/>
          <w:sz w:val="18"/>
          <w:szCs w:val="18"/>
          <w:u w:val="single" w:color="auto"/>
          <w:color w:val="auto"/>
        </w:rPr>
        <w:t>Company</w:t>
      </w:r>
      <w:r>
        <w:rPr>
          <w:rFonts w:ascii="Arial" w:cs="Arial" w:eastAsia="Arial" w:hAnsi="Arial"/>
          <w:sz w:val="18"/>
          <w:szCs w:val="18"/>
          <w:color w:val="auto"/>
        </w:rPr>
        <w:t>”), and pursuant to Section 8(a)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we have submitted for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via the EDGAR System Pre-Effective Amendment No. 7 to the Company’s Registration Statement on Form N-2 (Registration Nos. 333-170243 and 811-22489).</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3"/>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lvl w:ilvl="1">
      <w:lvlJc w:val="left"/>
      <w:lvlText w:val="•"/>
      <w:numFmt w:val="bullet"/>
      <w:start w:val="1"/>
    </w:lvl>
  </w:abstractNum>
  <w:abstractNum w:abstractNumId="7">
    <w:nsid w:val="153EA438"/>
    <w:multiLevelType w:val="hybridMultilevel"/>
    <w:lvl w:ilvl="0">
      <w:lvlJc w:val="left"/>
      <w:lvlText w:val="(%1)"/>
      <w:numFmt w:val="decimal"/>
      <w:start w:val="6"/>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lowerRoman"/>
      <w:start w:val="2"/>
    </w:lvl>
  </w:abstractNum>
  <w:abstractNum w:abstractNumId="21">
    <w:nsid w:val="7644A45C"/>
    <w:multiLevelType w:val="hybridMultilevel"/>
    <w:lvl w:ilvl="0">
      <w:lvlJc w:val="left"/>
      <w:lvlText w:val="%1"/>
      <w:numFmt w:val="upperLetter"/>
      <w:start w:val="28"/>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5"/>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4"/>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lvl w:ilvl="1">
      <w:lvlJc w:val="left"/>
      <w:lvlText w:val="="/>
      <w:numFmt w:val="bullet"/>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lvl w:ilvl="1">
      <w:lvlJc w:val="left"/>
      <w:lvlText w:val="(%2)"/>
      <w:numFmt w:val="lowerLetter"/>
      <w:start w:val="1"/>
    </w:lvl>
  </w:abstractNum>
  <w:abstractNum w:abstractNumId="53">
    <w:nsid w:val="310C50B3"/>
    <w:multiLevelType w:val="hybridMultilevel"/>
    <w:lvl w:ilvl="0">
      <w:lvlJc w:val="left"/>
      <w:lvlText w:val="(%1)"/>
      <w:numFmt w:val="decimal"/>
      <w:start w:val="4"/>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1)"/>
      <w:numFmt w:val="decimal"/>
      <w:start w:val="2"/>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3"/>
    </w:lvl>
  </w:abstractNum>
  <w:abstractNum w:abstractNumId="59">
    <w:nsid w:val="1F48EAA1"/>
    <w:multiLevelType w:val="hybridMultilevel"/>
    <w:lvl w:ilvl="0">
      <w:lvlJc w:val="left"/>
      <w:lvlText w:val="(%1)"/>
      <w:numFmt w:val="lowerRoman"/>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9"/>
    </w:lvl>
  </w:abstractNum>
  <w:abstractNum w:abstractNumId="66">
    <w:nsid w:val="98A3148"/>
    <w:multiLevelType w:val="hybridMultilevel"/>
    <w:lvl w:ilvl="0">
      <w:lvlJc w:val="left"/>
      <w:lvlText w:val="(%1)"/>
      <w:numFmt w:val="lowerLetter"/>
      <w:start w:val="13"/>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3"/>
    </w:lvl>
    <w:lvl w:ilvl="1">
      <w:lvlJc w:val="left"/>
      <w:lvlText w:val="(%2)"/>
      <w:numFmt w:val="lowerLetter"/>
      <w:start w:val="1"/>
    </w:lvl>
  </w:abstractNum>
  <w:abstractNum w:abstractNumId="73">
    <w:nsid w:val="5DC79EA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2019-12-11T08:58:37Z</dcterms:created>
  <dcterms:modified xsi:type="dcterms:W3CDTF">2019-12-11T08:58:37Z</dcterms:modified>
</cp:coreProperties>
</file>