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November 02, 2016</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200"/>
        <w:spacing w:after="0" w:line="250" w:lineRule="auto"/>
        <w:rPr>
          <w:sz w:val="20"/>
          <w:szCs w:val="20"/>
          <w:color w:val="auto"/>
        </w:rPr>
      </w:pPr>
      <w:r>
        <w:rPr>
          <w:rFonts w:ascii="Arial" w:cs="Arial" w:eastAsia="Arial" w:hAnsi="Arial"/>
          <w:sz w:val="22"/>
          <w:szCs w:val="22"/>
          <w:color w:val="auto"/>
        </w:rPr>
        <w:t>On November 2, 2016,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49" w:lineRule="auto"/>
        <w:rPr>
          <w:sz w:val="20"/>
          <w:szCs w:val="20"/>
          <w:color w:val="auto"/>
        </w:rPr>
      </w:pPr>
      <w:r>
        <w:rPr>
          <w:rFonts w:ascii="Arial" w:cs="Arial" w:eastAsia="Arial" w:hAnsi="Arial"/>
          <w:sz w:val="21"/>
          <w:szCs w:val="21"/>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4"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0"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November 02,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80" w:type="dxa"/>
            <w:vAlign w:val="bottom"/>
          </w:tcPr>
          <w:p>
            <w:pPr>
              <w:spacing w:after="0"/>
              <w:rPr>
                <w:sz w:val="20"/>
                <w:szCs w:val="20"/>
                <w:color w:val="auto"/>
              </w:rPr>
            </w:pPr>
            <w:r>
              <w:rPr>
                <w:rFonts w:ascii="Arial" w:cs="Arial" w:eastAsia="Arial" w:hAnsi="Arial"/>
                <w:sz w:val="22"/>
                <w:szCs w:val="22"/>
                <w:color w:val="auto"/>
              </w:rPr>
              <w:t>Dated: November 02, 2016</w:t>
            </w:r>
          </w:p>
        </w:tc>
        <w:tc>
          <w:tcPr>
            <w:tcW w:w="6640" w:type="dxa"/>
            <w:vAlign w:val="bottom"/>
            <w:gridSpan w:val="3"/>
          </w:tcPr>
          <w:p>
            <w:pPr>
              <w:ind w:left="164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980" w:type="dxa"/>
            <w:vAlign w:val="bottom"/>
          </w:tcPr>
          <w:p>
            <w:pPr>
              <w:spacing w:after="0"/>
              <w:rPr>
                <w:sz w:val="24"/>
                <w:szCs w:val="24"/>
                <w:color w:val="auto"/>
              </w:rPr>
            </w:pPr>
          </w:p>
        </w:tc>
        <w:tc>
          <w:tcPr>
            <w:tcW w:w="6640" w:type="dxa"/>
            <w:vAlign w:val="bottom"/>
            <w:gridSpan w:val="3"/>
          </w:tcPr>
          <w:p>
            <w:pPr>
              <w:ind w:left="1640"/>
              <w:spacing w:after="0"/>
              <w:rPr>
                <w:sz w:val="20"/>
                <w:szCs w:val="20"/>
                <w:color w:val="auto"/>
              </w:rPr>
            </w:pPr>
            <w:r>
              <w:rPr>
                <w:rFonts w:ascii="Arial" w:cs="Arial" w:eastAsia="Arial" w:hAnsi="Arial"/>
                <w:sz w:val="22"/>
                <w:szCs w:val="22"/>
                <w:color w:val="auto"/>
              </w:rPr>
              <w:t>By: /s/ Aviv Efrat</w:t>
            </w:r>
          </w:p>
        </w:tc>
      </w:tr>
      <w:tr>
        <w:trPr>
          <w:trHeight w:val="20"/>
        </w:trPr>
        <w:tc>
          <w:tcPr>
            <w:tcW w:w="3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980" w:type="dxa"/>
            <w:vAlign w:val="bottom"/>
          </w:tcPr>
          <w:p>
            <w:pPr>
              <w:spacing w:after="0"/>
              <w:rPr>
                <w:sz w:val="21"/>
                <w:szCs w:val="21"/>
                <w:color w:val="auto"/>
              </w:rPr>
            </w:pPr>
          </w:p>
        </w:tc>
        <w:tc>
          <w:tcPr>
            <w:tcW w:w="6640" w:type="dxa"/>
            <w:vAlign w:val="bottom"/>
            <w:gridSpan w:val="3"/>
          </w:tcPr>
          <w:p>
            <w:pPr>
              <w:ind w:left="18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80" w:type="dxa"/>
            <w:vAlign w:val="bottom"/>
          </w:tcPr>
          <w:p>
            <w:pPr>
              <w:spacing w:after="0"/>
              <w:rPr>
                <w:sz w:val="23"/>
                <w:szCs w:val="23"/>
                <w:color w:val="auto"/>
              </w:rPr>
            </w:pPr>
          </w:p>
        </w:tc>
        <w:tc>
          <w:tcPr>
            <w:tcW w:w="6640" w:type="dxa"/>
            <w:vAlign w:val="bottom"/>
            <w:gridSpan w:val="3"/>
          </w:tcPr>
          <w:p>
            <w:pPr>
              <w:ind w:left="190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9"/>
              </w:rPr>
              <w:t>November 02, 2016</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NEW YORK, NY -- (Marketwired - November 02, 2016) - PennantPark Floating Rate Capital Ltd. (the "Company") (NASDAQ: PFLT) declares monthly distribution for November 2016 of $0.095 per share, payable on December 1, 2016 to stockholders of record as of November 18, 2016.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60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24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2020-05-05T12:04:41Z</dcterms:created>
  <dcterms:modified xsi:type="dcterms:W3CDTF">2020-05-05T12:04:41Z</dcterms:modified>
</cp:coreProperties>
</file>