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497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333-180084</w:t>
      </w:r>
    </w:p>
    <w:p>
      <w:pPr>
        <w:spacing w:after="0" w:line="145" w:lineRule="exact"/>
        <w:rPr>
          <w:sz w:val="24"/>
          <w:szCs w:val="24"/>
          <w:color w:val="auto"/>
        </w:rPr>
      </w:pPr>
    </w:p>
    <w:p>
      <w:pPr>
        <w:ind w:right="40"/>
        <w:spacing w:after="0" w:line="310" w:lineRule="auto"/>
        <w:rPr>
          <w:sz w:val="20"/>
          <w:szCs w:val="20"/>
          <w:color w:val="auto"/>
        </w:rPr>
      </w:pPr>
      <w:r>
        <w:rPr>
          <w:rFonts w:ascii="Arial" w:cs="Arial" w:eastAsia="Arial" w:hAnsi="Arial"/>
          <w:sz w:val="16"/>
          <w:szCs w:val="16"/>
          <w:b w:val="1"/>
          <w:bCs w:val="1"/>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March 20, 2013</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July 26,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127000</wp:posOffset>
            </wp:positionV>
            <wp:extent cx="246126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3,000,000 Shares</w:t>
      </w:r>
    </w:p>
    <w:p>
      <w:pPr>
        <w:spacing w:after="0" w:line="71"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17" w:lineRule="exact"/>
        <w:rPr>
          <w:sz w:val="24"/>
          <w:szCs w:val="24"/>
          <w:color w:val="auto"/>
        </w:rPr>
      </w:pPr>
    </w:p>
    <w:p>
      <w:pPr>
        <w:ind w:right="380" w:firstLine="456"/>
        <w:spacing w:after="0" w:line="306" w:lineRule="auto"/>
        <w:rPr>
          <w:sz w:val="20"/>
          <w:szCs w:val="20"/>
          <w:color w:val="auto"/>
        </w:rPr>
      </w:pPr>
      <w:r>
        <w:rPr>
          <w:rFonts w:ascii="Arial" w:cs="Arial" w:eastAsia="Arial" w:hAnsi="Arial"/>
          <w:sz w:val="16"/>
          <w:szCs w:val="16"/>
          <w:color w:val="auto"/>
        </w:rPr>
        <w:t>We are offering for sale 3,000,000 shares of our common stock. Our common stock is traded on the NASDAQ Global Select Market under the symbol “PFLT.” The last reported closing price for our common stock on March 19, 2013 was $14.23 per share. The net asset value of our common stock on December 31, 2012 (the last date prior to the date of this prospectus supplement on which we determined net asset value) was $13.99 per share.</w:t>
      </w:r>
    </w:p>
    <w:p>
      <w:pPr>
        <w:spacing w:after="0" w:line="53" w:lineRule="exact"/>
        <w:rPr>
          <w:sz w:val="24"/>
          <w:szCs w:val="24"/>
          <w:color w:val="auto"/>
        </w:rPr>
      </w:pPr>
    </w:p>
    <w:p>
      <w:pPr>
        <w:ind w:right="120" w:firstLine="456"/>
        <w:spacing w:after="0" w:line="290"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business development company, or a BDC, under the Investment Company Act of 1940, as amended, or the 1940 Act. 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over it. We are externally managed by PennantPark Investment Advisers, LLC. PennantPark Investment Administration, LLC provides the administrative services necessary for us to operate.</w:t>
      </w:r>
    </w:p>
    <w:p>
      <w:pPr>
        <w:spacing w:after="0" w:line="64"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60" w:lineRule="exact"/>
        <w:rPr>
          <w:sz w:val="24"/>
          <w:szCs w:val="24"/>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“Risk Factors” beginning on page S-12 of this prospectus supplement and page 8 of the accompanying prospectus.</w:t>
      </w:r>
    </w:p>
    <w:p>
      <w:pPr>
        <w:spacing w:after="0" w:line="78"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8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(sales load) </w:t>
            </w:r>
            <w:r>
              <w:rPr>
                <w:rFonts w:ascii="Arial" w:cs="Arial" w:eastAsia="Arial" w:hAnsi="Arial"/>
                <w:sz w:val="11"/>
                <w:szCs w:val="11"/>
                <w:b w:val="1"/>
                <w:bCs w:val="1"/>
                <w:color w:val="auto"/>
              </w:rPr>
              <w:t>(1)</w:t>
            </w:r>
          </w:p>
        </w:tc>
        <w:tc>
          <w:tcPr>
            <w:tcW w:w="22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Floating Rate Capital, Ltd (before estimated expenses of $400,000)</w:t>
            </w:r>
          </w:p>
        </w:tc>
        <w:tc>
          <w:tcPr>
            <w:tcW w:w="22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960" w:type="dxa"/>
            <w:vAlign w:val="bottom"/>
            <w:gridSpan w:val="6"/>
          </w:tcPr>
          <w:p>
            <w:pPr>
              <w:ind w:left="220"/>
              <w:spacing w:after="0"/>
              <w:rPr>
                <w:sz w:val="20"/>
                <w:szCs w:val="20"/>
                <w:color w:val="auto"/>
              </w:rPr>
            </w:pPr>
            <w:r>
              <w:rPr>
                <w:rFonts w:ascii="Arial" w:cs="Arial" w:eastAsia="Arial" w:hAnsi="Arial"/>
                <w:sz w:val="18"/>
                <w:szCs w:val="18"/>
                <w:color w:val="auto"/>
                <w:w w:val="92"/>
              </w:rPr>
              <w:t>(1)Our investment adviser, PennantPark Investment Advisers, LLC, has agreed to pay the underwriters $</w:t>
            </w:r>
          </w:p>
        </w:tc>
        <w:tc>
          <w:tcPr>
            <w:tcW w:w="1560" w:type="dxa"/>
            <w:vAlign w:val="bottom"/>
            <w:gridSpan w:val="2"/>
          </w:tcPr>
          <w:p>
            <w:pPr>
              <w:jc w:val="right"/>
              <w:ind w:right="212"/>
              <w:spacing w:after="0"/>
              <w:rPr>
                <w:sz w:val="20"/>
                <w:szCs w:val="20"/>
                <w:color w:val="auto"/>
              </w:rPr>
            </w:pPr>
            <w:r>
              <w:rPr>
                <w:rFonts w:ascii="Arial" w:cs="Arial" w:eastAsia="Arial" w:hAnsi="Arial"/>
                <w:sz w:val="18"/>
                <w:szCs w:val="18"/>
                <w:color w:val="auto"/>
              </w:rPr>
              <w:t>million, or $</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w w:val="99"/>
              </w:rPr>
              <w:t>per share of the sales</w:t>
            </w:r>
          </w:p>
        </w:tc>
      </w:tr>
      <w:tr>
        <w:trPr>
          <w:trHeight w:val="216"/>
        </w:trPr>
        <w:tc>
          <w:tcPr>
            <w:tcW w:w="11340" w:type="dxa"/>
            <w:vAlign w:val="bottom"/>
            <w:gridSpan w:val="10"/>
          </w:tcPr>
          <w:p>
            <w:pPr>
              <w:ind w:left="440"/>
              <w:spacing w:after="0"/>
              <w:rPr>
                <w:sz w:val="20"/>
                <w:szCs w:val="20"/>
                <w:color w:val="auto"/>
              </w:rPr>
            </w:pPr>
            <w:r>
              <w:rPr>
                <w:rFonts w:ascii="Arial" w:cs="Arial" w:eastAsia="Arial" w:hAnsi="Arial"/>
                <w:sz w:val="18"/>
                <w:szCs w:val="18"/>
                <w:color w:val="auto"/>
                <w:w w:val="91"/>
              </w:rPr>
              <w:t>load in connection with this offering, which is not reflected in the above table. All other expenses of the offering including the sales load not paid by our</w:t>
            </w:r>
          </w:p>
        </w:tc>
      </w:tr>
      <w:tr>
        <w:trPr>
          <w:trHeight w:val="222"/>
        </w:trPr>
        <w:tc>
          <w:tcPr>
            <w:tcW w:w="3200" w:type="dxa"/>
            <w:vAlign w:val="bottom"/>
          </w:tcPr>
          <w:p>
            <w:pPr>
              <w:ind w:left="440"/>
              <w:spacing w:after="0"/>
              <w:rPr>
                <w:sz w:val="20"/>
                <w:szCs w:val="20"/>
                <w:color w:val="auto"/>
              </w:rPr>
            </w:pPr>
            <w:r>
              <w:rPr>
                <w:rFonts w:ascii="Arial" w:cs="Arial" w:eastAsia="Arial" w:hAnsi="Arial"/>
                <w:sz w:val="18"/>
                <w:szCs w:val="18"/>
                <w:color w:val="auto"/>
                <w:w w:val="88"/>
              </w:rPr>
              <w:t>investment adviser will be borne by us.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64"/>
        </w:trPr>
        <w:tc>
          <w:tcPr>
            <w:tcW w:w="4520" w:type="dxa"/>
            <w:vAlign w:val="bottom"/>
            <w:gridSpan w:val="3"/>
          </w:tcPr>
          <w:p>
            <w:pPr>
              <w:spacing w:after="0"/>
              <w:rPr>
                <w:sz w:val="14"/>
                <w:szCs w:val="14"/>
                <w:color w:val="auto"/>
              </w:rPr>
            </w:pPr>
          </w:p>
        </w:tc>
        <w:tc>
          <w:tcPr>
            <w:tcW w:w="2380" w:type="dxa"/>
            <w:vAlign w:val="bottom"/>
            <w:tcBorders>
              <w:bottom w:val="single" w:sz="8" w:color="auto"/>
            </w:tcBorders>
            <w:gridSpan w:val="2"/>
          </w:tcPr>
          <w:p>
            <w:pPr>
              <w:spacing w:after="0"/>
              <w:rPr>
                <w:sz w:val="14"/>
                <w:szCs w:val="14"/>
                <w:color w:val="auto"/>
              </w:rPr>
            </w:pPr>
          </w:p>
        </w:tc>
        <w:tc>
          <w:tcPr>
            <w:tcW w:w="4440" w:type="dxa"/>
            <w:vAlign w:val="bottom"/>
            <w:gridSpan w:val="5"/>
          </w:tcPr>
          <w:p>
            <w:pPr>
              <w:spacing w:after="0"/>
              <w:rPr>
                <w:sz w:val="14"/>
                <w:szCs w:val="14"/>
                <w:color w:val="auto"/>
              </w:rPr>
            </w:pPr>
          </w:p>
        </w:tc>
      </w:tr>
      <w:tr>
        <w:trPr>
          <w:trHeight w:val="276"/>
        </w:trPr>
        <w:tc>
          <w:tcPr>
            <w:tcW w:w="11340" w:type="dxa"/>
            <w:vAlign w:val="bottom"/>
            <w:gridSpan w:val="10"/>
          </w:tcPr>
          <w:p>
            <w:pPr>
              <w:ind w:left="460"/>
              <w:spacing w:after="0"/>
              <w:rPr>
                <w:sz w:val="20"/>
                <w:szCs w:val="20"/>
                <w:color w:val="auto"/>
              </w:rPr>
            </w:pPr>
            <w:r>
              <w:rPr>
                <w:rFonts w:ascii="Arial" w:cs="Arial" w:eastAsia="Arial" w:hAnsi="Arial"/>
                <w:sz w:val="18"/>
                <w:szCs w:val="18"/>
                <w:b w:val="1"/>
                <w:bCs w:val="1"/>
                <w:color w:val="auto"/>
                <w:w w:val="88"/>
              </w:rPr>
              <w:t>The underwriters may also purchase up to an additional 450,000 shares from us at the public offering price, within 30 days from the date of this</w:t>
            </w:r>
          </w:p>
        </w:tc>
      </w:tr>
      <w:tr>
        <w:trPr>
          <w:trHeight w:val="216"/>
        </w:trPr>
        <w:tc>
          <w:tcPr>
            <w:tcW w:w="10720" w:type="dxa"/>
            <w:vAlign w:val="bottom"/>
            <w:gridSpan w:val="9"/>
          </w:tcPr>
          <w:p>
            <w:pPr>
              <w:spacing w:after="0"/>
              <w:rPr>
                <w:sz w:val="20"/>
                <w:szCs w:val="20"/>
                <w:color w:val="auto"/>
              </w:rPr>
            </w:pPr>
            <w:r>
              <w:rPr>
                <w:rFonts w:ascii="Arial" w:cs="Arial" w:eastAsia="Arial" w:hAnsi="Arial"/>
                <w:sz w:val="18"/>
                <w:szCs w:val="18"/>
                <w:b w:val="1"/>
                <w:bCs w:val="1"/>
                <w:color w:val="auto"/>
                <w:w w:val="89"/>
              </w:rPr>
              <w:t>prospectus supplement to cover overallotments, if any. If the underwriters exercise this option in full, the total public offering price will be $</w:t>
            </w:r>
          </w:p>
        </w:tc>
        <w:tc>
          <w:tcPr>
            <w:tcW w:w="620" w:type="dxa"/>
            <w:vAlign w:val="bottom"/>
          </w:tcPr>
          <w:p>
            <w:pPr>
              <w:ind w:left="260"/>
              <w:spacing w:after="0"/>
              <w:rPr>
                <w:sz w:val="20"/>
                <w:szCs w:val="20"/>
                <w:color w:val="auto"/>
              </w:rPr>
            </w:pPr>
            <w:r>
              <w:rPr>
                <w:rFonts w:ascii="Arial" w:cs="Arial" w:eastAsia="Arial" w:hAnsi="Arial"/>
                <w:sz w:val="18"/>
                <w:szCs w:val="18"/>
                <w:b w:val="1"/>
                <w:bCs w:val="1"/>
                <w:color w:val="auto"/>
                <w:w w:val="91"/>
              </w:rPr>
              <w:t>, the</w:t>
            </w:r>
          </w:p>
        </w:tc>
      </w:tr>
      <w:tr>
        <w:trPr>
          <w:trHeight w:val="216"/>
        </w:trPr>
        <w:tc>
          <w:tcPr>
            <w:tcW w:w="6440" w:type="dxa"/>
            <w:vAlign w:val="bottom"/>
            <w:gridSpan w:val="4"/>
          </w:tcPr>
          <w:p>
            <w:pPr>
              <w:spacing w:after="0"/>
              <w:rPr>
                <w:sz w:val="20"/>
                <w:szCs w:val="20"/>
                <w:color w:val="auto"/>
              </w:rPr>
            </w:pPr>
            <w:r>
              <w:rPr>
                <w:rFonts w:ascii="Arial" w:cs="Arial" w:eastAsia="Arial" w:hAnsi="Arial"/>
                <w:sz w:val="18"/>
                <w:szCs w:val="18"/>
                <w:b w:val="1"/>
                <w:bCs w:val="1"/>
                <w:color w:val="auto"/>
                <w:w w:val="89"/>
              </w:rPr>
              <w:t>underwriting discount and commissions (sales load) that will be paid by us will be $</w:t>
            </w:r>
          </w:p>
        </w:tc>
        <w:tc>
          <w:tcPr>
            <w:tcW w:w="4900" w:type="dxa"/>
            <w:vAlign w:val="bottom"/>
            <w:gridSpan w:val="6"/>
          </w:tcPr>
          <w:p>
            <w:pPr>
              <w:ind w:left="200"/>
              <w:spacing w:after="0"/>
              <w:rPr>
                <w:sz w:val="20"/>
                <w:szCs w:val="20"/>
                <w:color w:val="auto"/>
              </w:rPr>
            </w:pPr>
            <w:r>
              <w:rPr>
                <w:rFonts w:ascii="Arial" w:cs="Arial" w:eastAsia="Arial" w:hAnsi="Arial"/>
                <w:sz w:val="18"/>
                <w:szCs w:val="18"/>
                <w:b w:val="1"/>
                <w:bCs w:val="1"/>
                <w:color w:val="auto"/>
                <w:w w:val="87"/>
              </w:rPr>
              <w:t>million and the underwriting discount and commission paid by</w:t>
            </w:r>
          </w:p>
        </w:tc>
      </w:tr>
      <w:tr>
        <w:trPr>
          <w:trHeight w:val="22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PennantPark Investment Advisers, LLC will be $</w:t>
            </w:r>
          </w:p>
        </w:tc>
        <w:tc>
          <w:tcPr>
            <w:tcW w:w="422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million and total proceeds, before expenses, will be $</w:t>
            </w:r>
          </w:p>
        </w:tc>
        <w:tc>
          <w:tcPr>
            <w:tcW w:w="900" w:type="dxa"/>
            <w:vAlign w:val="bottom"/>
          </w:tcPr>
          <w:p>
            <w:pPr>
              <w:jc w:val="right"/>
              <w:ind w:right="4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24"/>
        </w:trPr>
        <w:tc>
          <w:tcPr>
            <w:tcW w:w="6440" w:type="dxa"/>
            <w:vAlign w:val="bottom"/>
            <w:gridSpan w:val="4"/>
          </w:tcPr>
          <w:p>
            <w:pPr>
              <w:ind w:left="460"/>
              <w:spacing w:after="0"/>
              <w:rPr>
                <w:sz w:val="20"/>
                <w:szCs w:val="20"/>
                <w:color w:val="auto"/>
              </w:rPr>
            </w:pPr>
            <w:r>
              <w:rPr>
                <w:rFonts w:ascii="Arial" w:cs="Arial" w:eastAsia="Arial" w:hAnsi="Arial"/>
                <w:sz w:val="18"/>
                <w:szCs w:val="18"/>
                <w:b w:val="1"/>
                <w:bCs w:val="1"/>
                <w:color w:val="auto"/>
                <w:w w:val="96"/>
              </w:rPr>
              <w:t>The underwriters expect to deliver the shares on or about March   , 2013.</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49"/>
        </w:trPr>
        <w:tc>
          <w:tcPr>
            <w:tcW w:w="320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1200" w:type="dxa"/>
            <w:vAlign w:val="bottom"/>
          </w:tcPr>
          <w:p>
            <w:pPr>
              <w:ind w:left="20"/>
              <w:spacing w:after="0"/>
              <w:rPr>
                <w:sz w:val="20"/>
                <w:szCs w:val="20"/>
                <w:color w:val="auto"/>
              </w:rPr>
            </w:pPr>
            <w:r>
              <w:rPr>
                <w:rFonts w:ascii="Arial" w:cs="Arial" w:eastAsia="Arial" w:hAnsi="Arial"/>
                <w:sz w:val="22"/>
                <w:szCs w:val="22"/>
                <w:b w:val="1"/>
                <w:bCs w:val="1"/>
                <w:color w:val="auto"/>
                <w:w w:val="92"/>
              </w:rPr>
              <w:t>J.P. Morgan</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gridSpan w:val="3"/>
          </w:tcPr>
          <w:p>
            <w:pPr>
              <w:jc w:val="right"/>
              <w:spacing w:after="0"/>
              <w:rPr>
                <w:sz w:val="20"/>
                <w:szCs w:val="20"/>
                <w:color w:val="auto"/>
              </w:rPr>
            </w:pPr>
            <w:r>
              <w:rPr>
                <w:rFonts w:ascii="Arial" w:cs="Arial" w:eastAsia="Arial" w:hAnsi="Arial"/>
                <w:sz w:val="22"/>
                <w:szCs w:val="22"/>
                <w:b w:val="1"/>
                <w:bCs w:val="1"/>
                <w:color w:val="auto"/>
                <w:w w:val="95"/>
              </w:rPr>
              <w:t>Keefe, Bruyette &amp; Woods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14"/>
          <w:szCs w:val="14"/>
          <w:i w:val="1"/>
          <w:iCs w:val="1"/>
          <w:color w:val="auto"/>
        </w:rPr>
        <w:t>A Stifel Company</w:t>
      </w:r>
    </w:p>
    <w:p>
      <w:pPr>
        <w:sectPr>
          <w:pgSz w:w="11900" w:h="16838" w:orient="portrait"/>
          <w:cols w:equalWidth="0" w:num="1">
            <w:col w:w="11420"/>
          </w:cols>
          <w:pgMar w:left="240" w:top="230" w:right="239" w:bottom="1440" w:gutter="0" w:footer="0" w:header="0"/>
        </w:sectPr>
      </w:pPr>
    </w:p>
    <w:p>
      <w:pPr>
        <w:spacing w:after="0" w:line="229" w:lineRule="exact"/>
        <w:rPr>
          <w:sz w:val="24"/>
          <w:szCs w:val="24"/>
          <w:color w:val="auto"/>
        </w:rPr>
      </w:pPr>
    </w:p>
    <w:p>
      <w:pPr>
        <w:jc w:val="center"/>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March</w:t>
      </w:r>
      <w:r>
        <w:rPr>
          <w:sz w:val="20"/>
          <w:szCs w:val="20"/>
          <w:color w:val="auto"/>
        </w:rPr>
        <w:tab/>
      </w:r>
      <w:r>
        <w:rPr>
          <w:rFonts w:ascii="Arial" w:cs="Arial" w:eastAsia="Arial" w:hAnsi="Arial"/>
          <w:sz w:val="15"/>
          <w:szCs w:val="15"/>
          <w:b w:val="1"/>
          <w:bCs w:val="1"/>
          <w:color w:val="auto"/>
        </w:rPr>
        <w:t>, 2013.</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3"/>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620" w:type="dxa"/>
            <w:vAlign w:val="bottom"/>
            <w:tcBorders>
              <w:bottom w:val="single" w:sz="8" w:color="0000EE"/>
            </w:tcBorders>
            <w:gridSpan w:val="18"/>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FEES AND EXPENSES</w:t>
              </w:r>
            </w:hyperlink>
          </w:p>
        </w:tc>
        <w:tc>
          <w:tcPr>
            <w:tcW w:w="910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S-10</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4"/>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RISK FACTORS</w:t>
              </w:r>
            </w:hyperlink>
          </w:p>
        </w:tc>
        <w:tc>
          <w:tcPr>
            <w:tcW w:w="79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6">
              <w:r>
                <w:rPr>
                  <w:rFonts w:ascii="Arial" w:cs="Arial" w:eastAsia="Arial" w:hAnsi="Arial"/>
                  <w:sz w:val="18"/>
                  <w:szCs w:val="18"/>
                  <w:b w:val="1"/>
                  <w:bCs w:val="1"/>
                  <w:color w:val="0000EE"/>
                  <w:w w:val="93"/>
                </w:rPr>
                <w:t>USE OF PROCEEDS</w:t>
              </w:r>
            </w:hyperlink>
          </w:p>
        </w:tc>
        <w:tc>
          <w:tcPr>
            <w:tcW w:w="930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CAPITALIZATION</w:t>
              </w:r>
            </w:hyperlink>
          </w:p>
        </w:tc>
        <w:tc>
          <w:tcPr>
            <w:tcW w:w="940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PRICE RANGE OF COMMON STOCK</w:t>
              </w:r>
            </w:hyperlink>
          </w:p>
        </w:tc>
        <w:tc>
          <w:tcPr>
            <w:tcW w:w="78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SELECTED FINANCIAL DATA</w:t>
              </w:r>
            </w:hyperlink>
          </w:p>
        </w:tc>
        <w:tc>
          <w:tcPr>
            <w:tcW w:w="84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S-18</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ADDITIONAL MATERIAL U.S. FEDERAL INCOME TAX CONSIDERATIONS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S-33</w:t>
            </w:r>
          </w:p>
        </w:tc>
        <w:tc>
          <w:tcPr>
            <w:tcW w:w="0" w:type="dxa"/>
            <w:vAlign w:val="bottom"/>
          </w:tcPr>
          <w:p>
            <w:pPr>
              <w:spacing w:after="0"/>
              <w:rPr>
                <w:sz w:val="1"/>
                <w:szCs w:val="1"/>
                <w:color w:val="auto"/>
              </w:rPr>
            </w:pPr>
          </w:p>
        </w:tc>
      </w:tr>
      <w:tr>
        <w:trPr>
          <w:trHeight w:val="196"/>
        </w:trPr>
        <w:tc>
          <w:tcPr>
            <w:tcW w:w="620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UNDERWRITING</w:t>
              </w:r>
            </w:hyperlink>
          </w:p>
        </w:tc>
        <w:tc>
          <w:tcPr>
            <w:tcW w:w="47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S-40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INDEX TO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4"/>
              </w:rPr>
              <w:t>S-41</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3"/>
          </w:tcPr>
          <w:p>
            <w:pPr>
              <w:ind w:left="320"/>
              <w:spacing w:after="0"/>
              <w:rPr>
                <w:sz w:val="20"/>
                <w:szCs w:val="20"/>
                <w:color w:val="auto"/>
              </w:rPr>
            </w:pPr>
            <w:r>
              <w:rPr>
                <w:rFonts w:ascii="Arial" w:cs="Arial" w:eastAsia="Arial" w:hAnsi="Arial"/>
                <w:sz w:val="18"/>
                <w:szCs w:val="18"/>
                <w:b w:val="1"/>
                <w:bCs w:val="1"/>
                <w:color w:val="auto"/>
              </w:rPr>
              <w:t>PROSPECTUS</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940" w:type="dxa"/>
            <w:vAlign w:val="bottom"/>
            <w:gridSpan w:val="25"/>
            <w:vMerge w:val="restart"/>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PROSPECTUS SUMMARY</w:t>
              </w:r>
            </w:hyperlink>
          </w:p>
        </w:tc>
        <w:tc>
          <w:tcPr>
            <w:tcW w:w="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25"/>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FEES AND EXPENSES</w:t>
              </w:r>
            </w:hyperlink>
          </w:p>
        </w:tc>
        <w:tc>
          <w:tcPr>
            <w:tcW w:w="8800" w:type="dxa"/>
            <w:vAlign w:val="bottom"/>
            <w:gridSpan w:val="14"/>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RISK FACTORS</w:t>
              </w:r>
            </w:hyperlink>
          </w:p>
        </w:tc>
        <w:tc>
          <w:tcPr>
            <w:tcW w:w="912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32">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7"/>
          </w:tcPr>
          <w:p>
            <w:pPr>
              <w:spacing w:after="0"/>
              <w:rPr>
                <w:sz w:val="17"/>
                <w:szCs w:val="17"/>
                <w:color w:val="auto"/>
              </w:rPr>
            </w:pPr>
          </w:p>
        </w:tc>
        <w:tc>
          <w:tcPr>
            <w:tcW w:w="79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133">
              <w:r>
                <w:rPr>
                  <w:rFonts w:ascii="Arial" w:cs="Arial" w:eastAsia="Arial" w:hAnsi="Arial"/>
                  <w:sz w:val="18"/>
                  <w:szCs w:val="18"/>
                  <w:b w:val="1"/>
                  <w:bCs w:val="1"/>
                  <w:color w:val="0000EE"/>
                  <w:w w:val="98"/>
                </w:rPr>
                <w:t>SELECTED FINANCIAL DATA</w:t>
              </w:r>
            </w:hyperlink>
          </w:p>
        </w:tc>
        <w:tc>
          <w:tcPr>
            <w:tcW w:w="84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135">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50">
              <w:r>
                <w:rPr>
                  <w:rFonts w:ascii="Arial" w:cs="Arial" w:eastAsia="Arial" w:hAnsi="Arial"/>
                  <w:sz w:val="18"/>
                  <w:szCs w:val="18"/>
                  <w:b w:val="1"/>
                  <w:bCs w:val="1"/>
                  <w:color w:val="0000EE"/>
                </w:rPr>
                <w:t>OBLIGATIONS AND INDEBTEDNESS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8"/>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PRICE RANGE OF COMMON STOCK</w:t>
              </w:r>
            </w:hyperlink>
          </w:p>
        </w:tc>
        <w:tc>
          <w:tcPr>
            <w:tcW w:w="786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6"/>
              </w:rPr>
            </w:pPr>
            <w:hyperlink w:anchor="page152">
              <w:r>
                <w:rPr>
                  <w:rFonts w:ascii="Arial" w:cs="Arial" w:eastAsia="Arial" w:hAnsi="Arial"/>
                  <w:sz w:val="18"/>
                  <w:szCs w:val="18"/>
                  <w:b w:val="1"/>
                  <w:bCs w:val="1"/>
                  <w:color w:val="0000EE"/>
                  <w:w w:val="96"/>
                </w:rPr>
                <w:t>SALES OF COMMON STOCK BELOW NET ASSET VALUE</w:t>
              </w:r>
            </w:hyperlink>
          </w:p>
        </w:tc>
        <w:tc>
          <w:tcPr>
            <w:tcW w:w="618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5"/>
          </w:tcPr>
          <w:p>
            <w:pPr>
              <w:spacing w:after="0" w:line="196" w:lineRule="exact"/>
              <w:rPr>
                <w:rFonts w:ascii="Arial" w:cs="Arial" w:eastAsia="Arial" w:hAnsi="Arial"/>
                <w:sz w:val="18"/>
                <w:szCs w:val="18"/>
                <w:b w:val="1"/>
                <w:bCs w:val="1"/>
                <w:color w:val="0000EE"/>
              </w:rPr>
            </w:pPr>
            <w:hyperlink w:anchor="page157">
              <w:r>
                <w:rPr>
                  <w:rFonts w:ascii="Arial" w:cs="Arial" w:eastAsia="Arial" w:hAnsi="Arial"/>
                  <w:sz w:val="18"/>
                  <w:szCs w:val="18"/>
                  <w:b w:val="1"/>
                  <w:bCs w:val="1"/>
                  <w:color w:val="0000EE"/>
                </w:rPr>
                <w:t>DISTRIBUTIONS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159">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3"/>
          </w:tcPr>
          <w:p>
            <w:pPr>
              <w:spacing w:after="0"/>
              <w:rPr>
                <w:sz w:val="17"/>
                <w:szCs w:val="17"/>
                <w:color w:val="auto"/>
              </w:rPr>
            </w:pPr>
          </w:p>
        </w:tc>
        <w:tc>
          <w:tcPr>
            <w:tcW w:w="950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8"/>
              </w:rPr>
            </w:pPr>
            <w:hyperlink w:anchor="page163">
              <w:r>
                <w:rPr>
                  <w:rFonts w:ascii="Arial" w:cs="Arial" w:eastAsia="Arial" w:hAnsi="Arial"/>
                  <w:sz w:val="18"/>
                  <w:szCs w:val="18"/>
                  <w:b w:val="1"/>
                  <w:bCs w:val="1"/>
                  <w:color w:val="0000EE"/>
                  <w:w w:val="98"/>
                </w:rPr>
                <w:t>INVESTMENT OBJECTIVES AND POLICIES</w:t>
              </w:r>
            </w:hyperlink>
          </w:p>
        </w:tc>
        <w:tc>
          <w:tcPr>
            <w:tcW w:w="728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170">
              <w:r>
                <w:rPr>
                  <w:rFonts w:ascii="Arial" w:cs="Arial" w:eastAsia="Arial" w:hAnsi="Arial"/>
                  <w:sz w:val="18"/>
                  <w:szCs w:val="18"/>
                  <w:b w:val="1"/>
                  <w:bCs w:val="1"/>
                  <w:color w:val="0000EE"/>
                  <w:w w:val="97"/>
                </w:rPr>
                <w:t>PORTFOLIO COMPANIES</w:t>
              </w:r>
            </w:hyperlink>
          </w:p>
        </w:tc>
        <w:tc>
          <w:tcPr>
            <w:tcW w:w="878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75">
              <w:r>
                <w:rPr>
                  <w:rFonts w:ascii="Arial" w:cs="Arial" w:eastAsia="Arial" w:hAnsi="Arial"/>
                  <w:sz w:val="18"/>
                  <w:szCs w:val="18"/>
                  <w:b w:val="1"/>
                  <w:bCs w:val="1"/>
                  <w:color w:val="0000EE"/>
                </w:rPr>
                <w:t>MANAGEMENT</w:t>
              </w:r>
            </w:hyperlink>
          </w:p>
        </w:tc>
        <w:tc>
          <w:tcPr>
            <w:tcW w:w="9600" w:type="dxa"/>
            <w:vAlign w:val="bottom"/>
            <w:gridSpan w:val="2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6"/>
              </w:rPr>
            </w:pPr>
            <w:hyperlink w:anchor="page182">
              <w:r>
                <w:rPr>
                  <w:rFonts w:ascii="Arial" w:cs="Arial" w:eastAsia="Arial" w:hAnsi="Arial"/>
                  <w:sz w:val="18"/>
                  <w:szCs w:val="18"/>
                  <w:b w:val="1"/>
                  <w:bCs w:val="1"/>
                  <w:color w:val="0000EE"/>
                  <w:w w:val="96"/>
                </w:rPr>
                <w:t>CONTROL PERSONS AND PRINCIPAL STOCKHOLDERS</w:t>
              </w:r>
            </w:hyperlink>
          </w:p>
        </w:tc>
        <w:tc>
          <w:tcPr>
            <w:tcW w:w="62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7"/>
              </w:rPr>
            </w:pPr>
            <w:hyperlink w:anchor="page184">
              <w:r>
                <w:rPr>
                  <w:rFonts w:ascii="Arial" w:cs="Arial" w:eastAsia="Arial" w:hAnsi="Arial"/>
                  <w:sz w:val="18"/>
                  <w:szCs w:val="18"/>
                  <w:b w:val="1"/>
                  <w:bCs w:val="1"/>
                  <w:color w:val="0000EE"/>
                  <w:w w:val="97"/>
                </w:rPr>
                <w:t>CERTAIN RELATIONSHIPS AND TRANSACTIONS</w:t>
              </w:r>
            </w:hyperlink>
          </w:p>
        </w:tc>
        <w:tc>
          <w:tcPr>
            <w:tcW w:w="68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16"/>
            <w:vMerge w:val="restart"/>
          </w:tcPr>
          <w:p>
            <w:pPr>
              <w:spacing w:after="0"/>
              <w:rPr>
                <w:rFonts w:ascii="Arial" w:cs="Arial" w:eastAsia="Arial" w:hAnsi="Arial"/>
                <w:sz w:val="18"/>
                <w:szCs w:val="18"/>
                <w:b w:val="1"/>
                <w:bCs w:val="1"/>
                <w:color w:val="0000EE"/>
              </w:rPr>
            </w:pPr>
            <w:hyperlink w:anchor="page191">
              <w:r>
                <w:rPr>
                  <w:rFonts w:ascii="Arial" w:cs="Arial" w:eastAsia="Arial" w:hAnsi="Arial"/>
                  <w:sz w:val="18"/>
                  <w:szCs w:val="18"/>
                  <w:b w:val="1"/>
                  <w:bCs w:val="1"/>
                  <w:color w:val="0000EE"/>
                </w:rPr>
                <w:t>DETERMINATION OF NET ASSET VALUE</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16"/>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0"/>
        </w:trPr>
        <w:tc>
          <w:tcPr>
            <w:tcW w:w="34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194">
              <w:r>
                <w:rPr>
                  <w:rFonts w:ascii="Arial" w:cs="Arial" w:eastAsia="Arial" w:hAnsi="Arial"/>
                  <w:sz w:val="18"/>
                  <w:szCs w:val="18"/>
                  <w:b w:val="1"/>
                  <w:bCs w:val="1"/>
                  <w:color w:val="0000EE"/>
                </w:rPr>
                <w:t>DIVIDEND REINVESTMENT PLAN</w:t>
              </w:r>
            </w:hyperlink>
          </w:p>
        </w:tc>
        <w:tc>
          <w:tcPr>
            <w:tcW w:w="7540" w:type="dxa"/>
            <w:vAlign w:val="bottom"/>
            <w:gridSpan w:val="8"/>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195">
              <w:r>
                <w:rPr>
                  <w:rFonts w:ascii="Arial" w:cs="Arial" w:eastAsia="Arial" w:hAnsi="Arial"/>
                  <w:sz w:val="18"/>
                  <w:szCs w:val="18"/>
                  <w:b w:val="1"/>
                  <w:bCs w:val="1"/>
                  <w:color w:val="0000EE"/>
                </w:rPr>
                <w:t>DESCRIPTION OF OUR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201">
              <w:r>
                <w:rPr>
                  <w:rFonts w:ascii="Arial" w:cs="Arial" w:eastAsia="Arial" w:hAnsi="Arial"/>
                  <w:sz w:val="18"/>
                  <w:szCs w:val="18"/>
                  <w:b w:val="1"/>
                  <w:bCs w:val="1"/>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202">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5"/>
          </w:tcPr>
          <w:p>
            <w:pPr>
              <w:spacing w:after="0"/>
              <w:rPr>
                <w:sz w:val="17"/>
                <w:szCs w:val="17"/>
                <w:color w:val="auto"/>
              </w:rPr>
            </w:pPr>
          </w:p>
        </w:tc>
        <w:tc>
          <w:tcPr>
            <w:tcW w:w="7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204">
              <w:r>
                <w:rPr>
                  <w:rFonts w:ascii="Arial" w:cs="Arial" w:eastAsia="Arial" w:hAnsi="Arial"/>
                  <w:sz w:val="18"/>
                  <w:szCs w:val="18"/>
                  <w:b w:val="1"/>
                  <w:bCs w:val="1"/>
                  <w:color w:val="0000EE"/>
                  <w:w w:val="97"/>
                </w:rPr>
                <w:t>DESCRIPTION OF OUR SUBSCRIPTION RIGHTS</w:t>
              </w:r>
            </w:hyperlink>
          </w:p>
        </w:tc>
        <w:tc>
          <w:tcPr>
            <w:tcW w:w="69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205">
              <w:r>
                <w:rPr>
                  <w:rFonts w:ascii="Arial" w:cs="Arial" w:eastAsia="Arial" w:hAnsi="Arial"/>
                  <w:sz w:val="18"/>
                  <w:szCs w:val="18"/>
                  <w:b w:val="1"/>
                  <w:bCs w:val="1"/>
                  <w:color w:val="0000EE"/>
                  <w:w w:val="97"/>
                </w:rPr>
                <w:t>DESCRIPTION OF OUR DEBT SECURITIES</w:t>
              </w:r>
            </w:hyperlink>
          </w:p>
        </w:tc>
        <w:tc>
          <w:tcPr>
            <w:tcW w:w="74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219">
              <w:r>
                <w:rPr>
                  <w:rFonts w:ascii="Arial" w:cs="Arial" w:eastAsia="Arial" w:hAnsi="Arial"/>
                  <w:sz w:val="18"/>
                  <w:szCs w:val="18"/>
                  <w:b w:val="1"/>
                  <w:bCs w:val="1"/>
                  <w:color w:val="0000EE"/>
                  <w:w w:val="99"/>
                </w:rPr>
                <w:t>REGULATION</w:t>
              </w:r>
            </w:hyperlink>
          </w:p>
        </w:tc>
        <w:tc>
          <w:tcPr>
            <w:tcW w:w="98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224">
              <w:r>
                <w:rPr>
                  <w:rFonts w:ascii="Arial" w:cs="Arial" w:eastAsia="Arial" w:hAnsi="Arial"/>
                  <w:sz w:val="18"/>
                  <w:szCs w:val="18"/>
                  <w:b w:val="1"/>
                  <w:bCs w:val="1"/>
                  <w:color w:val="0000EE"/>
                  <w:w w:val="97"/>
                </w:rPr>
                <w:t>BROKERAGE ALLOCATIONS AND OTHER PRACTICES</w:t>
              </w:r>
            </w:hyperlink>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225">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231">
              <w:r>
                <w:rPr>
                  <w:rFonts w:ascii="Arial" w:cs="Arial" w:eastAsia="Arial" w:hAnsi="Arial"/>
                  <w:sz w:val="18"/>
                  <w:szCs w:val="18"/>
                  <w:b w:val="1"/>
                  <w:bCs w:val="1"/>
                  <w:color w:val="0000EE"/>
                  <w:w w:val="99"/>
                </w:rPr>
                <w:t>PLAN OF DISTRIBUTION</w:t>
              </w:r>
            </w:hyperlink>
          </w:p>
        </w:tc>
        <w:tc>
          <w:tcPr>
            <w:tcW w:w="88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7"/>
              </w:rPr>
            </w:pPr>
            <w:hyperlink w:anchor="page233">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6"/>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234">
              <w:r>
                <w:rPr>
                  <w:rFonts w:ascii="Arial" w:cs="Arial" w:eastAsia="Arial" w:hAnsi="Arial"/>
                  <w:sz w:val="18"/>
                  <w:szCs w:val="18"/>
                  <w:b w:val="1"/>
                  <w:bCs w:val="1"/>
                  <w:color w:val="0000EE"/>
                </w:rPr>
                <w:t>INDEX TO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subsidiary. Some of the statements in this prospectus supplement and the accompanying prospectus constitute forward-looking statements, which apply to both us and any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the accompanying prospectus. You should read carefully the more detailed information set forth under “Risk Factors” and the other information included in this prospectus supplement and the accompanying prospectus. In this prospectus supplement and the accompanying prospectus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PennantPark Floating Rate Capital Ltd. is a BDC whose objectives are to generate current income and capital appreciation. We seek to achieve our investment objective by investing primarily in Floating Rate Loans, and other instruments, made to U.S. middle-market private companies.</w:t>
      </w:r>
    </w:p>
    <w:p>
      <w:pPr>
        <w:spacing w:after="0" w:line="85"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investments purposes,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economic environment and the competitive environment for the types of investments we make. We have used, and expect to continue to use, our credit facility, or the Credit Facility, proceeds from the rotation of our portfolio and proceeds from public and private offerings of securities to finance our investment objectives.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20" w:firstLine="443"/>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In addition, for tax purposes we elected to be treated, and intend to qualify annually, as a regulated investment company, or RIC, under the Internal Revenue Code of 1986, as amended, or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over 200 companies with over 100 different financial sponsors through its managed funds.</w:t>
      </w:r>
    </w:p>
    <w:p>
      <w:pPr>
        <w:spacing w:after="0" w:line="12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1060" w:right="200" w:hanging="431"/>
        <w:spacing w:after="0" w:line="301" w:lineRule="auto"/>
        <w:tabs>
          <w:tab w:leader="none" w:pos="10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180" w:hanging="431"/>
        <w:spacing w:after="0" w:line="262"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752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80" w:hanging="431"/>
        <w:spacing w:after="0" w:line="25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the current credit market dislocation for middle-market companies improves the risk-adjusted returns of our investments. </w:t>
      </w:r>
      <w:r>
        <w:rPr>
          <w:rFonts w:ascii="Arial" w:cs="Arial" w:eastAsia="Arial" w:hAnsi="Arial"/>
          <w:sz w:val="18"/>
          <w:szCs w:val="18"/>
          <w:color w:val="auto"/>
        </w:rPr>
        <w:t>In the current credit environment, market participants have reduced lending to middle-market and non-investment grade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As a result, we believe there is less competition in our market, more conservative capital structures, higher yields and stronger covenants.</w:t>
      </w:r>
    </w:p>
    <w:p>
      <w:pPr>
        <w:spacing w:after="0" w:line="55" w:lineRule="exact"/>
        <w:rPr>
          <w:rFonts w:ascii="Arial" w:cs="Arial" w:eastAsia="Arial" w:hAnsi="Arial"/>
          <w:sz w:val="18"/>
          <w:szCs w:val="18"/>
          <w:color w:val="auto"/>
        </w:rPr>
      </w:pPr>
    </w:p>
    <w:p>
      <w:pPr>
        <w:ind w:left="1060" w:right="20" w:hanging="431"/>
        <w:spacing w:after="0" w:line="296"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1060" w:right="40" w:hanging="431"/>
        <w:spacing w:after="0" w:line="296"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13"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firstLine="443"/>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in the accompanying prospectus for more information.</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Under terms agreed among us, the Investment Adviser and underwriters of our initial public offering, the Investment Adviser paid 2% of the underwriters’ sales load, or approximately $2.1 million in the aggregate, on our behalf in connection with our initial public offering.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69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9695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298" w:lineRule="auto"/>
        <w:rPr>
          <w:sz w:val="20"/>
          <w:szCs w:val="20"/>
          <w:color w:val="auto"/>
        </w:rPr>
      </w:pPr>
      <w:r>
        <w:rPr>
          <w:rFonts w:ascii="Arial" w:cs="Arial" w:eastAsia="Arial" w:hAnsi="Arial"/>
          <w:sz w:val="16"/>
          <w:szCs w:val="16"/>
          <w:color w:val="auto"/>
        </w:rPr>
        <w:t>December 31, 2012 and subsequently repaid approximately $2.1 million to the Investment Adviser. The Investment Adviser announced that it intends to purchase shares of our common stock in the secondary market over the applicable six-month purchase period. The Investment Adviser has since completed the required purchase of shares of our common stock in the secondary market. Certain investment professionals of the Investment Adviser purchased over $1 million of shares of our stock in transactions completed on or prior to February 21, 2013.</w:t>
      </w:r>
    </w:p>
    <w:p>
      <w:pPr>
        <w:spacing w:after="0" w:line="113"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On February 5, 2013, our stockholders elected four directors, including Messrs. Marshall Brozost and Samuel L. Katz, each of whom will serve as Class I directors until the 2015 annual meeting, or until his successor is duly elected and qualifies or until his earlier resignation, removal from office, death or incapacity, and Messrs. Adam K. Bernstein and Jeffrey Flug, each of whom will serve as Class II directors until the 2016 annual meeting, or until his successor is duly elected and qualifies or until his earlier resignation, removal from office, death or incapacity. Also on that date, our investment management agreement, or the Investment Management Agreement, and our administration agreement, or the Administration Agreement, were reapproved by our board of directors, including a majority of our directors who are not interested persons of PennantPark Investment.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8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60" w:firstLine="443"/>
        <w:spacing w:after="0" w:line="253" w:lineRule="auto"/>
        <w:rPr>
          <w:sz w:val="20"/>
          <w:szCs w:val="20"/>
          <w:color w:val="auto"/>
        </w:rPr>
      </w:pPr>
      <w:r>
        <w:rPr>
          <w:rFonts w:ascii="Arial" w:cs="Arial" w:eastAsia="Arial" w:hAnsi="Arial"/>
          <w:sz w:val="18"/>
          <w:szCs w:val="18"/>
          <w:color w:val="auto"/>
        </w:rPr>
        <w:t>We maintain a five-year, $100.0 million Credit Facility, which matures in May 2017, with SunTrust Bank, or the Lender. During the Credit Facility’s first three years beginning in May 2012, or the revolving period, it bears interest at LIBOR plus 225 basis points, and after the revolving period, the rate sets to LIBOR plus 425 basis points for the remaining two years. The Credit Facility is secured by all of the assets held by Funding I, under which we had drawn $85.8 million outstanding with a weighted average interest rate of 2.47%, excluding the unused commitment fee of 0.375%, as of December 31, 2012. We believe that our capital resources provide us with the flexibility to take advantage of market opportunities when they arise. See “Management’s Discussion and Analysis of Financial Condition and Results of Operations—Liquidity and Capital Resources” in this prospectus supplement and in the accompanying prospectus for more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29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329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jc w:val="both"/>
        <w:ind w:left="200" w:right="140" w:firstLine="443"/>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jc w:val="both"/>
        <w:ind w:left="200" w:right="40" w:firstLine="443"/>
        <w:spacing w:after="0" w:line="298"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“Additional Material U.S. Federal Income Tax Considerations” in this prospectus supplement and “Material U.S. Federal Income Tax Considerations” in the accompanying prospectus for more information.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December 31, 2012,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continue to distribute monthly dividends to our common stockholders. Our monthly dividends, if any, are determined by our board of directors. See “Distributions” in the accompanying prospectus and “Price Range of Common Stock” in this prospectus supplement and in the accompanying prospectus for more information.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87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2087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Sales load</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3.00%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Management fees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1.66%</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1.77%</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6.95%</w:t>
            </w:r>
            <w:r>
              <w:rPr>
                <w:rFonts w:ascii="Arial" w:cs="Arial" w:eastAsia="Arial" w:hAnsi="Arial"/>
                <w:sz w:val="11"/>
                <w:szCs w:val="1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120" w:hanging="332"/>
        <w:spacing w:after="0" w:line="23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Assumes we will pay the entire underwriting discount and commission (sales load), which is a one-time fee, of 3.00% of the offering price. Our Investment Adviser has agreed to bear a portion of this underwriting discount and commission, which is not reflected in the estimated annual expenses but is reflected in the stockholder transaction expenses and which will be determined at pricing. We are not obligated to repay the sales load paid by our Investment Adviser.</w:t>
      </w:r>
    </w:p>
    <w:p>
      <w:pPr>
        <w:spacing w:after="0" w:line="44" w:lineRule="exact"/>
        <w:rPr>
          <w:rFonts w:ascii="Arial" w:cs="Arial" w:eastAsia="Arial" w:hAnsi="Arial"/>
          <w:sz w:val="14"/>
          <w:szCs w:val="14"/>
          <w:color w:val="auto"/>
        </w:rPr>
      </w:pPr>
    </w:p>
    <w:p>
      <w:pPr>
        <w:ind w:left="340" w:right="32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$400,000 and based on the 3,000,000 shares offered in this offering at the last reported closing price of $14.23 per share of our common stock on March 19, 2013.</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Net assets attributable to common shares equals average net assets at December 31, 2012 plus the anticipated net proceeds from this offering but excluding the underwriters’ overallotment option.</w:t>
      </w:r>
    </w:p>
    <w:p>
      <w:pPr>
        <w:spacing w:after="0" w:line="78" w:lineRule="exact"/>
        <w:rPr>
          <w:rFonts w:ascii="Arial" w:cs="Arial" w:eastAsia="Arial" w:hAnsi="Arial"/>
          <w:sz w:val="12"/>
          <w:szCs w:val="12"/>
          <w:color w:val="auto"/>
        </w:rPr>
      </w:pPr>
    </w:p>
    <w:p>
      <w:pPr>
        <w:ind w:left="340" w:right="14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total assets. See “Certain Relationships and Transactions—Investment Management Agreement” in the accompanying prospectus for more information.</w:t>
      </w:r>
    </w:p>
    <w:p>
      <w:pPr>
        <w:spacing w:after="0" w:line="43" w:lineRule="exact"/>
        <w:rPr>
          <w:rFonts w:ascii="Arial" w:cs="Arial" w:eastAsia="Arial" w:hAnsi="Arial"/>
          <w:sz w:val="14"/>
          <w:szCs w:val="14"/>
          <w:color w:val="auto"/>
        </w:rPr>
      </w:pPr>
    </w:p>
    <w:p>
      <w:pPr>
        <w:ind w:left="340" w:right="40" w:hanging="332"/>
        <w:spacing w:after="0" w:line="265"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December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December 31, 2012, our cumulative realized and unrealized capital gains exceeded our cumulative realized and unrealized capital losses and we accrued a capital gains incentive fee of less than $0.1 million in accordance with U.S. generally accepted accounting principles, or GAAP. However, “Incentive fees” does not include an accrual for capital gains incentive fee for the three months ended December 31, 2012 since no capital gains incentive fee was payable under our Investment Management Agreement as of December 31, 2012. As we cannot predict our future net investment income or capital gains, the incentive fee paid in future periods, if any, may be substantially different than the fee earned during the three months ended December 31, 2012. For more detailed information about the incentive fee, please see “Certain Relationships and Transactions—Investment Management Agreement” in the accompanying prospectus for more information.</w:t>
      </w:r>
    </w:p>
    <w:p>
      <w:pPr>
        <w:spacing w:after="0" w:line="29" w:lineRule="exact"/>
        <w:rPr>
          <w:rFonts w:ascii="Arial" w:cs="Arial" w:eastAsia="Arial" w:hAnsi="Arial"/>
          <w:sz w:val="12"/>
          <w:szCs w:val="12"/>
          <w:color w:val="auto"/>
        </w:rPr>
      </w:pPr>
    </w:p>
    <w:p>
      <w:pPr>
        <w:ind w:left="340" w:right="20" w:hanging="332"/>
        <w:spacing w:after="0" w:line="228"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December 31, 2012, we had $85.8 million in borrowings outstanding under our $100.0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45" w:lineRule="exact"/>
        <w:rPr>
          <w:rFonts w:ascii="Arial" w:cs="Arial" w:eastAsia="Arial" w:hAnsi="Arial"/>
          <w:sz w:val="14"/>
          <w:szCs w:val="14"/>
          <w:color w:val="auto"/>
        </w:rPr>
      </w:pPr>
    </w:p>
    <w:p>
      <w:pPr>
        <w:ind w:left="340" w:right="60" w:hanging="332"/>
        <w:spacing w:after="0" w:line="23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780"/>
        <w:spacing w:after="0" w:line="239" w:lineRule="auto"/>
        <w:rPr>
          <w:sz w:val="20"/>
          <w:szCs w:val="20"/>
          <w:color w:val="auto"/>
        </w:rPr>
      </w:pPr>
      <w:r>
        <w:rPr>
          <w:rFonts w:ascii="Arial" w:cs="Arial" w:eastAsia="Arial" w:hAnsi="Arial"/>
          <w:sz w:val="14"/>
          <w:szCs w:val="14"/>
          <w:color w:val="auto"/>
        </w:rPr>
        <w:t>months ended December 31, 2012, annualized for a full year. See the Consolidated Statement of Operations in our Consolidated Financial Statements in this prospectus supplement and in the accompanying prospectus for more information.</w:t>
      </w:r>
    </w:p>
    <w:p>
      <w:pPr>
        <w:spacing w:after="0" w:line="44" w:lineRule="exact"/>
        <w:rPr>
          <w:sz w:val="20"/>
          <w:szCs w:val="20"/>
          <w:color w:val="auto"/>
        </w:rPr>
      </w:pPr>
    </w:p>
    <w:p>
      <w:pPr>
        <w:ind w:left="340" w:right="140" w:hanging="332"/>
        <w:spacing w:after="0" w:line="278"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no sales load (underwriting discounts and commissions) as explained in note 1 above and included offering expenses totaling 0.94%, (2) total net estimated annual expenses of 5.39%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$ 63</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$ 169</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$ 274</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533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 for more information.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supplement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3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the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the accompanying prospectus entitled “Risk Factors” and elsewhere in this prospectus supplement.</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the SEC including annual and quarterly reports on Form 10-K/Q and current reports on Form 8-K.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80"/>
          </w:cols>
          <w:pgMar w:left="24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may decline, and you may lose all or part of your investment.</w:t>
      </w:r>
    </w:p>
    <w:p>
      <w:pPr>
        <w:spacing w:after="0" w:line="120"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and adversely affect on debt and equity capital markets in the United States, which could have a materially negative impact on our business, financial condition and results of operations.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including as a result of the U.S. government spending cuts that took effect March 1, 2013.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We estimate that the net proceeds we will receive from the sale of 3,000,000 shares of our common stock in this offering will be approximately $42.3 million (or approximately $48.7 million if the underwriters fully exercise their overallotment option), in each case based on a public offering price of $14.23 per share, which was the last reported closing price of our common stock on March 19, 2013, excluding the underwriting discounts and commissions of</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approximately $ million (or approximately $ million if the underwriters fully exercise their overallotment option) payable by us, but including estimated offering expenses of approximately $400,000 payable by us. The Investment Adviser has agreed to bear $ million of underwriting discounts and commissions in connection with this offering (or approximately $ million if the underwriters fully exercise their overallotment option). The amount of net</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proceeds may be more or less than the amount described in this prospectus supplement depending on the public offering price of the common stock and the actual number of shares of common stock we sell in the offering, both of which will be determined at pricing.</w:t>
      </w:r>
    </w:p>
    <w:p>
      <w:pPr>
        <w:spacing w:after="0" w:line="13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of December 31, 2012, we had $85.8 million in borrowings outstanding under our $100.0 million Credit Facility. Borrowings under our Credit Facility bear interest at an annual rate equal to LIBOR plus 225 basis points per annum during the revolving period, and the rate resets to LIBOR plus 425 basis points per annum for the remaining two years. At December 31, 2012, we had a weighted average interest rate on our Credit Facility at the time of 2.47%, excluding the 0.375% undrawn commitment fee. The Credit Facility is a revolving facility that matures in May 2017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in this prospectus supplement and the accompanying prospectus for more information</w:t>
      </w:r>
    </w:p>
    <w:p>
      <w:pPr>
        <w:spacing w:after="0" w:line="14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The following table sets forth our cash and capitalization on December 31, 2012 (1) on an actual basis and (2) on an as-adjusted basis to reflect the effects of the sale of 3,000,000 shares of our common stock in this offering at an offering price of $14.23 per share, which was the last reported closing price of our</w:t>
      </w:r>
    </w:p>
    <w:p>
      <w:pPr>
        <w:ind w:right="20"/>
        <w:spacing w:after="0" w:line="252" w:lineRule="auto"/>
        <w:rPr>
          <w:sz w:val="20"/>
          <w:szCs w:val="20"/>
          <w:color w:val="auto"/>
        </w:rPr>
      </w:pPr>
      <w:r>
        <w:rPr>
          <w:rFonts w:ascii="Arial" w:cs="Arial" w:eastAsia="Arial" w:hAnsi="Arial"/>
          <w:sz w:val="18"/>
          <w:szCs w:val="18"/>
          <w:color w:val="auto"/>
        </w:rPr>
        <w:t>common stock on March 19, 2013, excluding the estimated underwriting discounts and commissions of approximately $ million, which is 3% of the offering price, but including estimated offering expenses of $400,000.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December 31, 2012</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15"/>
        </w:trPr>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As adjusted for</w:t>
            </w:r>
          </w:p>
        </w:tc>
        <w:tc>
          <w:tcPr>
            <w:tcW w:w="12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line="176" w:lineRule="exact"/>
              <w:rPr>
                <w:sz w:val="20"/>
                <w:szCs w:val="20"/>
                <w:color w:val="auto"/>
              </w:rPr>
            </w:pPr>
            <w:r>
              <w:rPr>
                <w:rFonts w:ascii="Arial" w:cs="Arial" w:eastAsia="Arial" w:hAnsi="Arial"/>
                <w:sz w:val="13"/>
                <w:szCs w:val="13"/>
                <w:b w:val="1"/>
                <w:bCs w:val="1"/>
                <w:color w:val="auto"/>
                <w:w w:val="91"/>
              </w:rPr>
              <w:t>the offering</w:t>
            </w:r>
            <w:r>
              <w:rPr>
                <w:rFonts w:ascii="Arial" w:cs="Arial" w:eastAsia="Arial" w:hAnsi="Arial"/>
                <w:sz w:val="20"/>
                <w:szCs w:val="20"/>
                <w:b w:val="1"/>
                <w:bCs w:val="1"/>
                <w:color w:val="auto"/>
                <w:w w:val="91"/>
                <w:vertAlign w:val="superscript"/>
              </w:rPr>
              <w:t>(1)</w:t>
            </w: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3,987,645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46,277,645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186,128,979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228,418,979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the Credit Facility (cost—$85,775,000)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85,775,000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85,775,000</w:t>
            </w:r>
          </w:p>
        </w:tc>
        <w:tc>
          <w:tcPr>
            <w:tcW w:w="120" w:type="dxa"/>
            <w:vAlign w:val="bottom"/>
            <w:shd w:val="clear" w:color="auto" w:fill="CCEEFF"/>
          </w:tcPr>
          <w:p>
            <w:pPr>
              <w:spacing w:after="0"/>
              <w:rPr>
                <w:sz w:val="18"/>
                <w:szCs w:val="18"/>
                <w:color w:val="auto"/>
              </w:rPr>
            </w:pPr>
          </w:p>
        </w:tc>
      </w:tr>
      <w:tr>
        <w:trPr>
          <w:trHeight w:val="322"/>
        </w:trPr>
        <w:tc>
          <w:tcPr>
            <w:tcW w:w="844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stock, 6,850,667 and 9,850,667 shares, as-adjusted, are issued and outstanding, respectively. Par value is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$0.001 per share and 100,000,000 shares are authorized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Paid in capital in excess of par 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95,192,222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137,479,222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in excess net investment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(949,667)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(949,667)</w:t>
            </w: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Accumulated net realized gain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1,666,756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1,666,756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(102,394)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(102,394)</w:t>
            </w:r>
          </w:p>
        </w:tc>
      </w:tr>
      <w:tr>
        <w:trPr>
          <w:trHeight w:val="223"/>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95,813,768</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138,103,768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181,588,768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223,878,768</w:t>
            </w:r>
          </w:p>
        </w:tc>
        <w:tc>
          <w:tcPr>
            <w:tcW w:w="120" w:type="dxa"/>
            <w:vAlign w:val="bottom"/>
          </w:tcPr>
          <w:p>
            <w:pPr>
              <w:spacing w:after="0"/>
              <w:rPr>
                <w:sz w:val="18"/>
                <w:szCs w:val="18"/>
                <w:color w:val="auto"/>
              </w:rPr>
            </w:pPr>
          </w:p>
        </w:tc>
      </w:tr>
      <w:tr>
        <w:trPr>
          <w:trHeight w:val="20"/>
        </w:trPr>
        <w:tc>
          <w:tcPr>
            <w:tcW w:w="220" w:type="dxa"/>
            <w:vAlign w:val="bottom"/>
            <w:gridSpan w:val="2"/>
          </w:tcPr>
          <w:p>
            <w:pPr>
              <w:spacing w:after="0" w:line="20" w:lineRule="exact"/>
              <w:rPr>
                <w:sz w:val="1"/>
                <w:szCs w:val="1"/>
                <w:color w:val="auto"/>
              </w:rPr>
            </w:pPr>
          </w:p>
        </w:tc>
        <w:tc>
          <w:tcPr>
            <w:tcW w:w="8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8440" w:type="dxa"/>
            <w:vAlign w:val="bottom"/>
            <w:gridSpan w:val="3"/>
          </w:tcPr>
          <w:p>
            <w:pPr>
              <w:spacing w:after="0"/>
              <w:rPr>
                <w:sz w:val="20"/>
                <w:szCs w:val="20"/>
                <w:color w:val="auto"/>
              </w:rPr>
            </w:pPr>
            <w:r>
              <w:rPr>
                <w:rFonts w:ascii="Arial" w:cs="Arial" w:eastAsia="Arial" w:hAnsi="Arial"/>
                <w:sz w:val="18"/>
                <w:szCs w:val="18"/>
                <w:color w:val="auto"/>
              </w:rPr>
              <w:t>(1)   Does not include the underwriters’ overallotment option.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20" w:type="dxa"/>
            <w:vAlign w:val="bottom"/>
          </w:tcPr>
          <w:p>
            <w:pPr>
              <w:ind w:left="5320"/>
              <w:spacing w:after="0"/>
              <w:rPr>
                <w:sz w:val="20"/>
                <w:szCs w:val="20"/>
                <w:color w:val="auto"/>
              </w:rPr>
            </w:pPr>
            <w:r>
              <w:rPr>
                <w:rFonts w:ascii="Arial" w:cs="Arial" w:eastAsia="Arial" w:hAnsi="Arial"/>
                <w:sz w:val="18"/>
                <w:szCs w:val="18"/>
                <w:color w:val="auto"/>
              </w:rPr>
              <w:t>S-14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 for our common stock, the closing sale price as a percentage of net asset value, or NAV, and monthly dividends per share since April 8, 2011 (initial public offering). On March 19, 2013, the last reported closing price of our common stock was $14.23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Premium/</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Premium/</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6"/>
              </w:rPr>
              <w:t>Closing Sales Price</w:t>
            </w:r>
          </w:p>
        </w:tc>
        <w:tc>
          <w:tcPr>
            <w:tcW w:w="13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High Sales</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Low Sales</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60" w:type="dxa"/>
            <w:vAlign w:val="bottom"/>
            <w:gridSpan w:val="2"/>
            <w:vMerge w:val="restart"/>
          </w:tcPr>
          <w:p>
            <w:pPr>
              <w:jc w:val="right"/>
              <w:ind w:right="500"/>
              <w:spacing w:after="0" w:line="263" w:lineRule="exact"/>
              <w:rPr>
                <w:sz w:val="20"/>
                <w:szCs w:val="20"/>
                <w:color w:val="auto"/>
              </w:rPr>
            </w:pPr>
            <w:r>
              <w:rPr>
                <w:rFonts w:ascii="Arial" w:cs="Arial" w:eastAsia="Arial" w:hAnsi="Arial"/>
                <w:sz w:val="27"/>
                <w:szCs w:val="27"/>
                <w:b w:val="1"/>
                <w:bCs w:val="1"/>
                <w:color w:val="auto"/>
                <w:w w:val="85"/>
                <w:vertAlign w:val="subscript"/>
              </w:rPr>
              <w:t>NAV</w:t>
            </w:r>
            <w:r>
              <w:rPr>
                <w:rFonts w:ascii="Arial" w:cs="Arial" w:eastAsia="Arial" w:hAnsi="Arial"/>
                <w:sz w:val="11"/>
                <w:szCs w:val="11"/>
                <w:b w:val="1"/>
                <w:bCs w:val="1"/>
                <w:color w:val="auto"/>
                <w:w w:val="85"/>
              </w:rPr>
              <w:t>(1)</w:t>
            </w: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320" w:type="dxa"/>
            <w:vAlign w:val="bottom"/>
            <w:gridSpan w:val="2"/>
          </w:tcPr>
          <w:p>
            <w:pPr>
              <w:jc w:val="center"/>
              <w:ind w:right="600"/>
              <w:spacing w:after="0" w:line="102" w:lineRule="exact"/>
              <w:rPr>
                <w:sz w:val="20"/>
                <w:szCs w:val="20"/>
                <w:color w:val="auto"/>
              </w:rPr>
            </w:pPr>
            <w:r>
              <w:rPr>
                <w:rFonts w:ascii="Arial" w:cs="Arial" w:eastAsia="Arial" w:hAnsi="Arial"/>
                <w:sz w:val="11"/>
                <w:szCs w:val="11"/>
                <w:b w:val="1"/>
                <w:bCs w:val="1"/>
                <w:color w:val="auto"/>
              </w:rPr>
              <w:t>Price to</w:t>
            </w:r>
          </w:p>
        </w:tc>
        <w:tc>
          <w:tcPr>
            <w:tcW w:w="1120" w:type="dxa"/>
            <w:vAlign w:val="bottom"/>
            <w:gridSpan w:val="2"/>
          </w:tcPr>
          <w:p>
            <w:pPr>
              <w:jc w:val="center"/>
              <w:ind w:right="400"/>
              <w:spacing w:after="0" w:line="102" w:lineRule="exact"/>
              <w:rPr>
                <w:sz w:val="20"/>
                <w:szCs w:val="20"/>
                <w:color w:val="auto"/>
              </w:rPr>
            </w:pPr>
            <w:r>
              <w:rPr>
                <w:rFonts w:ascii="Arial" w:cs="Arial" w:eastAsia="Arial" w:hAnsi="Arial"/>
                <w:sz w:val="11"/>
                <w:szCs w:val="11"/>
                <w:b w:val="1"/>
                <w:bCs w:val="1"/>
                <w:color w:val="auto"/>
              </w:rPr>
              <w:t>Price to</w:t>
            </w:r>
          </w:p>
        </w:tc>
        <w:tc>
          <w:tcPr>
            <w:tcW w:w="200" w:type="dxa"/>
            <w:vAlign w:val="bottom"/>
          </w:tcPr>
          <w:p>
            <w:pPr>
              <w:spacing w:after="0"/>
              <w:rPr>
                <w:sz w:val="8"/>
                <w:szCs w:val="8"/>
                <w:color w:val="auto"/>
              </w:rPr>
            </w:pPr>
          </w:p>
        </w:tc>
        <w:tc>
          <w:tcPr>
            <w:tcW w:w="76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7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Low</w:t>
            </w:r>
          </w:p>
        </w:tc>
        <w:tc>
          <w:tcPr>
            <w:tcW w:w="1320" w:type="dxa"/>
            <w:vAlign w:val="bottom"/>
            <w:gridSpan w:val="2"/>
          </w:tcPr>
          <w:p>
            <w:pPr>
              <w:jc w:val="center"/>
              <w:ind w:right="5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1120" w:type="dxa"/>
            <w:vAlign w:val="bottom"/>
            <w:gridSpan w:val="2"/>
          </w:tcPr>
          <w:p>
            <w:pPr>
              <w:jc w:val="center"/>
              <w:ind w:right="360"/>
              <w:spacing w:after="0" w:line="162" w:lineRule="exact"/>
              <w:rPr>
                <w:sz w:val="20"/>
                <w:szCs w:val="20"/>
                <w:color w:val="auto"/>
              </w:rPr>
            </w:pPr>
            <w:r>
              <w:rPr>
                <w:rFonts w:ascii="Arial" w:cs="Arial" w:eastAsia="Arial" w:hAnsi="Arial"/>
                <w:sz w:val="18"/>
                <w:szCs w:val="18"/>
                <w:b w:val="1"/>
                <w:bCs w:val="1"/>
                <w:color w:val="auto"/>
                <w:vertAlign w:val="subscript"/>
              </w:rPr>
              <w:t>NAV</w:t>
            </w:r>
            <w:r>
              <w:rPr>
                <w:rFonts w:ascii="Arial" w:cs="Arial" w:eastAsia="Arial" w:hAnsi="Arial"/>
                <w:sz w:val="9"/>
                <w:szCs w:val="9"/>
                <w:b w:val="1"/>
                <w:bCs w:val="1"/>
                <w:color w:val="auto"/>
              </w:rPr>
              <w:t>(2)</w:t>
            </w:r>
          </w:p>
        </w:tc>
        <w:tc>
          <w:tcPr>
            <w:tcW w:w="2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0"/>
        </w:trPr>
        <w:tc>
          <w:tcPr>
            <w:tcW w:w="5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Second quarter (through March 19, 2013)</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$14.43</w:t>
            </w:r>
          </w:p>
        </w:tc>
        <w:tc>
          <w:tcPr>
            <w:tcW w:w="24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$12.94</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120" w:type="dxa"/>
            <w:vAlign w:val="bottom"/>
            <w:gridSpan w:val="2"/>
          </w:tcPr>
          <w:p>
            <w:pPr>
              <w:jc w:val="center"/>
              <w:ind w:left="163"/>
              <w:spacing w:after="0"/>
              <w:rPr>
                <w:sz w:val="20"/>
                <w:szCs w:val="20"/>
                <w:color w:val="auto"/>
              </w:rPr>
            </w:pPr>
            <w:r>
              <w:rPr>
                <w:rFonts w:ascii="Arial" w:cs="Arial" w:eastAsia="Arial" w:hAnsi="Arial"/>
                <w:sz w:val="18"/>
                <w:szCs w:val="18"/>
                <w:color w:val="auto"/>
                <w:w w:val="95"/>
              </w:rPr>
              <w:t>N/A%</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$0.2550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12.35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(12)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0.2475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(15)</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0.2400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13.94</w:t>
            </w:r>
          </w:p>
        </w:tc>
        <w:tc>
          <w:tcPr>
            <w:tcW w:w="4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11.46</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120" w:type="dxa"/>
            <w:vAlign w:val="bottom"/>
            <w:gridSpan w:val="2"/>
          </w:tcPr>
          <w:p>
            <w:pPr>
              <w:jc w:val="center"/>
              <w:ind w:left="143"/>
              <w:spacing w:after="0"/>
              <w:rPr>
                <w:sz w:val="20"/>
                <w:szCs w:val="20"/>
                <w:color w:val="auto"/>
              </w:rPr>
            </w:pPr>
            <w:r>
              <w:rPr>
                <w:rFonts w:ascii="Arial" w:cs="Arial" w:eastAsia="Arial" w:hAnsi="Arial"/>
                <w:sz w:val="18"/>
                <w:szCs w:val="18"/>
                <w:color w:val="auto"/>
                <w:w w:val="93"/>
              </w:rPr>
              <w:t>(18)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0.2350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10.52</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(25)</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0.2250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11.03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10.01</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120" w:type="dxa"/>
            <w:vAlign w:val="bottom"/>
            <w:gridSpan w:val="2"/>
          </w:tcPr>
          <w:p>
            <w:pPr>
              <w:jc w:val="center"/>
              <w:ind w:left="143"/>
              <w:spacing w:after="0"/>
              <w:rPr>
                <w:sz w:val="20"/>
                <w:szCs w:val="20"/>
                <w:color w:val="auto"/>
              </w:rPr>
            </w:pPr>
            <w:r>
              <w:rPr>
                <w:rFonts w:ascii="Arial" w:cs="Arial" w:eastAsia="Arial" w:hAnsi="Arial"/>
                <w:sz w:val="18"/>
                <w:szCs w:val="18"/>
                <w:color w:val="auto"/>
                <w:w w:val="93"/>
              </w:rPr>
              <w:t>(27)</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13.44</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12.85</w:t>
            </w:r>
          </w:p>
        </w:tc>
        <w:tc>
          <w:tcPr>
            <w:tcW w:w="24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10.34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center"/>
              <w:ind w:left="143"/>
              <w:spacing w:after="0"/>
              <w:rPr>
                <w:sz w:val="20"/>
                <w:szCs w:val="20"/>
                <w:color w:val="auto"/>
              </w:rPr>
            </w:pPr>
            <w:r>
              <w:rPr>
                <w:rFonts w:ascii="Arial" w:cs="Arial" w:eastAsia="Arial" w:hAnsi="Arial"/>
                <w:sz w:val="18"/>
                <w:szCs w:val="18"/>
                <w:color w:val="auto"/>
                <w:w w:val="93"/>
              </w:rPr>
              <w:t>(23)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0.2000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12.27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center"/>
              <w:ind w:left="143"/>
              <w:spacing w:after="0"/>
              <w:rPr>
                <w:sz w:val="20"/>
                <w:szCs w:val="20"/>
                <w:color w:val="auto"/>
              </w:rPr>
            </w:pPr>
            <w:r>
              <w:rPr>
                <w:rFonts w:ascii="Arial" w:cs="Arial" w:eastAsia="Arial" w:hAnsi="Arial"/>
                <w:sz w:val="18"/>
                <w:szCs w:val="18"/>
                <w:color w:val="auto"/>
                <w:w w:val="93"/>
              </w:rPr>
              <w:t>(13)</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 dividend of $0.0875 per share payable April 1, 2013 to shareholders of record March 22, 2013. Shares purchased in this offering will not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entitled to the dividends to be paid April 1, 2013.</w:t>
      </w:r>
    </w:p>
    <w:p>
      <w:pPr>
        <w:spacing w:after="0" w:line="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16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below our NAV. Our shares traded on the NASDAQ Global Select Market at $12.70 and $12.67 as of December 31, 2012 and September 30, 2012, respectively. Our NAV was $13.99 and $13.98 per share, as of December 31, 2012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 this prospectus supplement and in the accompanying prospectus. Interim results as of and for the three months ended December 31, 2012, are not necessarily indicative of the results that may be expected for the year ending September 30, 2013. The unaudited selected financial data for the three months ended December 31, 2012 and 2011, should be read in conjunction with our consolidated financial statements and related notes thereto and “Management’s Discussion and Analysis of Financial Condition and Results of Operations” in this prospectus supplement.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40" w:type="dxa"/>
            <w:vAlign w:val="bottom"/>
            <w:gridSpan w:val="5"/>
          </w:tcPr>
          <w:p>
            <w:pPr>
              <w:jc w:val="right"/>
              <w:ind w:right="1040"/>
              <w:spacing w:after="0" w:line="149" w:lineRule="exact"/>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1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September 30,</w:t>
            </w: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420" w:type="dxa"/>
            <w:vAlign w:val="bottom"/>
          </w:tcPr>
          <w:p>
            <w:pPr>
              <w:spacing w:after="0"/>
              <w:rPr>
                <w:sz w:val="12"/>
                <w:szCs w:val="12"/>
                <w:color w:val="auto"/>
              </w:rPr>
            </w:pPr>
          </w:p>
        </w:tc>
        <w:tc>
          <w:tcPr>
            <w:tcW w:w="68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8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8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  3,963</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  2,467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12,099</w:t>
            </w:r>
          </w:p>
        </w:tc>
        <w:tc>
          <w:tcPr>
            <w:tcW w:w="84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 expenses after Credit Facility debt issuance and excise taxes</w:t>
            </w:r>
          </w:p>
        </w:tc>
        <w:tc>
          <w:tcPr>
            <w:tcW w:w="192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1,904</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1,092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2,059</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1,375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6,310</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920" w:type="dxa"/>
            <w:vAlign w:val="bottom"/>
            <w:gridSpan w:val="3"/>
            <w:shd w:val="clear" w:color="auto" w:fill="CCEEFF"/>
          </w:tcPr>
          <w:p>
            <w:pPr>
              <w:jc w:val="right"/>
              <w:ind w:right="692"/>
              <w:spacing w:after="0"/>
              <w:rPr>
                <w:sz w:val="20"/>
                <w:szCs w:val="20"/>
                <w:color w:val="auto"/>
              </w:rPr>
            </w:pPr>
            <w:r>
              <w:rPr>
                <w:rFonts w:ascii="Arial" w:cs="Arial" w:eastAsia="Arial" w:hAnsi="Arial"/>
                <w:sz w:val="18"/>
                <w:szCs w:val="18"/>
                <w:color w:val="auto"/>
              </w:rPr>
              <w:t>(294)</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1,765</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3,105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asset value (at period end)</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13.99</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13.68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92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0.30</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0.20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920" w:type="dxa"/>
            <w:vAlign w:val="bottom"/>
            <w:gridSpan w:val="3"/>
          </w:tcPr>
          <w:p>
            <w:pPr>
              <w:jc w:val="right"/>
              <w:ind w:right="692"/>
              <w:spacing w:after="0"/>
              <w:rPr>
                <w:sz w:val="20"/>
                <w:szCs w:val="20"/>
                <w:color w:val="auto"/>
              </w:rPr>
            </w:pPr>
            <w:r>
              <w:rPr>
                <w:rFonts w:ascii="Arial" w:cs="Arial" w:eastAsia="Arial" w:hAnsi="Arial"/>
                <w:sz w:val="18"/>
                <w:szCs w:val="18"/>
                <w:color w:val="auto"/>
              </w:rPr>
              <w:t>(0.04)</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0.25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0.83</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(decrease) in net assets resulting from operations</w:t>
            </w:r>
            <w:r>
              <w:rPr>
                <w:rFonts w:ascii="Arial" w:cs="Arial" w:eastAsia="Arial" w:hAnsi="Arial"/>
                <w:sz w:val="11"/>
                <w:szCs w:val="11"/>
                <w:color w:val="auto"/>
                <w:w w:val="97"/>
              </w:rPr>
              <w:t>(2)</w:t>
            </w:r>
          </w:p>
        </w:tc>
        <w:tc>
          <w:tcPr>
            <w:tcW w:w="192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0.26</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0.25</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0.21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Assets and Liabilities</w:t>
            </w: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data (at period end):</w:t>
            </w: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assets</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186,129</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142,841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178,367</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192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180,796</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129,328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Credit Facility payable, at fair value</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85,775</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34,749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75,123</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12,927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920" w:type="dxa"/>
            <w:vAlign w:val="bottom"/>
            <w:gridSpan w:val="3"/>
          </w:tcPr>
          <w:p>
            <w:pPr>
              <w:jc w:val="right"/>
              <w:ind w:right="752"/>
              <w:spacing w:after="0"/>
              <w:rPr>
                <w:sz w:val="20"/>
                <w:szCs w:val="20"/>
                <w:color w:val="auto"/>
              </w:rPr>
            </w:pPr>
            <w:r>
              <w:rPr>
                <w:rFonts w:ascii="Arial" w:cs="Arial" w:eastAsia="Arial" w:hAnsi="Arial"/>
                <w:sz w:val="18"/>
                <w:szCs w:val="18"/>
                <w:color w:val="auto"/>
              </w:rPr>
              <w:t>95,814</w:t>
            </w: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93,739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95,744</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92,072</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920" w:type="dxa"/>
            <w:vAlign w:val="bottom"/>
            <w:gridSpan w:val="3"/>
          </w:tcPr>
          <w:p>
            <w:pPr>
              <w:jc w:val="right"/>
              <w:ind w:right="612"/>
              <w:spacing w:after="0"/>
              <w:rPr>
                <w:sz w:val="20"/>
                <w:szCs w:val="20"/>
                <w:color w:val="auto"/>
              </w:rPr>
            </w:pPr>
            <w:r>
              <w:rPr>
                <w:rFonts w:ascii="Arial" w:cs="Arial" w:eastAsia="Arial" w:hAnsi="Arial"/>
                <w:sz w:val="18"/>
                <w:szCs w:val="18"/>
                <w:color w:val="auto"/>
              </w:rPr>
              <w:t>2.15%</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(0.45)%</w:t>
            </w:r>
          </w:p>
        </w:tc>
        <w:tc>
          <w:tcPr>
            <w:tcW w:w="2000" w:type="dxa"/>
            <w:vAlign w:val="bottom"/>
            <w:gridSpan w:val="3"/>
          </w:tcPr>
          <w:p>
            <w:pPr>
              <w:jc w:val="right"/>
              <w:ind w:right="700"/>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(1)</w:t>
            </w:r>
          </w:p>
        </w:tc>
        <w:tc>
          <w:tcPr>
            <w:tcW w:w="1920" w:type="dxa"/>
            <w:vAlign w:val="bottom"/>
            <w:gridSpan w:val="3"/>
            <w:shd w:val="clear" w:color="auto" w:fill="CCEEFF"/>
          </w:tcPr>
          <w:p>
            <w:pPr>
              <w:jc w:val="right"/>
              <w:ind w:right="752"/>
              <w:spacing w:after="0"/>
              <w:rPr>
                <w:sz w:val="20"/>
                <w:szCs w:val="20"/>
                <w:color w:val="auto"/>
              </w:rPr>
            </w:pPr>
            <w:r>
              <w:rPr>
                <w:rFonts w:ascii="Arial" w:cs="Arial" w:eastAsia="Arial" w:hAnsi="Arial"/>
                <w:sz w:val="18"/>
                <w:szCs w:val="18"/>
                <w:color w:val="auto"/>
              </w:rPr>
              <w:t>64</w:t>
            </w:r>
          </w:p>
        </w:tc>
        <w:tc>
          <w:tcPr>
            <w:tcW w:w="12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(1)</w:t>
            </w:r>
          </w:p>
        </w:tc>
        <w:tc>
          <w:tcPr>
            <w:tcW w:w="1920" w:type="dxa"/>
            <w:vAlign w:val="bottom"/>
            <w:gridSpan w:val="3"/>
          </w:tcPr>
          <w:p>
            <w:pPr>
              <w:jc w:val="right"/>
              <w:ind w:right="612"/>
              <w:spacing w:after="0"/>
              <w:rPr>
                <w:sz w:val="20"/>
                <w:szCs w:val="20"/>
                <w:color w:val="auto"/>
              </w:rPr>
            </w:pPr>
            <w:r>
              <w:rPr>
                <w:rFonts w:ascii="Arial" w:cs="Arial" w:eastAsia="Arial" w:hAnsi="Arial"/>
                <w:sz w:val="18"/>
                <w:szCs w:val="18"/>
                <w:color w:val="auto"/>
              </w:rPr>
              <w:t>8.9%</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8.3%</w:t>
            </w:r>
          </w:p>
        </w:tc>
        <w:tc>
          <w:tcPr>
            <w:tcW w:w="2000" w:type="dxa"/>
            <w:vAlign w:val="bottom"/>
            <w:gridSpan w:val="3"/>
          </w:tcPr>
          <w:p>
            <w:pPr>
              <w:jc w:val="right"/>
              <w:ind w:right="70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gridSpan w:val="2"/>
          </w:tcPr>
          <w:p>
            <w:pPr>
              <w:jc w:val="right"/>
              <w:ind w:right="1032"/>
              <w:spacing w:after="0"/>
              <w:rPr>
                <w:sz w:val="20"/>
                <w:szCs w:val="20"/>
                <w:color w:val="auto"/>
              </w:rPr>
            </w:pPr>
            <w:r>
              <w:rPr>
                <w:rFonts w:ascii="Arial" w:cs="Arial" w:eastAsia="Arial" w:hAnsi="Arial"/>
                <w:sz w:val="18"/>
                <w:szCs w:val="18"/>
                <w:color w:val="auto"/>
                <w:w w:val="99"/>
              </w:rPr>
              <w:t>S-16</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 annualized for a period of less than a year.</w:t>
      </w:r>
    </w:p>
    <w:p>
      <w:pPr>
        <w:spacing w:after="0" w:line="5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Unaudited.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5"/>
              </w:rPr>
              <w:t>Q1</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2,059</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1,765</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13.99</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12.70</w:t>
            </w:r>
          </w:p>
        </w:tc>
        <w:tc>
          <w:tcPr>
            <w:tcW w:w="80" w:type="dxa"/>
            <w:vAlign w:val="bottom"/>
            <w:shd w:val="clear" w:color="auto" w:fill="CCEEFF"/>
          </w:tcPr>
          <w:p>
            <w:pPr>
              <w:spacing w:after="0"/>
              <w:rPr>
                <w:sz w:val="18"/>
                <w:szCs w:val="18"/>
                <w:color w:val="auto"/>
              </w:rPr>
            </w:pPr>
          </w:p>
        </w:tc>
      </w:tr>
      <w:tr>
        <w:trPr>
          <w:trHeight w:val="365"/>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Q3</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3,201</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2,467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1,846</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1,545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1,375</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(1,459)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2,980</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1,730</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3,944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4,525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3,105</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0.66</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13.98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13.94</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14.12</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13.68</w:t>
            </w: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11.75</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10.30</w:t>
            </w:r>
          </w:p>
        </w:tc>
        <w:tc>
          <w:tcPr>
            <w:tcW w:w="80" w:type="dxa"/>
            <w:vAlign w:val="bottom"/>
            <w:shd w:val="clear" w:color="auto" w:fill="CCEEFF"/>
          </w:tcPr>
          <w:p>
            <w:pPr>
              <w:spacing w:after="0"/>
              <w:rPr>
                <w:sz w:val="18"/>
                <w:szCs w:val="18"/>
                <w:color w:val="auto"/>
              </w:rPr>
            </w:pPr>
          </w:p>
        </w:tc>
      </w:tr>
      <w:tr>
        <w:trPr>
          <w:trHeight w:val="365"/>
        </w:trPr>
        <w:tc>
          <w:tcPr>
            <w:tcW w:w="5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99"/>
              </w:rPr>
              <w:t>Q3*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1,203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13.44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540" w:right="4960" w:hanging="5532"/>
        <w:spacing w:after="0" w:line="576" w:lineRule="auto"/>
        <w:tabs>
          <w:tab w:leader="none" w:pos="446" w:val="left"/>
        </w:tabs>
        <w:numPr>
          <w:ilvl w:val="0"/>
          <w:numId w:val="11"/>
        </w:numPr>
        <w:rPr>
          <w:rFonts w:ascii="Arial" w:cs="Arial" w:eastAsia="Arial" w:hAnsi="Arial"/>
          <w:sz w:val="15"/>
          <w:szCs w:val="15"/>
          <w:color w:val="auto"/>
        </w:rPr>
      </w:pPr>
      <w:r>
        <w:rPr>
          <w:rFonts w:ascii="Arial" w:cs="Arial" w:eastAsia="Arial" w:hAnsi="Arial"/>
          <w:sz w:val="15"/>
          <w:szCs w:val="15"/>
          <w:color w:val="auto"/>
        </w:rPr>
        <w:t>For the period March 4, 2011 (commencement of operations) to June 30, 2011. S-17</w:t>
      </w:r>
    </w:p>
    <w:p>
      <w:pPr>
        <w:sectPr>
          <w:pgSz w:w="11900" w:h="16838" w:orient="portrait"/>
          <w:cols w:equalWidth="0" w:num="1">
            <w:col w:w="10960"/>
          </w:cols>
          <w:pgMar w:left="24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which may, from time to time, include variable rate derivative instruments.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the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elected to be treated, and intend to qualify annually as a RIC under the Code.</w:t>
      </w:r>
    </w:p>
    <w:p>
      <w:pPr>
        <w:spacing w:after="0" w:line="11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over 200 companies with over 100 different financial sponsors through its managed funds.</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or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revenue in the form of interest income on the debt securities we hold. Capital gains, if any, are recorded on a trade date basis upon exiting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payment-in-kind, or PIK. The principal amount of the debt securities and any accrued but unpaid interest generally becomes due at the maturity date. In addition, we may generate revenue in the form of original issue discount, or OID, commitment, origination, structuring or diligence fees, fees for providing managerial assistance and possibly consulting fees.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commitment fees on the unfunded debt under our Credit Facility.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our portfolio totaled $180.8 million and consisted of $157.2 million of senior secured loans, $10.5 million of second lien secured debt and $13.1 million of subordinated debt, preferred and common equity investments. Our debt portfolio consisted of 87% variable-rate investments (including 81% with a LIBOR or prime floor) and 13% fixed-rate investments. Overall, the portfolio had unrealized depreciation of $0.1 million. Our overall portfolio consisted of 64 companies with an average investment size of $2.8 million, a weighted average yield on debt investments of 8.9%, and was invested 87% in senior secured loans, 6% in second lien secured debt and 7% in subordinated debt, preferred and common equity investments.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a weighted average yield on debt investments of 8.6%, and was invested 87% in senior secured loans, 7% in second lien secured debt and 6% in subordinated debt, preferred and common equity investments.</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$91.4 million of senior secured loans, $12.2 million of second lien secured debt, $7.1 million of subordinated debt, preferred and common equity investments. Our debt portfolio consisted of 84% variable-rate investments (including 78% with a LIBOR or prime floor) and 16% fixed-rate investments. Overall, the portfolio had net unrealized depreciation of $4.1 million. Our overall portfolio consisted of 38 companies with an average investment size of $2.9 million, a weighted average yield on debt investments of 8.0%, and was invested 83% in senior secured loans, 11% in second lien secured debt, 6% in subordinated debt, preferred and common equity investments.</w:t>
      </w:r>
    </w:p>
    <w:p>
      <w:pPr>
        <w:spacing w:after="0" w:line="116"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For the three months ended December 31, 2012, we invested $38.9 million in 12 new portfolio companies and two existing portfolio companies with a weighted average yield on debt investments of 9.6%. Sales and repayments of investments for the three months ended December 31, 2012 totaled $30.3 million.</w:t>
      </w:r>
    </w:p>
    <w:p>
      <w:pPr>
        <w:spacing w:after="0" w:line="62"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For the three months ended December 31, 2011, we invested $39.3 million in 13 new portfolio companies and two existing portfolio companies with a weighted average yield on debt investments of 9.4%. Sales and repayments of investments for the three months ended December 31, 2011 totaled $22.3 million.</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from our valuations and the differences may be material.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2012 and 2011, the Credit Facility had a net change in unrealized (appreciation) depreciation of $(0.4) million and $0.4 million, respectively. As of December 31, 2012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net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months ended December 31,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income for the three months ended December 31, 2012 was $4.0 million and was attributable to $3.3 million from senior secured loans, $0.3 million from second lien secured debt investments and $0.4 million from subordinated debt investments. This compares to investment income for the three months ended December 31, 2011, which was $2.5 million, and was attributable to $2.0 million from senior secured loan investments, $0.3 million from second lien secured debt investments and $0.2 million from subordinated debt investments. The increase in investment income is due to a larger portfolio which was funded through our Credit Facility, and rotation out of lower yielding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Expenses for the three months ended December 31, 2012 totaled $1.9 million. Base management fees for the same period totaled $0.5 million, performance-based incentive fees totaled $0.4 million, Credit Facility expenses totaled $0.5 million, general and administrative expenses totaled $0.5 million and excise taxes were less than $0.1 million. This compares to expenses for the three months ended December 31, 2011, which totaled $1.1 million. Base management fees for the same period totaled $0.3 million, performance-based incentive fees totaled zero, Credit Facility expenses totaled $0.3 million and general and administrative expenses totaled $0.5 million. The increase in management fees, incentive fees and Credit Facility expenses is due to the growth of our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investment income totaled $2.1 million, or $0.30 per share, for the three months ended December 31, 2012, and $1.4 million, or $0.20 per share, for the three months ended December 31, 2011. The increase in net investment income is due to a larger portfolio and higher yielding assets offset by higher Credit Facility expenses and management and incentive fees.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Sales and repayments of investments for the three months ended December 31, 2012 totaled $30.3 million and realized gains totaled $0.4 million. Sales and repayments of long-term investments totaled $22.3 million and realized gains totaled $0.3 million for the three months ended December 31, 2011. The increase in realized gains was driven by a higher volume of repayments than the comparable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three months ended December 31, 2012 and 2011, we reported unrealized (depreciation) appreciation on investments of $(0.4) million and $1.1 million, respectively. As of December 31, 2012 and September 30, 2012, net unrealized (depreciation) appreciation on investments totaled $(0.1) million and $0.3 million, respectively. The change in the three month period compared to last year is the result of the reversal of unrealized gains upon exiting our investments and changes in market values.</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For the three months ended December 31, 2012 and 2011, our long-term Credit Facility had a change in unrealized (appreciation) depreciation of $(0.4) million and $0.4 million, respectively. As of December 31, 2012 and September 30, 2012, net unrealized (appreciation) depreciation on our long-term Credit Facility totaled zero and $0.4 million, respectively. The change in the three month period compared to last year was due to changes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$1.8 million, or $0.26 per share, for the three months ended December 31, 2012. This compares to a net increase in net assets resulting from operations which totaled $3.1 million, or $0.45 per share, for the three months ended December 31, 2011. The decrease in net assets resulting from operations compared to last year is due to changes in fair value of our investments due to changes in the leveraged finance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Set forth below are the results of operations for the year ended September 30, 2012 and the period from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or Decrease in Net Assets Resulting from Operations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$12.0 million, or $1.75 per share,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$3.5 million, or $0.51 per share for the period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Funding I’s amended and restated Credit Facility with the Lender matures in May 2017 and its revolving period ends in May 2015. The Credit Facility allows Funding I to borrow $100 million and contains an accordian feature whereby the Credit Facility can be expanded to $600 million. As of December 31, 2012 and September 30, 2012, Funding I had $85.8 million and $75.5 million of outstanding borrowings under the Credit Facility, respectively, and carried an interest rate of 2.47%, in each case excluding the 0.375% undrawn commitment fee, and had $10.0 million and $20.6 million available, respectively, subject to satisfaction of certain conditions and the regulatory restrictions that the 1940 Act imposes on us as a BDC. As of September 30, 2011, Funding I had $24.7 million of outstanding borrowings under the Credit Facility, and carried an interest rate of 2.53%, exclusive of the 0.50% undrawn commitment fee.</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During the Credit Facility’s first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 For a complete list of such covenants see the amended and restated revolving credit and security agreement included as an exhibit to Form 10-Q filed on August 9, 2012. As of December 31, 2012, we were in compliance with the covenants relating to our Credit Facility.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fees owed with respect to such services are to be paid to the Company so long as the Investment Adviser remains the collateral manager.</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2012, we had cash equivalents of $4.0 million available for investing and general corporate purposes. We believe our liquidity and capital resources are sufficient to take advantage of market opportunities.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September 30, 2012 and 2011, we had cash equivalents of $3.8 million and $7.0 million, respectively,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color w:val="auto"/>
        </w:rPr>
        <w:t>Our operating activities used cash of $8.5 million for the three months ended December 31, 2012, and our financing activities provided net cash proceeds of $8.6 million for the same period. Our operating activities used cash primarily for net investing that was financed by net draws under the Credit Facility.</w:t>
      </w:r>
    </w:p>
    <w:p>
      <w:pPr>
        <w:spacing w:after="0" w:line="6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Our operating activities used cash of $11.3 million for the three months ended December 31, 2011, and our financing activities provided net cash proceeds of $9.0 million for the same period. Our operating activities used cash primarily for net investing that was financed by net draws under the Credit Facility.</w:t>
      </w:r>
    </w:p>
    <w:p>
      <w:pPr>
        <w:spacing w:after="0" w:line="6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operating activities used cash of $47.8 million for the year ended September 30, 2012, and our financing activities provided net cash proceeds of $44.7 million for the same period. Our operating activities used cash primarily for net investing that was provided from net draws under the Credit Facility.</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December 31, 2012,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left="40"/>
              <w:spacing w:after="0"/>
              <w:rPr>
                <w:sz w:val="20"/>
                <w:szCs w:val="20"/>
                <w:color w:val="auto"/>
              </w:rPr>
            </w:pPr>
            <w:r>
              <w:rPr>
                <w:rFonts w:ascii="Arial" w:cs="Arial" w:eastAsia="Arial" w:hAnsi="Arial"/>
                <w:sz w:val="14"/>
                <w:szCs w:val="14"/>
                <w:b w:val="1"/>
                <w:bCs w:val="1"/>
                <w:color w:val="auto"/>
                <w:w w:val="85"/>
              </w:rPr>
              <w:t>Payments due by period (millions)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8"/>
              </w:rPr>
              <w:t>1-3</w:t>
            </w:r>
          </w:p>
        </w:tc>
        <w:tc>
          <w:tcPr>
            <w:tcW w:w="820" w:type="dxa"/>
            <w:vAlign w:val="bottom"/>
            <w:gridSpan w:val="2"/>
          </w:tcPr>
          <w:p>
            <w:pPr>
              <w:jc w:val="center"/>
              <w:ind w:left="322"/>
              <w:spacing w:after="0" w:line="129" w:lineRule="exact"/>
              <w:rPr>
                <w:sz w:val="20"/>
                <w:szCs w:val="20"/>
                <w:color w:val="auto"/>
              </w:rPr>
            </w:pPr>
            <w:r>
              <w:rPr>
                <w:rFonts w:ascii="Arial" w:cs="Arial" w:eastAsia="Arial" w:hAnsi="Arial"/>
                <w:sz w:val="14"/>
                <w:szCs w:val="14"/>
                <w:b w:val="1"/>
                <w:bCs w:val="1"/>
                <w:color w:val="auto"/>
                <w:w w:val="88"/>
              </w:rPr>
              <w:t>3-5</w:t>
            </w:r>
          </w:p>
        </w:tc>
        <w:tc>
          <w:tcPr>
            <w:tcW w:w="4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Total</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20"/>
              <w:spacing w:after="0"/>
              <w:rPr>
                <w:sz w:val="20"/>
                <w:szCs w:val="20"/>
                <w:color w:val="auto"/>
              </w:rPr>
            </w:pPr>
            <w:r>
              <w:rPr>
                <w:rFonts w:ascii="Arial" w:cs="Arial" w:eastAsia="Arial" w:hAnsi="Arial"/>
                <w:sz w:val="14"/>
                <w:szCs w:val="14"/>
                <w:b w:val="1"/>
                <w:bCs w:val="1"/>
                <w:color w:val="auto"/>
                <w:w w:val="83"/>
              </w:rPr>
              <w:t>1 year</w:t>
            </w: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years</w:t>
            </w:r>
          </w:p>
        </w:tc>
        <w:tc>
          <w:tcPr>
            <w:tcW w:w="42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2"/>
              </w:rPr>
              <w:t>years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2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$85.8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$85.8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Accrued sales load charges</w:t>
            </w:r>
          </w:p>
        </w:tc>
        <w:tc>
          <w:tcPr>
            <w:tcW w:w="26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center"/>
              <w:ind w:left="342"/>
              <w:spacing w:after="0"/>
              <w:rPr>
                <w:sz w:val="20"/>
                <w:szCs w:val="20"/>
                <w:color w:val="auto"/>
              </w:rPr>
            </w:pPr>
            <w:r>
              <w:rPr>
                <w:rFonts w:ascii="Arial" w:cs="Arial" w:eastAsia="Arial" w:hAnsi="Arial"/>
                <w:sz w:val="18"/>
                <w:szCs w:val="18"/>
                <w:color w:val="auto"/>
                <w:w w:val="88"/>
              </w:rPr>
              <w:t>$85.8</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1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were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through December 31, 2012, we met the conditions for repayment of the sales load.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terms agreed among us,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 The Investment Adviser has since completed the required purchase of shares of our common stock in the secondary market in compliance with applicable law and SEC guidance. Certain investment professionals of the Investment Adviser purchased over $1 million of shares of our stock in transactions completed on or prior to February 20, 2013.</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February 5, 2013, our stockholders elected four directors, including Messrs. Marshall Brozost and Samuel L. Katz, each of whom will serve as Class I directors until the 2015 annual meeting, or until his successor is duly elected and qualifies or until his earlier resignation, removal from office, death or incapacity, and Messrs. Adam K. Bernstein and Jeffrey Flug, each of whom will serve as Class II directors until the 2016 annual meeting, or until his successor is duly elected and qualifies or until his earlier resignation, removal from office, death or incapacity. Also on that date, our investment management agreement, or the Investment Management Agreement, and our administration agreement, or the Administration Agreement, were reapproved by our board of directors, including a majority of our directors who are not interested persons of PennantPark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Biographical Information of Independent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2012, Mr. Marshall Brozost became a partner at Schulte Roth &amp; Zabel LLP, where he practices in the real estate and private equity groups.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the three months ended December 31, 2012 and 2011, we declared to stockholders distributions of approximately $0.25 and $0.21 per share, respectively, for total distributions of $1.7 million and $1.4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financial market risks, including changes in interest rates. As of December 31, 2012, our debt portfolio consisted of 87% variable-rate investments (including 81% with a LIBOR or prime floor) and 13% fixed-rate investments. As of September 30, 2012, our debt portfolio consisted of 85% variable-rate investments (including 81% with a LIBOR or prime floor) and 15%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Information about our senior securities is shown in the following table as of December 31, 2012 has been derived from our unaudited Consolidated Financial Statements. Information about our senior securities is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in this prospectus supplement and in the accompanying prospectus for more information.</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980" w:type="dxa"/>
            <w:vAlign w:val="bottom"/>
            <w:vMerge w:val="restart"/>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Outstanding</w:t>
            </w:r>
          </w:p>
        </w:tc>
        <w:tc>
          <w:tcPr>
            <w:tcW w:w="1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Asset Coverage</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55"/>
        </w:trPr>
        <w:tc>
          <w:tcPr>
            <w:tcW w:w="940" w:type="dxa"/>
            <w:vAlign w:val="bottom"/>
            <w:tcBorders>
              <w:bottom w:val="single" w:sz="8" w:color="auto"/>
            </w:tcBorders>
            <w:vMerge w:val="continue"/>
          </w:tcPr>
          <w:p>
            <w:pPr>
              <w:spacing w:after="0"/>
              <w:rPr>
                <w:sz w:val="13"/>
                <w:szCs w:val="13"/>
                <w:color w:val="auto"/>
              </w:rPr>
            </w:pPr>
          </w:p>
        </w:tc>
        <w:tc>
          <w:tcPr>
            <w:tcW w:w="5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(1)</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1080"/>
              <w:spacing w:after="0" w:line="135" w:lineRule="exact"/>
              <w:rPr>
                <w:sz w:val="20"/>
                <w:szCs w:val="20"/>
                <w:color w:val="auto"/>
              </w:rPr>
            </w:pPr>
            <w:r>
              <w:rPr>
                <w:rFonts w:ascii="Arial" w:cs="Arial" w:eastAsia="Arial" w:hAnsi="Arial"/>
                <w:sz w:val="10"/>
                <w:szCs w:val="10"/>
                <w:b w:val="1"/>
                <w:bCs w:val="1"/>
                <w:color w:val="auto"/>
              </w:rPr>
              <w:t xml:space="preserve">per Unit </w:t>
            </w:r>
            <w:r>
              <w:rPr>
                <w:rFonts w:ascii="Arial" w:cs="Arial" w:eastAsia="Arial" w:hAnsi="Arial"/>
                <w:sz w:val="15"/>
                <w:szCs w:val="15"/>
                <w:b w:val="1"/>
                <w:bCs w:val="1"/>
                <w:color w:val="auto"/>
                <w:vertAlign w:val="superscript"/>
              </w:rPr>
              <w:t>(2)</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0"/>
                <w:szCs w:val="10"/>
                <w:b w:val="1"/>
                <w:bCs w:val="1"/>
                <w:color w:val="auto"/>
              </w:rPr>
              <w:t xml:space="preserve">Per Unit </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190"/>
        </w:trPr>
        <w:tc>
          <w:tcPr>
            <w:tcW w:w="6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Fiscal 2013 (as of December 31, 2012)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85,775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2,117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75,500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2,268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4,735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 This information is unaudited.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and is 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U.S. FEDERAL INCOME TAX CONSIDERATIONS</w:t>
      </w:r>
    </w:p>
    <w:p>
      <w:pPr>
        <w:spacing w:after="0" w:line="177"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described more fully in the accompanying prospectus, we intend to qualify annually as a RIC under Subchapter M of the Code and the applicable Treasury regulations. The following discussion, which supplements and updates the discussion under the heading “Material U.S. Federal Income Tax Considerations” in the accompanying prospectus, is a summary of certain additional material U.S. federal income tax considerations.</w:t>
      </w:r>
    </w:p>
    <w:p>
      <w:pPr>
        <w:spacing w:after="0" w:line="107"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Congress recently enacted, and the President recently signed, the American Taxpayer Relief Act of 2012, or ATRA. Among other things, ATRA provided for the permanent extension of the 2012 ordinary and long-term capital gains tax rates for individuals with taxable income at or below certain thresholds, which are indexed for inflation ($400,000 in the case of unmarried individuals and $450,000 in the case of married couples filing jointly). However, because ATRA did not extend the 2012 tax rates for all taxpayers, for taxable years beginning after December 31, 2012, non-corporate taxpayers will be subject to a maximum rate of tax on ordinary income of 39.6% and a maximum rate of tax on long-term capital gains of 20%.</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ATRA also provided for a permanent extension of the taxation of qualified dividends received by non-corporate taxpayers at the same maximum rates applicable to long-term capital gains. Accordingly, distributions of our investment company taxable income that are reported by us as being derived from “qualified dividend income” will be taxed in the hands of non-corporate U.S. stockholders at the rates applicable to long-term capital gain, provided that holding period and other requirements are met by both the stockholders and us. As discussed in the accompanying prospectus, dividends distributed by us will generally not be attributable to qualified dividend income.</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in the case of non-U.S. stockholders, ATRA provided for a one-year extension (as well as the retroactive application to the beginning of 2012) of the special exemption from withholding for “interest-related dividends” and “short-term capital gain dividends.” Accordingly, for our taxable years beginning prior to January 1, 2014, properly designated dividends received by a non-U.S. stockholder generally are exempt from U.S. federal withholding tax when they (1) are paid in respect of our ‘‘qualified net interest income’’ (generally, our U.S. source interest income, other than certain contingent interest and interest from obligations of a corporation or partnership in which we are at least a 10% stockholder, reduced by expenses that are allocable to such income), or (2) were paid in connection with our ‘‘qualified short-term capital gains’’ (generally, the excess of our net short-term capital gain over our long-term capital loss for such taxable year). There can be no assurance that this provision will be further extended and, depending on the circumstances, we may designate all, some or none of our potentially eligible dividends as such qualified net interest income or as qualified short-term capital gains, or treat such dividends, in whole or in part, as ineligible for this exemption from withholding. Additionally, a portion of our distributions (e.g., interest from non-U.S. sources or any foreign currency gains) would be ineligible for this potential exemption from withholding. In order to qualify for this exemption from withholding, a non-U.S. stockholder must comply with applicable certification requirements relating to its non-U.S. status (including, in general, furnishing an IRS Form W-8BEN or an acceptable substitute or successor form). In the case of shares held through an intermediary, the intermediary could withhold even if we designate the payment as qualified net interest income or qualified short-term capital gain. Non-U.S. stockholders should contact their intermediaries with respect to the application of these rules to their accounts.</w:t>
      </w:r>
    </w:p>
    <w:p>
      <w:pPr>
        <w:spacing w:after="0" w:line="3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in shares by a non-U.S. stockholder may also be subject to U.S. federal estate tax. Non-U.S. stockholders should consult their own tax advisors with respect to the U.S. federal income tax, U.S. federal estate tax, withholding tax, and state, local and foreign tax consequences of acquiring, owning or disposing of our common stock.</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Tax matters are very complicated and the tax consequences to an investor of an investment in our shares will depend on the facts of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J.P. Morgan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Underwriter Names</w:t>
            </w:r>
          </w:p>
        </w:tc>
        <w:tc>
          <w:tcPr>
            <w:tcW w:w="8300" w:type="dxa"/>
            <w:vAlign w:val="bottom"/>
            <w:vMerge w:val="restart"/>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90"/>
        </w:trPr>
        <w:tc>
          <w:tcPr>
            <w:tcW w:w="9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initially to offer the shares to the public at the public offering price on the cover page of this prospectus</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supplement and to dealers at that price less a concession not in excess of $ per share. After the public offering, the public offering price, concession and discount may be changed.</w:t>
      </w:r>
    </w:p>
    <w:p>
      <w:pPr>
        <w:spacing w:after="0" w:line="13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450,000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Without</w:t>
            </w:r>
          </w:p>
        </w:tc>
        <w:tc>
          <w:tcPr>
            <w:tcW w:w="2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With</w:t>
            </w:r>
          </w:p>
        </w:tc>
      </w:tr>
      <w:tr>
        <w:trPr>
          <w:trHeight w:val="149"/>
        </w:trPr>
        <w:tc>
          <w:tcPr>
            <w:tcW w:w="11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Overallotment</w:t>
            </w:r>
          </w:p>
        </w:tc>
        <w:tc>
          <w:tcPr>
            <w:tcW w:w="24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Overallotment</w:t>
            </w:r>
          </w:p>
        </w:tc>
      </w:tr>
      <w:tr>
        <w:trPr>
          <w:trHeight w:val="161"/>
        </w:trPr>
        <w:tc>
          <w:tcPr>
            <w:tcW w:w="11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Option</w:t>
            </w:r>
          </w:p>
        </w:tc>
      </w:tr>
      <w:tr>
        <w:trPr>
          <w:trHeight w:val="210"/>
        </w:trPr>
        <w:tc>
          <w:tcPr>
            <w:tcW w:w="7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1"/>
                <w:szCs w:val="11"/>
                <w:b w:val="1"/>
                <w:bCs w:val="1"/>
                <w:color w:val="auto"/>
              </w:rPr>
              <w:t>(1)</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Proceeds to PennantPark Floating Rate Capital Ltd. (before offering expenses of $400,000)</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000" w:type="dxa"/>
            <w:vAlign w:val="bottom"/>
          </w:tcPr>
          <w:p>
            <w:pPr>
              <w:spacing w:after="0"/>
              <w:rPr>
                <w:sz w:val="9"/>
                <w:szCs w:val="9"/>
                <w:color w:val="auto"/>
              </w:rPr>
            </w:pPr>
          </w:p>
        </w:tc>
        <w:tc>
          <w:tcPr>
            <w:tcW w:w="1660" w:type="dxa"/>
            <w:vAlign w:val="bottom"/>
            <w:gridSpan w:val="3"/>
          </w:tcPr>
          <w:p>
            <w:pPr>
              <w:spacing w:after="0"/>
              <w:rPr>
                <w:sz w:val="9"/>
                <w:szCs w:val="9"/>
                <w:color w:val="auto"/>
              </w:rPr>
            </w:pPr>
          </w:p>
        </w:tc>
        <w:tc>
          <w:tcPr>
            <w:tcW w:w="1420" w:type="dxa"/>
            <w:vAlign w:val="bottom"/>
            <w:gridSpan w:val="2"/>
          </w:tcPr>
          <w:p>
            <w:pPr>
              <w:spacing w:after="0"/>
              <w:rPr>
                <w:sz w:val="9"/>
                <w:szCs w:val="9"/>
                <w:color w:val="auto"/>
              </w:rPr>
            </w:pPr>
          </w:p>
        </w:tc>
        <w:tc>
          <w:tcPr>
            <w:tcW w:w="1180" w:type="dxa"/>
            <w:vAlign w:val="bottom"/>
            <w:gridSpan w:val="3"/>
          </w:tcPr>
          <w:p>
            <w:pPr>
              <w:spacing w:after="0"/>
              <w:rPr>
                <w:sz w:val="9"/>
                <w:szCs w:val="9"/>
                <w:color w:val="auto"/>
              </w:rPr>
            </w:pPr>
          </w:p>
        </w:tc>
      </w:tr>
      <w:tr>
        <w:trPr>
          <w:trHeight w:val="235"/>
        </w:trPr>
        <w:tc>
          <w:tcPr>
            <w:tcW w:w="7160" w:type="dxa"/>
            <w:vAlign w:val="bottom"/>
            <w:gridSpan w:val="2"/>
          </w:tcPr>
          <w:p>
            <w:pPr>
              <w:spacing w:after="0"/>
              <w:rPr>
                <w:sz w:val="20"/>
                <w:szCs w:val="20"/>
                <w:color w:val="auto"/>
              </w:rPr>
            </w:pPr>
            <w:r>
              <w:rPr>
                <w:rFonts w:ascii="Arial" w:cs="Arial" w:eastAsia="Arial" w:hAnsi="Arial"/>
                <w:sz w:val="18"/>
                <w:szCs w:val="18"/>
                <w:color w:val="auto"/>
                <w:w w:val="91"/>
              </w:rPr>
              <w:t>(1)   Our Investment Adviser, has agreed to pay the underwriters the sales load in the amount of $</w:t>
            </w: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rPr>
              <w:t>million, or $</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per share, (or $</w:t>
            </w:r>
          </w:p>
        </w:tc>
        <w:tc>
          <w:tcPr>
            <w:tcW w:w="1180" w:type="dxa"/>
            <w:vAlign w:val="bottom"/>
            <w:gridSpan w:val="3"/>
          </w:tcPr>
          <w:p>
            <w:pPr>
              <w:ind w:left="200"/>
              <w:spacing w:after="0"/>
              <w:rPr>
                <w:sz w:val="20"/>
                <w:szCs w:val="20"/>
                <w:color w:val="auto"/>
              </w:rPr>
            </w:pPr>
            <w:r>
              <w:rPr>
                <w:rFonts w:ascii="Arial" w:cs="Arial" w:eastAsia="Arial" w:hAnsi="Arial"/>
                <w:sz w:val="18"/>
                <w:szCs w:val="18"/>
                <w:color w:val="auto"/>
              </w:rPr>
              <w:t>million, or</w:t>
            </w:r>
          </w:p>
        </w:tc>
      </w:tr>
    </w:tbl>
    <w:p>
      <w:pPr>
        <w:ind w:left="460" w:right="260" w:hanging="6"/>
        <w:spacing w:after="0" w:line="323" w:lineRule="auto"/>
        <w:tabs>
          <w:tab w:leader="none" w:pos="1294"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 share if the overallotment options is fully exercised) of the sales load in connection with this offering, which is not reflected in the above table. All other expenses of the offering including the sales load not paid by our Investment Adviser will be borne by us.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450,000 additional shares at the public offering price less the underwriting discount solely to cover overallotments. The underwriters may exercise this overallotment option for 30 days from the date of this prospectus supplement.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received or will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our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Affiliates of certain of the underwriters may serve as lenders under any future credit facility. Some of the underwriters and their affiliates were underwriters in connection with our initial public offering for which they received customary fees.</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principal business addresses of the underwriters are: Morgan Stanley &amp; Co. LLC, 1585 Broadway, New York, NY 10036; J.P. Morgan Securities LLC, 383 Madison Avenue, New York, NY 10179; Keefe, Bruyette &amp; Woods, Inc., 787 Seventh Avenue, 4</w:t>
      </w:r>
      <w:r>
        <w:rPr>
          <w:rFonts w:ascii="Arial" w:cs="Arial" w:eastAsia="Arial" w:hAnsi="Arial"/>
          <w:sz w:val="10"/>
          <w:szCs w:val="10"/>
          <w:color w:val="auto"/>
        </w:rPr>
        <w:t>th</w:t>
      </w:r>
      <w:r>
        <w:rPr>
          <w:rFonts w:ascii="Arial" w:cs="Arial" w:eastAsia="Arial" w:hAnsi="Arial"/>
          <w:sz w:val="16"/>
          <w:szCs w:val="16"/>
          <w:color w:val="auto"/>
        </w:rPr>
        <w:t xml:space="preserve"> Floor, New York, NY 10019.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This prospectus does not constitute an issue prospectus pursuant to Article 652a or Article 1156 of the Swiss Code of Obligations (“CO”) and the shares will not be listed on the SIX Swiss Exchange. Therefore, this 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Fried, Frank, Harris, Shriver &amp; Jacobson LLP, New York, NY.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300"/>
          </w:cols>
          <w:pgMar w:left="24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80" w:type="dxa"/>
            <w:vAlign w:val="bottom"/>
            <w:gridSpan w:val="13"/>
          </w:tcPr>
          <w:p>
            <w:pPr>
              <w:jc w:val="center"/>
              <w:ind w:right="3380"/>
              <w:spacing w:after="0"/>
              <w:rPr>
                <w:sz w:val="20"/>
                <w:szCs w:val="20"/>
                <w:color w:val="auto"/>
              </w:rPr>
            </w:pPr>
            <w:r>
              <w:rPr>
                <w:rFonts w:ascii="Arial" w:cs="Arial" w:eastAsia="Arial" w:hAnsi="Arial"/>
                <w:sz w:val="18"/>
                <w:szCs w:val="18"/>
                <w:b w:val="1"/>
                <w:bCs w:val="1"/>
                <w:color w:val="auto"/>
                <w:w w:val="99"/>
              </w:rPr>
              <w:t>INDEX TO FINANCIAL STATEMENTS</w:t>
            </w:r>
          </w:p>
        </w:tc>
        <w:tc>
          <w:tcPr>
            <w:tcW w:w="620" w:type="dxa"/>
            <w:vAlign w:val="bottom"/>
          </w:tcPr>
          <w:p>
            <w:pPr>
              <w:spacing w:after="0"/>
              <w:rPr>
                <w:sz w:val="19"/>
                <w:szCs w:val="19"/>
                <w:color w:val="auto"/>
              </w:rPr>
            </w:pPr>
          </w:p>
        </w:tc>
      </w:tr>
      <w:tr>
        <w:trPr>
          <w:trHeight w:val="378"/>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Information for the Fiscal Ended September 30, 2012</w:t>
            </w:r>
          </w:p>
        </w:tc>
        <w:tc>
          <w:tcPr>
            <w:tcW w:w="620" w:type="dxa"/>
            <w:vAlign w:val="bottom"/>
          </w:tcPr>
          <w:p>
            <w:pPr>
              <w:spacing w:after="0"/>
              <w:rPr>
                <w:sz w:val="24"/>
                <w:szCs w:val="24"/>
                <w:color w:val="auto"/>
              </w:rPr>
            </w:pPr>
          </w:p>
        </w:tc>
      </w:tr>
      <w:tr>
        <w:trPr>
          <w:trHeight w:val="380"/>
        </w:trPr>
        <w:tc>
          <w:tcPr>
            <w:tcW w:w="4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Management’s Report on Internal Control Over Financial Reporting</w:t>
              </w:r>
            </w:hyperlink>
          </w:p>
        </w:tc>
        <w:tc>
          <w:tcPr>
            <w:tcW w:w="5900" w:type="dxa"/>
            <w:vAlign w:val="bottom"/>
            <w:gridSpan w:val="12"/>
          </w:tcPr>
          <w:p>
            <w:pPr>
              <w:spacing w:after="0"/>
              <w:rPr>
                <w:sz w:val="24"/>
                <w:szCs w:val="24"/>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78"/>
              </w:rPr>
              <w:t>S-42</w:t>
            </w: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Report of Independent Registered Public Accounting Firm</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S-43</w:t>
            </w:r>
          </w:p>
        </w:tc>
      </w:tr>
      <w:tr>
        <w:trPr>
          <w:trHeight w:val="20"/>
        </w:trPr>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Report of Independent Registered Public Accounting Firm On Internal Control Over Financial Reporting</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S-44</w:t>
            </w:r>
          </w:p>
        </w:tc>
      </w:tr>
      <w:tr>
        <w:trPr>
          <w:trHeight w:val="196"/>
        </w:trPr>
        <w:tc>
          <w:tcPr>
            <w:tcW w:w="6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3"/>
          </w:tcPr>
          <w:p>
            <w:pPr>
              <w:spacing w:after="0"/>
              <w:rPr>
                <w:sz w:val="17"/>
                <w:szCs w:val="17"/>
                <w:color w:val="auto"/>
              </w:rPr>
            </w:pPr>
          </w:p>
        </w:tc>
        <w:tc>
          <w:tcPr>
            <w:tcW w:w="3320" w:type="dxa"/>
            <w:vAlign w:val="bottom"/>
            <w:gridSpan w:val="8"/>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S-45</w:t>
            </w:r>
          </w:p>
        </w:tc>
      </w:tr>
      <w:tr>
        <w:trPr>
          <w:trHeight w:val="196"/>
        </w:trPr>
        <w:tc>
          <w:tcPr>
            <w:tcW w:w="10700" w:type="dxa"/>
            <w:vAlign w:val="bottom"/>
            <w:gridSpan w:val="1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Consolidated Statements of Operations for the year ended September 30, 2012 and for the period March 4, 2011 (commencement of operations) to</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September 30, 2011</w:t>
              </w:r>
            </w:hyperlink>
          </w:p>
        </w:tc>
        <w:tc>
          <w:tcPr>
            <w:tcW w:w="360" w:type="dxa"/>
            <w:vAlign w:val="bottom"/>
            <w:gridSpan w:val="2"/>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S-46</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Consolidated Statements of Changes in Net Assets for the year ended September 30, 2012 and for the period March 4, 2011 (commencement of</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operations) to September 30, 2011</w:t>
              </w:r>
            </w:hyperlink>
          </w:p>
        </w:tc>
        <w:tc>
          <w:tcPr>
            <w:tcW w:w="560" w:type="dxa"/>
            <w:vAlign w:val="bottom"/>
            <w:gridSpan w:val="3"/>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S-47</w:t>
            </w:r>
          </w:p>
        </w:tc>
      </w:tr>
      <w:tr>
        <w:trPr>
          <w:trHeight w:val="20"/>
        </w:trPr>
        <w:tc>
          <w:tcPr>
            <w:tcW w:w="2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Consolidated Statements of Cash Flows for the year ended September 30, 2012 and for the period March 4, 2011 (commencement of operations) to</w:t>
              </w:r>
            </w:hyperlink>
          </w:p>
        </w:tc>
        <w:tc>
          <w:tcPr>
            <w:tcW w:w="62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September 30, 2011</w:t>
              </w:r>
            </w:hyperlink>
          </w:p>
        </w:tc>
        <w:tc>
          <w:tcPr>
            <w:tcW w:w="300" w:type="dxa"/>
            <w:vAlign w:val="bottom"/>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S-48</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Consolidated Schedules of Investments as of September 30, 2012 and September 30, 2011</w:t>
              </w:r>
            </w:hyperlink>
          </w:p>
        </w:tc>
        <w:tc>
          <w:tcPr>
            <w:tcW w:w="4340" w:type="dxa"/>
            <w:vAlign w:val="bottom"/>
            <w:gridSpan w:val="10"/>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S-49</w:t>
            </w:r>
          </w:p>
        </w:tc>
      </w:tr>
      <w:tr>
        <w:trPr>
          <w:trHeight w:val="196"/>
        </w:trPr>
        <w:tc>
          <w:tcPr>
            <w:tcW w:w="33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Notes to the Consolidated Financial Statements</w:t>
              </w:r>
            </w:hyperlink>
          </w:p>
        </w:tc>
        <w:tc>
          <w:tcPr>
            <w:tcW w:w="7360" w:type="dxa"/>
            <w:vAlign w:val="bottom"/>
            <w:gridSpan w:val="15"/>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S-54</w:t>
            </w:r>
          </w:p>
        </w:tc>
      </w:tr>
      <w:tr>
        <w:trPr>
          <w:trHeight w:val="397"/>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Consolidated Financial Information for the Quarter Ended December 31, 2012</w:t>
            </w:r>
          </w:p>
        </w:tc>
        <w:tc>
          <w:tcPr>
            <w:tcW w:w="620" w:type="dxa"/>
            <w:vAlign w:val="bottom"/>
          </w:tcPr>
          <w:p>
            <w:pPr>
              <w:spacing w:after="0"/>
              <w:rPr>
                <w:sz w:val="24"/>
                <w:szCs w:val="24"/>
                <w:color w:val="auto"/>
              </w:rPr>
            </w:pPr>
          </w:p>
        </w:tc>
      </w:tr>
      <w:tr>
        <w:trPr>
          <w:trHeight w:val="380"/>
        </w:trPr>
        <w:tc>
          <w:tcPr>
            <w:tcW w:w="10700" w:type="dxa"/>
            <w:vAlign w:val="bottom"/>
            <w:gridSpan w:val="19"/>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Report of Independent Registered Public Accounting Firm</w:t>
              </w:r>
            </w:hyperlink>
          </w:p>
        </w:tc>
        <w:tc>
          <w:tcPr>
            <w:tcW w:w="620" w:type="dxa"/>
            <w:vAlign w:val="bottom"/>
          </w:tcPr>
          <w:p>
            <w:pPr>
              <w:ind w:left="300"/>
              <w:spacing w:after="0"/>
              <w:rPr>
                <w:sz w:val="20"/>
                <w:szCs w:val="20"/>
                <w:color w:val="auto"/>
              </w:rPr>
            </w:pPr>
            <w:r>
              <w:rPr>
                <w:rFonts w:ascii="Arial" w:cs="Arial" w:eastAsia="Arial" w:hAnsi="Arial"/>
                <w:sz w:val="18"/>
                <w:szCs w:val="18"/>
                <w:color w:val="auto"/>
                <w:w w:val="78"/>
              </w:rPr>
              <w:t>S-69</w:t>
            </w:r>
          </w:p>
        </w:tc>
      </w:tr>
      <w:tr>
        <w:trPr>
          <w:trHeight w:val="20"/>
        </w:trPr>
        <w:tc>
          <w:tcPr>
            <w:tcW w:w="39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Assets and Liabilities as of December 31, 2012 (unaudited) and September 30, 2012</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S-70</w:t>
            </w:r>
          </w:p>
        </w:tc>
      </w:tr>
      <w:tr>
        <w:trPr>
          <w:trHeight w:val="196"/>
        </w:trPr>
        <w:tc>
          <w:tcPr>
            <w:tcW w:w="7940" w:type="dxa"/>
            <w:vAlign w:val="bottom"/>
            <w:tcBorders>
              <w:top w:val="single" w:sz="8" w:color="0000EE"/>
            </w:tcBorders>
            <w:gridSpan w:val="1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Operations for the three months ended December 31, 2012 and 2011 (unaudited)</w:t>
              </w:r>
            </w:hyperlink>
          </w:p>
        </w:tc>
        <w:tc>
          <w:tcPr>
            <w:tcW w:w="2760" w:type="dxa"/>
            <w:vAlign w:val="bottom"/>
            <w:gridSpan w:val="5"/>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S-71</w:t>
            </w:r>
          </w:p>
        </w:tc>
      </w:tr>
      <w:tr>
        <w:trPr>
          <w:trHeight w:val="20"/>
        </w:trPr>
        <w:tc>
          <w:tcPr>
            <w:tcW w:w="3940" w:type="dxa"/>
            <w:vAlign w:val="bottom"/>
            <w:gridSpan w:val="5"/>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Changes in Net Assets for the three months ended December 31, 2012 and 2011 (unaudited)</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S-72</w:t>
            </w:r>
          </w:p>
        </w:tc>
      </w:tr>
      <w:tr>
        <w:trPr>
          <w:trHeight w:val="196"/>
        </w:trPr>
        <w:tc>
          <w:tcPr>
            <w:tcW w:w="7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76">
              <w:r>
                <w:rPr>
                  <w:rFonts w:ascii="Arial" w:cs="Arial" w:eastAsia="Arial" w:hAnsi="Arial"/>
                  <w:sz w:val="18"/>
                  <w:szCs w:val="18"/>
                  <w:color w:val="0000EE"/>
                  <w:w w:val="87"/>
                </w:rPr>
                <w:t>Consolidated Statements of Cash Flows for the three months ended December 31, 2012 and 2011 (unaudited)</w:t>
              </w:r>
            </w:hyperlink>
          </w:p>
        </w:tc>
        <w:tc>
          <w:tcPr>
            <w:tcW w:w="760" w:type="dxa"/>
            <w:vAlign w:val="bottom"/>
            <w:tcBorders>
              <w:top w:val="single" w:sz="8" w:color="0000EE"/>
            </w:tcBorders>
            <w:gridSpan w:val="2"/>
          </w:tcPr>
          <w:p>
            <w:pPr>
              <w:spacing w:after="0"/>
              <w:rPr>
                <w:sz w:val="17"/>
                <w:szCs w:val="17"/>
                <w:color w:val="auto"/>
              </w:rPr>
            </w:pPr>
          </w:p>
        </w:tc>
        <w:tc>
          <w:tcPr>
            <w:tcW w:w="2200" w:type="dxa"/>
            <w:vAlign w:val="bottom"/>
            <w:gridSpan w:val="4"/>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S-73</w:t>
            </w:r>
          </w:p>
        </w:tc>
      </w:tr>
      <w:tr>
        <w:trPr>
          <w:trHeight w:val="196"/>
        </w:trPr>
        <w:tc>
          <w:tcPr>
            <w:tcW w:w="10700" w:type="dxa"/>
            <w:vAlign w:val="bottom"/>
            <w:gridSpan w:val="1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Schedules of Investments as of December 31, 2012 (unaudited) and September 30, 2012</w:t>
              </w:r>
            </w:hyperlink>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S-74</w:t>
            </w:r>
          </w:p>
        </w:tc>
      </w:tr>
      <w:tr>
        <w:trPr>
          <w:trHeight w:val="196"/>
        </w:trPr>
        <w:tc>
          <w:tcPr>
            <w:tcW w:w="72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 (unaudited)</w:t>
              </w:r>
            </w:hyperlink>
          </w:p>
        </w:tc>
        <w:tc>
          <w:tcPr>
            <w:tcW w:w="3480" w:type="dxa"/>
            <w:vAlign w:val="bottom"/>
            <w:gridSpan w:val="9"/>
          </w:tcPr>
          <w:p>
            <w:pPr>
              <w:spacing w:after="0"/>
              <w:rPr>
                <w:sz w:val="17"/>
                <w:szCs w:val="17"/>
                <w:color w:val="auto"/>
              </w:rPr>
            </w:pPr>
          </w:p>
        </w:tc>
        <w:tc>
          <w:tcPr>
            <w:tcW w:w="620" w:type="dxa"/>
            <w:vAlign w:val="bottom"/>
          </w:tcPr>
          <w:p>
            <w:pPr>
              <w:ind w:left="300"/>
              <w:spacing w:after="0" w:line="196" w:lineRule="exact"/>
              <w:rPr>
                <w:sz w:val="20"/>
                <w:szCs w:val="20"/>
                <w:color w:val="auto"/>
              </w:rPr>
            </w:pPr>
            <w:r>
              <w:rPr>
                <w:rFonts w:ascii="Arial" w:cs="Arial" w:eastAsia="Arial" w:hAnsi="Arial"/>
                <w:sz w:val="18"/>
                <w:szCs w:val="18"/>
                <w:color w:val="auto"/>
                <w:w w:val="78"/>
              </w:rPr>
              <w:t>S-80</w:t>
            </w:r>
          </w:p>
        </w:tc>
      </w:tr>
      <w:tr>
        <w:trPr>
          <w:trHeight w:val="383"/>
        </w:trPr>
        <w:tc>
          <w:tcPr>
            <w:tcW w:w="22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gridSpan w:val="12"/>
          </w:tcPr>
          <w:p>
            <w:pPr>
              <w:jc w:val="center"/>
              <w:ind w:right="4080"/>
              <w:spacing w:after="0"/>
              <w:rPr>
                <w:sz w:val="20"/>
                <w:szCs w:val="20"/>
                <w:color w:val="auto"/>
              </w:rPr>
            </w:pPr>
            <w:r>
              <w:rPr>
                <w:rFonts w:ascii="Arial" w:cs="Arial" w:eastAsia="Arial" w:hAnsi="Arial"/>
                <w:sz w:val="18"/>
                <w:szCs w:val="18"/>
                <w:color w:val="auto"/>
                <w:w w:val="89"/>
              </w:rPr>
              <w:t>S-41</w:t>
            </w:r>
          </w:p>
        </w:tc>
        <w:tc>
          <w:tcPr>
            <w:tcW w:w="6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Based on the assessment management believes that, as of September 30, 2012, our internal control over financial reporting is effective based on those criteria.</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that audited the financial statements has issued an audit report on the effectiveness of our internal control over financial reporting as of September 30, 2012. This report appears on page S-44.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0"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 issued by the Committee of Sponsoring Organizations of the Treadway Commission (COSO), and our report dated November 14, 2012 expressed an</w:t>
      </w:r>
      <w:r>
        <w:rPr>
          <w:rFonts w:ascii="Arial" w:cs="Arial" w:eastAsia="Arial" w:hAnsi="Arial"/>
          <w:sz w:val="16"/>
          <w:szCs w:val="16"/>
          <w:i w:val="1"/>
          <w:iCs w:val="1"/>
          <w:color w:val="auto"/>
        </w:rPr>
        <w:t xml:space="preserve"> </w:t>
      </w:r>
      <w:r>
        <w:rPr>
          <w:rFonts w:ascii="Arial" w:cs="Arial" w:eastAsia="Arial" w:hAnsi="Arial"/>
          <w:sz w:val="16"/>
          <w:szCs w:val="16"/>
          <w:color w:val="auto"/>
        </w:rPr>
        <w:t>unqualified opinion on the effectiveness of the Company’s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53 of the Annual Report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 (cost—$171,578,009 and $114,829,621,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171,834,400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110,724,241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3,845,803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1,388,867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732,695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986,278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311,313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163,374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178,366,661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121,075,260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548,053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479,547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3,357,500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2,323,250</w:t>
            </w:r>
          </w:p>
        </w:tc>
        <w:tc>
          <w:tcPr>
            <w:tcW w:w="0" w:type="dxa"/>
            <w:vAlign w:val="bottom"/>
          </w:tcPr>
          <w:p>
            <w:pPr>
              <w:spacing w:after="0"/>
              <w:rPr>
                <w:sz w:val="1"/>
                <w:szCs w:val="1"/>
                <w:color w:val="auto"/>
              </w:rPr>
            </w:pPr>
          </w:p>
        </w:tc>
      </w:tr>
      <w:tr>
        <w:trPr>
          <w:trHeight w:val="20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(cost—$75,500,000 and $24,650,000, respectively) (See Notes 5 and 10)</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75,122,500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24,650,000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161,550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424,747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506,314</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447,120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143,680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Accrued sales load charges (See Note 3)</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2,055,000</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82,622,784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29,003,155</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8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6,851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95,192,222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97,251,174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(1,313,000)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1,223,913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256,391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18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377,500</w:t>
            </w: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95,743,877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178,366,661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121,075,260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13.98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w w:val="92"/>
              </w:rPr>
              <w:t>Year ended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2012</w:t>
            </w:r>
          </w:p>
        </w:tc>
        <w:tc>
          <w:tcPr>
            <w:tcW w:w="8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11,856,483</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242,065</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12,098,548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2"/>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1,494,616</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Performance-based incentive fees (Note 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564,540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1,482,339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583,613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1,310,084</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Expenses before Credit Facility costs and excise tax expense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5,435,192</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1,260,417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issuance costs (See Note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311,648</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5,788,867</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6,309,681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911,925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4,361,772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(See Note 5)</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4,739,272</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5,651,197</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(3,793,392)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11,960,878</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 per common share (See Note 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0.92</w:t>
            </w: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net assets resulting from operations: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6,309,681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911,925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60" w:type="dxa"/>
            <w:vAlign w:val="bottom"/>
          </w:tcPr>
          <w:p>
            <w:pPr>
              <w:spacing w:after="0"/>
              <w:rPr>
                <w:sz w:val="18"/>
                <w:szCs w:val="18"/>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4,361,772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60" w:type="dxa"/>
            <w:vAlign w:val="bottom"/>
          </w:tcPr>
          <w:p>
            <w:pPr>
              <w:spacing w:after="0"/>
              <w:rPr>
                <w:sz w:val="20"/>
                <w:szCs w:val="20"/>
                <w:color w:val="auto"/>
              </w:rPr>
            </w:pP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11,960,878</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60" w:type="dxa"/>
            <w:vAlign w:val="bottom"/>
          </w:tcPr>
          <w:p>
            <w:pPr>
              <w:spacing w:after="0"/>
              <w:rPr>
                <w:sz w:val="19"/>
                <w:szCs w:val="19"/>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(6,234,106)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(1,712,667)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8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sales load charges (See Notes 1 and 3)</w:t>
            </w: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(decrease) increase in net assets resulting from capital transactions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(2,055,000)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97,258,025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3,671,772</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880"/>
              <w:spacing w:after="0"/>
              <w:rPr>
                <w:sz w:val="20"/>
                <w:szCs w:val="20"/>
                <w:color w:val="auto"/>
              </w:rPr>
            </w:pPr>
            <w:r>
              <w:rPr>
                <w:rFonts w:ascii="Arial" w:cs="Arial" w:eastAsia="Arial" w:hAnsi="Arial"/>
                <w:sz w:val="18"/>
                <w:szCs w:val="18"/>
                <w:color w:val="auto"/>
              </w:rPr>
              <w:t>95,743,877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(1,313,000)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from offerings</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March 04, 2011</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97"/>
              </w:rPr>
              <w:t>Year ended</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operations) to</w:t>
            </w: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r>
      <w:tr>
        <w:trPr>
          <w:trHeight w:val="196"/>
        </w:trPr>
        <w:tc>
          <w:tcPr>
            <w:tcW w:w="20" w:type="dxa"/>
            <w:vAlign w:val="bottom"/>
          </w:tcPr>
          <w:p>
            <w:pPr>
              <w:spacing w:after="0"/>
              <w:rPr>
                <w:sz w:val="17"/>
                <w:szCs w:val="17"/>
                <w:color w:val="auto"/>
              </w:rPr>
            </w:pPr>
          </w:p>
        </w:tc>
        <w:tc>
          <w:tcPr>
            <w:tcW w:w="7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11,960,878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Adjustments to reconcile net increase (decrease) in net assets resulting from operations to net cash</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by operating activities:</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(4,361,772)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realized gain on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(911,925)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(704,452)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(136,975)</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w w:val="92"/>
              </w:rPr>
              <w:t>(128,673,695)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(147,545,077)</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(119,552)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(42,074)</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71,499,356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33,206,493</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receivable for investments sold</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1,481,222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(656,172)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(147,939)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(163,374)</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payable for investments purchased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2,367,500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(161,370)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158,315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fees payable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506,314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303,440</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(47,826,048)</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(113,687,455)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Proceeds from offerings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102,760,000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r>
      <w:tr>
        <w:trPr>
          <w:trHeight w:val="216"/>
        </w:trPr>
        <w:tc>
          <w:tcPr>
            <w:tcW w:w="20" w:type="dxa"/>
            <w:vAlign w:val="bottom"/>
          </w:tcPr>
          <w:p>
            <w:pPr>
              <w:spacing w:after="0"/>
              <w:rPr>
                <w:sz w:val="18"/>
                <w:szCs w:val="18"/>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Distributions paid to stockholders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(6,165,599)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(1,233,120)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(See Notes 5 and 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97,650,000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r>
      <w:tr>
        <w:trPr>
          <w:trHeight w:val="223"/>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Repayments under Credit Facility (See Notes 5 and 10)</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(46,800,000)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44,684,401</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120,674,905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(3,141,647)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3,845,803</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1,471,035</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Par/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w w:val="90"/>
              </w:rPr>
              <w:t>Current</w:t>
            </w: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Issuer Name</w:t>
            </w: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1"/>
              </w:rPr>
              <w:t>Maturity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Industry</w:t>
            </w:r>
          </w:p>
        </w:tc>
        <w:tc>
          <w:tcPr>
            <w:tcW w:w="880" w:type="dxa"/>
            <w:vAlign w:val="bottom"/>
          </w:tcPr>
          <w:p>
            <w:pPr>
              <w:spacing w:after="0"/>
              <w:rPr>
                <w:sz w:val="12"/>
                <w:szCs w:val="12"/>
                <w:color w:val="auto"/>
              </w:rPr>
            </w:pPr>
          </w:p>
        </w:tc>
        <w:tc>
          <w:tcPr>
            <w:tcW w:w="100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6"/>
              </w:rPr>
              <w:t>Coupon</w:t>
            </w:r>
          </w:p>
        </w:tc>
        <w:tc>
          <w:tcPr>
            <w:tcW w:w="620" w:type="dxa"/>
            <w:vAlign w:val="bottom"/>
            <w:gridSpan w:val="2"/>
          </w:tcPr>
          <w:p>
            <w:pPr>
              <w:jc w:val="center"/>
              <w:ind w:right="1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78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5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78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b w:val="1"/>
                <w:bCs w:val="1"/>
                <w:color w:val="auto"/>
              </w:rPr>
              <w:t>Companies—179.5%</w:t>
            </w:r>
            <w:r>
              <w:rPr>
                <w:rFonts w:ascii="Arial" w:cs="Arial" w:eastAsia="Arial" w:hAnsi="Arial"/>
                <w:sz w:val="20"/>
                <w:szCs w:val="20"/>
                <w:b w:val="1"/>
                <w:bCs w:val="1"/>
                <w:color w:val="auto"/>
                <w:vertAlign w:val="superscript"/>
              </w:rPr>
              <w:t>(3),(4)</w:t>
            </w: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03/25/2015</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214,286</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214,838</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Archipelago Learning, Inc.</w:t>
            </w:r>
          </w:p>
        </w:tc>
        <w:tc>
          <w:tcPr>
            <w:tcW w:w="128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05/17/2018</w:t>
            </w:r>
          </w:p>
        </w:tc>
        <w:tc>
          <w:tcPr>
            <w:tcW w:w="22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7"/>
              </w:rPr>
              <w:t>Media, Broadcasting and</w:t>
            </w:r>
          </w:p>
        </w:tc>
        <w:tc>
          <w:tcPr>
            <w:tcW w:w="100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987,500</w:t>
            </w:r>
          </w:p>
        </w:tc>
        <w:tc>
          <w:tcPr>
            <w:tcW w:w="86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959,574</w:t>
            </w:r>
          </w:p>
        </w:tc>
        <w:tc>
          <w:tcPr>
            <w:tcW w:w="82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8"/>
              </w:rPr>
              <w:t>Subscription</w:t>
            </w: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10/06/2016</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Consumer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2,977,500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2,937,079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11/22/2017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2,943,750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2,888,381</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07/28/2017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985,747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02/15/2018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3,975,000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3,902,979</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08/17/2017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Consumer Goods: Durable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3,866,119</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3,801,408</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03/19/2018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3,733,125</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3,673,063</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12/01/2016</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981,827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08/29/2017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3,980,000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3,904,846</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07/28/2017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P+350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950,104</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946,081</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04/20/2018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3,990,000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3,952,867</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05/18/2018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1,975,762</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05/02/2018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2,884,003</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11/30/2017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2,977,500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2,898,672</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07/02/2018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1,956,496</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(5),(8)</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09/02/2019</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9.63%</w:t>
            </w:r>
          </w:p>
        </w:tc>
        <w:tc>
          <w:tcPr>
            <w:tcW w:w="6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05/27/2016</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Environmental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2,956,829</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2,933,351</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38"/>
        </w:trPr>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Healogics, Inc.</w:t>
            </w: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78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(f/k/a National Healing Corp.)</w:t>
            </w:r>
          </w:p>
        </w:tc>
        <w:tc>
          <w:tcPr>
            <w:tcW w:w="12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11/30/2017</w:t>
            </w:r>
          </w:p>
        </w:tc>
        <w:tc>
          <w:tcPr>
            <w:tcW w:w="222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8.25%</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L+675</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4,962,500</w:t>
            </w:r>
          </w:p>
        </w:tc>
        <w:tc>
          <w:tcPr>
            <w:tcW w:w="86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4,742,008</w:t>
            </w: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04/01/2019</w:t>
            </w:r>
          </w:p>
        </w:tc>
        <w:tc>
          <w:tcPr>
            <w:tcW w:w="820" w:type="dxa"/>
            <w:vAlign w:val="bottom"/>
          </w:tcPr>
          <w:p>
            <w:pPr>
              <w:spacing w:after="0"/>
              <w:rPr>
                <w:sz w:val="12"/>
                <w:szCs w:val="12"/>
                <w:color w:val="auto"/>
              </w:rPr>
            </w:pPr>
          </w:p>
        </w:tc>
        <w:tc>
          <w:tcPr>
            <w:tcW w:w="140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9"/>
              </w:rPr>
              <w:t>Retail</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2,985,000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2,929,228</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08/03/2017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5"/>
              </w:rPr>
              <w:t>Wholesale</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2,743,125</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2,702,953</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(5),(8)</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03/30/2017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11.50%</w:t>
            </w: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1,963,159</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06/22/2016</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1,691,500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91"/>
              </w:rPr>
              <w:t>Media: Advertising, Printing and</w:t>
            </w: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3.59%</w:t>
            </w:r>
            <w:r>
              <w:rPr>
                <w:rFonts w:ascii="Arial" w:cs="Arial" w:eastAsia="Arial" w:hAnsi="Arial"/>
                <w:sz w:val="22"/>
                <w:szCs w:val="22"/>
                <w:color w:val="auto"/>
                <w:vertAlign w:val="superscript"/>
              </w:rPr>
              <w:t>(9)</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08/07/2014</w:t>
            </w:r>
          </w:p>
        </w:tc>
        <w:tc>
          <w:tcPr>
            <w:tcW w:w="22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6"/>
              </w:rPr>
              <w:t>Publishing</w:t>
            </w:r>
          </w:p>
        </w:tc>
        <w:tc>
          <w:tcPr>
            <w:tcW w:w="1000" w:type="dxa"/>
            <w:vAlign w:val="bottom"/>
            <w:gridSpan w:val="2"/>
            <w:vMerge w:val="continue"/>
          </w:tcPr>
          <w:p>
            <w:pPr>
              <w:spacing w:after="0"/>
              <w:rPr>
                <w:sz w:val="13"/>
                <w:szCs w:val="13"/>
                <w:color w:val="auto"/>
              </w:rPr>
            </w:pP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L+338</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6,836,508</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6,534,349</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09/10/2015</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Chemicals, Plastics and Rubber</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5,476,250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5,512,699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(6),(8)</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06/02/2014</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4,937,500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4,845,282</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06/19/2017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1,844,649</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1,821,373</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08/16/2019</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3,400,000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3,349,374</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05/07/2018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3,916,596</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12/23/2016</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2,887,500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2,826,368</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05/01/2017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2,985,000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2,943,607</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5"/>
              </w:rPr>
              <w:t>Banking, Finance, Insurance and</w:t>
            </w: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8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04/24/2018</w:t>
            </w:r>
          </w:p>
        </w:tc>
        <w:tc>
          <w:tcPr>
            <w:tcW w:w="222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2"/>
              </w:rPr>
              <w:t>Real Estate</w:t>
            </w:r>
          </w:p>
        </w:tc>
        <w:tc>
          <w:tcPr>
            <w:tcW w:w="10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987,500</w:t>
            </w:r>
          </w:p>
        </w:tc>
        <w:tc>
          <w:tcPr>
            <w:tcW w:w="86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973,817</w:t>
            </w:r>
          </w:p>
        </w:tc>
        <w:tc>
          <w:tcPr>
            <w:tcW w:w="8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07/11/2018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Containers, Packaging and Glass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1,496,250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1,467,389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5.00</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(PIK</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4"/>
                <w:szCs w:val="14"/>
                <w:color w:val="auto"/>
              </w:rPr>
              <w:t>08/01/2014</w:t>
            </w:r>
          </w:p>
        </w:tc>
        <w:tc>
          <w:tcPr>
            <w:tcW w:w="222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Media: Diversified and Production</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1.00%%)</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5,497,407</w:t>
            </w:r>
          </w:p>
        </w:tc>
        <w:tc>
          <w:tcPr>
            <w:tcW w:w="860" w:type="dxa"/>
            <w:vAlign w:val="bottom"/>
            <w:gridSpan w:val="3"/>
          </w:tcPr>
          <w:p>
            <w:pPr>
              <w:jc w:val="right"/>
              <w:ind w:right="120"/>
              <w:spacing w:after="0"/>
              <w:rPr>
                <w:sz w:val="20"/>
                <w:szCs w:val="20"/>
                <w:color w:val="auto"/>
              </w:rPr>
            </w:pPr>
            <w:r>
              <w:rPr>
                <w:rFonts w:ascii="Arial" w:cs="Arial" w:eastAsia="Arial" w:hAnsi="Arial"/>
                <w:sz w:val="14"/>
                <w:szCs w:val="14"/>
                <w:color w:val="auto"/>
              </w:rPr>
              <w:t>4,931,995</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05/08/2017</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Containers, Packaging and Glass</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1,975,000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1,958,715</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07/06/2017</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Capital Equipment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6.25%</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978,077</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970,036</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967,889</w:t>
            </w:r>
          </w:p>
        </w:tc>
        <w:tc>
          <w:tcPr>
            <w:tcW w:w="0" w:type="dxa"/>
            <w:vAlign w:val="bottom"/>
          </w:tcPr>
          <w:p>
            <w:pPr>
              <w:spacing w:after="0"/>
              <w:rPr>
                <w:sz w:val="1"/>
                <w:szCs w:val="1"/>
                <w:color w:val="auto"/>
              </w:rPr>
            </w:pPr>
          </w:p>
        </w:tc>
      </w:tr>
      <w:tr>
        <w:trPr>
          <w:trHeight w:val="138"/>
        </w:trPr>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60"/>
              <w:spacing w:after="0" w:line="138" w:lineRule="exact"/>
              <w:rPr>
                <w:sz w:val="20"/>
                <w:szCs w:val="20"/>
                <w:color w:val="auto"/>
              </w:rPr>
            </w:pPr>
            <w:r>
              <w:rPr>
                <w:rFonts w:ascii="Arial" w:cs="Arial" w:eastAsia="Arial" w:hAnsi="Arial"/>
                <w:sz w:val="14"/>
                <w:szCs w:val="14"/>
                <w:color w:val="auto"/>
                <w:w w:val="87"/>
              </w:rPr>
              <w:t>Media: Broadcasting and</w:t>
            </w: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10/19/2017</w:t>
            </w:r>
          </w:p>
        </w:tc>
        <w:tc>
          <w:tcPr>
            <w:tcW w:w="222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8"/>
              </w:rPr>
              <w:t>Subscription</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7.75%</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L+625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1,980,000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1,909,788</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1,994,850</w:t>
            </w:r>
          </w:p>
        </w:tc>
        <w:tc>
          <w:tcPr>
            <w:tcW w:w="0" w:type="dxa"/>
            <w:vAlign w:val="bottom"/>
          </w:tcPr>
          <w:p>
            <w:pPr>
              <w:spacing w:after="0"/>
              <w:rPr>
                <w:sz w:val="1"/>
                <w:szCs w:val="1"/>
                <w:color w:val="auto"/>
              </w:rPr>
            </w:pPr>
          </w:p>
        </w:tc>
      </w:tr>
      <w:tr>
        <w:trPr>
          <w:trHeight w:val="149"/>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Rocket Software, Inc.</w:t>
            </w:r>
          </w:p>
        </w:tc>
        <w:tc>
          <w:tcPr>
            <w:tcW w:w="12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02/08/2018</w:t>
            </w:r>
          </w:p>
        </w:tc>
        <w:tc>
          <w:tcPr>
            <w:tcW w:w="22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3,970,000</w:t>
            </w: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3,898,141</w:t>
            </w:r>
          </w:p>
        </w:tc>
        <w:tc>
          <w:tcPr>
            <w:tcW w:w="8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149"/>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2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08/24/2018</w:t>
            </w:r>
          </w:p>
        </w:tc>
        <w:tc>
          <w:tcPr>
            <w:tcW w:w="222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0"/>
              </w:rPr>
              <w:t>Construction and Building</w:t>
            </w:r>
          </w:p>
        </w:tc>
        <w:tc>
          <w:tcPr>
            <w:tcW w:w="10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2,955,509</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2,973,126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Current</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Above</w:t>
            </w:r>
          </w:p>
        </w:tc>
        <w:tc>
          <w:tcPr>
            <w:tcW w:w="2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2"/>
                <w:szCs w:val="12"/>
                <w:color w:val="auto"/>
              </w:rPr>
            </w:pPr>
          </w:p>
        </w:tc>
        <w:tc>
          <w:tcPr>
            <w:tcW w:w="142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4"/>
              </w:rPr>
              <w:t>Industry</w:t>
            </w:r>
          </w:p>
        </w:tc>
        <w:tc>
          <w:tcPr>
            <w:tcW w:w="10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Coupon</w:t>
            </w:r>
          </w:p>
        </w:tc>
        <w:tc>
          <w:tcPr>
            <w:tcW w:w="68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7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Securus Technologies, Inc.</w:t>
            </w:r>
          </w:p>
        </w:tc>
        <w:tc>
          <w:tcPr>
            <w:tcW w:w="92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05/31/2017</w:t>
            </w:r>
          </w:p>
        </w:tc>
        <w:tc>
          <w:tcPr>
            <w:tcW w:w="2240" w:type="dxa"/>
            <w:vAlign w:val="bottom"/>
            <w:gridSpan w:val="3"/>
            <w:shd w:val="clear" w:color="auto" w:fill="CCEEFF"/>
          </w:tcPr>
          <w:p>
            <w:pPr>
              <w:jc w:val="center"/>
              <w:ind w:right="80"/>
              <w:spacing w:after="0" w:line="12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300"/>
              <w:spacing w:after="0" w:line="129" w:lineRule="exact"/>
              <w:rPr>
                <w:sz w:val="20"/>
                <w:szCs w:val="20"/>
                <w:color w:val="auto"/>
              </w:rPr>
            </w:pPr>
            <w:r>
              <w:rPr>
                <w:rFonts w:ascii="Arial" w:cs="Arial" w:eastAsia="Arial" w:hAnsi="Arial"/>
                <w:sz w:val="14"/>
                <w:szCs w:val="14"/>
                <w:color w:val="auto"/>
              </w:rPr>
              <w:t>6.50%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L+525</w:t>
            </w:r>
          </w:p>
        </w:tc>
        <w:tc>
          <w:tcPr>
            <w:tcW w:w="1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2,962,500</w:t>
            </w:r>
          </w:p>
        </w:tc>
        <w:tc>
          <w:tcPr>
            <w:tcW w:w="88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2,938,182</w:t>
            </w:r>
          </w:p>
        </w:tc>
        <w:tc>
          <w:tcPr>
            <w:tcW w:w="104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2,960,648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12/21/2018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1,485,300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04/21/2017</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2,962,512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2,939,052</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147,935</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L+1,200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1,823,914</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10/27/2017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High Tech Industries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992,500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958,036</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04/16/2018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1,935,550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1,950,113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06/19/2017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Services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2,962,500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2,938,318</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06/02/2017</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4"/>
              </w:rPr>
              <w:t>Healthcare and Pharmaceuticals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5.75%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1,481,250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1,474,945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1,466,438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Vantage Specialties,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02/09/2018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Chemicals, Plastics and Rubber</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2,985,000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2,930,559</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2,999,925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04/19/2016</w:t>
            </w:r>
          </w:p>
        </w:tc>
        <w:tc>
          <w:tcPr>
            <w:tcW w:w="2240" w:type="dxa"/>
            <w:vAlign w:val="bottom"/>
            <w:gridSpan w:val="3"/>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0"/>
              </w:rPr>
              <w:t>Media: Advertising,</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7.00%</w:t>
            </w:r>
          </w:p>
        </w:tc>
        <w:tc>
          <w:tcPr>
            <w:tcW w:w="68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4,187,556</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4,147,483</w:t>
            </w:r>
          </w:p>
        </w:tc>
        <w:tc>
          <w:tcPr>
            <w:tcW w:w="10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40" w:type="dxa"/>
            <w:vAlign w:val="bottom"/>
            <w:gridSpan w:val="3"/>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9"/>
              </w:rPr>
              <w:t>Printing and Publishing</w:t>
            </w: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12/22/2016</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7.75%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2,970,000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2,940,842</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2,643,300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10/31/2017</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Energy: Oil and Gas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1,916,035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1,982,519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08/10/2017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Consumer Goods: Durable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6.75%</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3,465,000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3,434,281</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03/23/2018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Environmental Industries</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995,000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08/30/2018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3,332,763</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(5),(8)</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07/15/2016</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11.38%</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2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150,258,038</w:t>
            </w:r>
          </w:p>
        </w:tc>
        <w:tc>
          <w:tcPr>
            <w:tcW w:w="10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09/01/2017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Metals and Mining</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11.50%</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Cannery Casino Resorts, LLC</w:t>
            </w:r>
            <w:r>
              <w:rPr>
                <w:rFonts w:ascii="Arial" w:cs="Arial" w:eastAsia="Arial" w:hAnsi="Arial"/>
                <w:sz w:val="17"/>
                <w:szCs w:val="17"/>
                <w:color w:val="auto"/>
                <w:vertAlign w:val="superscript"/>
              </w:rPr>
              <w:t>(8)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10/02/2019</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10.00%</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1,666,000</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11/06/2018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10.25%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09/01/2018</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1,969,103</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05/09/2018</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3"/>
              </w:rPr>
              <w:t>Utilities: Water</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(5),(6),(8)</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05/15/2019</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Hotel, Gaming and Leisure</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9.13%</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11,608,643</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Subordinated Debt/Corporate Notes—8.7%</w:t>
            </w:r>
            <w:r>
              <w:rPr>
                <w:rFonts w:ascii="Arial" w:cs="Arial" w:eastAsia="Arial" w:hAnsi="Arial"/>
                <w:sz w:val="18"/>
                <w:szCs w:val="18"/>
                <w:b w:val="1"/>
                <w:bCs w:val="1"/>
                <w:color w:val="auto"/>
                <w:vertAlign w:val="superscript"/>
              </w:rPr>
              <w:t>(8)</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11/15/2015</w:t>
            </w:r>
          </w:p>
        </w:tc>
        <w:tc>
          <w:tcPr>
            <w:tcW w:w="224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11.63%</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4,100,000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0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12/01/2017</w:t>
            </w:r>
          </w:p>
        </w:tc>
        <w:tc>
          <w:tcPr>
            <w:tcW w:w="22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13.00%</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980,074</w:t>
            </w: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92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06/03/2019</w:t>
            </w:r>
          </w:p>
        </w:tc>
        <w:tc>
          <w:tcPr>
            <w:tcW w:w="2240" w:type="dxa"/>
            <w:vAlign w:val="bottom"/>
            <w:gridSpan w:val="3"/>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14.25%</w:t>
            </w: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2.25%)</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4,508,719</w:t>
            </w: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4,432,092</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4,508,719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9,194,181</w:t>
            </w:r>
          </w:p>
        </w:tc>
        <w:tc>
          <w:tcPr>
            <w:tcW w:w="10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8,296,719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Interests—0.2%</w:t>
            </w:r>
            <w:r>
              <w:rPr>
                <w:rFonts w:ascii="Arial" w:cs="Arial" w:eastAsia="Arial" w:hAnsi="Arial"/>
                <w:sz w:val="17"/>
                <w:szCs w:val="17"/>
                <w:b w:val="1"/>
                <w:bCs w:val="1"/>
                <w:color w:val="auto"/>
                <w:vertAlign w:val="superscript"/>
              </w:rPr>
              <w:t>(7),(8)</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gridSpan w:val="2"/>
          </w:tcPr>
          <w:p>
            <w:pPr>
              <w:spacing w:after="0" w:line="138" w:lineRule="exact"/>
              <w:rPr>
                <w:sz w:val="20"/>
                <w:szCs w:val="20"/>
                <w:color w:val="auto"/>
              </w:rPr>
            </w:pPr>
            <w:r>
              <w:rPr>
                <w:rFonts w:ascii="Arial" w:cs="Arial" w:eastAsia="Arial" w:hAnsi="Arial"/>
                <w:sz w:val="14"/>
                <w:szCs w:val="14"/>
                <w:color w:val="auto"/>
                <w:w w:val="91"/>
              </w:rPr>
              <w:t>TrustHouse Services Holdings, LLC (TrustHouse Services Group,</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60" w:type="dxa"/>
            <w:vAlign w:val="bottom"/>
          </w:tcPr>
          <w:p>
            <w:pPr>
              <w:spacing w:after="0"/>
              <w:rPr>
                <w:sz w:val="13"/>
                <w:szCs w:val="13"/>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2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4"/>
              </w:rPr>
              <w:t>Beverage, Food and Tobacco</w:t>
            </w:r>
          </w:p>
        </w:tc>
        <w:tc>
          <w:tcPr>
            <w:tcW w:w="10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12.50%</w:t>
            </w:r>
          </w:p>
        </w:tc>
        <w:tc>
          <w:tcPr>
            <w:tcW w:w="6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176</w:t>
            </w: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110,697</w:t>
            </w:r>
          </w:p>
        </w:tc>
        <w:tc>
          <w:tcPr>
            <w:tcW w:w="2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200,571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0"/>
              </w:rPr>
              <w:t>Basis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Point</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Spread</w:t>
            </w: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Above</w:t>
            </w: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58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9"/>
              </w:rPr>
              <w:t>Maturity</w:t>
            </w:r>
          </w:p>
        </w:tc>
        <w:tc>
          <w:tcPr>
            <w:tcW w:w="580" w:type="dxa"/>
            <w:vAlign w:val="bottom"/>
          </w:tcPr>
          <w:p>
            <w:pPr>
              <w:spacing w:after="0"/>
              <w:rPr>
                <w:sz w:val="12"/>
                <w:szCs w:val="12"/>
                <w:color w:val="auto"/>
              </w:rPr>
            </w:pPr>
          </w:p>
        </w:tc>
        <w:tc>
          <w:tcPr>
            <w:tcW w:w="104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800" w:type="dxa"/>
            <w:vAlign w:val="bottom"/>
            <w:gridSpan w:val="2"/>
          </w:tcPr>
          <w:p>
            <w:pPr>
              <w:jc w:val="center"/>
              <w:ind w:right="32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960" w:type="dxa"/>
            <w:vAlign w:val="bottom"/>
            <w:gridSpan w:val="4"/>
          </w:tcPr>
          <w:p>
            <w:pPr>
              <w:ind w:left="16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06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Common Equity/Partnership</w:t>
            </w:r>
          </w:p>
        </w:tc>
        <w:tc>
          <w:tcPr>
            <w:tcW w:w="5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Interests—1.1%</w:t>
            </w:r>
            <w:r>
              <w:rPr>
                <w:rFonts w:ascii="Arial" w:cs="Arial" w:eastAsia="Arial" w:hAnsi="Arial"/>
                <w:sz w:val="20"/>
                <w:szCs w:val="20"/>
                <w:b w:val="1"/>
                <w:bCs w:val="1"/>
                <w:color w:val="auto"/>
                <w:vertAlign w:val="superscript"/>
              </w:rPr>
              <w:t>(7),(8)</w:t>
            </w: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6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580" w:type="dxa"/>
            <w:vAlign w:val="bottom"/>
          </w:tcPr>
          <w:p>
            <w:pPr>
              <w:ind w:left="38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Telecommunications</w:t>
            </w:r>
          </w:p>
        </w:tc>
        <w:tc>
          <w:tcPr>
            <w:tcW w:w="7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82"/>
              </w:rPr>
              <w:t>401,797</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gridSpan w:val="4"/>
          </w:tcPr>
          <w:p>
            <w:pPr>
              <w:jc w:val="right"/>
              <w:ind w:right="280"/>
              <w:spacing w:after="0" w:line="159" w:lineRule="exact"/>
              <w:rPr>
                <w:sz w:val="20"/>
                <w:szCs w:val="20"/>
                <w:color w:val="auto"/>
              </w:rPr>
            </w:pPr>
            <w:r>
              <w:rPr>
                <w:rFonts w:ascii="Arial" w:cs="Arial" w:eastAsia="Arial" w:hAnsi="Arial"/>
                <w:sz w:val="14"/>
                <w:szCs w:val="14"/>
                <w:color w:val="auto"/>
              </w:rPr>
              <w:t>401,450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1,091,018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0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58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580" w:type="dxa"/>
            <w:vAlign w:val="bottom"/>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500"/>
              <w:spacing w:after="0" w:line="159" w:lineRule="exact"/>
              <w:rPr>
                <w:sz w:val="20"/>
                <w:szCs w:val="20"/>
                <w:color w:val="auto"/>
              </w:rPr>
            </w:pPr>
            <w:r>
              <w:rPr>
                <w:rFonts w:ascii="Arial" w:cs="Arial" w:eastAsia="Arial" w:hAnsi="Arial"/>
                <w:sz w:val="14"/>
                <w:szCs w:val="14"/>
                <w:color w:val="auto"/>
                <w:w w:val="85"/>
              </w:rPr>
              <w:t>Tobacco</w:t>
            </w:r>
          </w:p>
        </w:tc>
        <w:tc>
          <w:tcPr>
            <w:tcW w:w="7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406,450</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4"/>
              </w:rPr>
              <w:t>171,578,009</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171,834,400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175,423,812</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175,680,203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3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7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400" w:type="dxa"/>
            <w:vAlign w:val="bottom"/>
          </w:tcPr>
          <w:p>
            <w:pPr>
              <w:spacing w:after="0"/>
              <w:rPr>
                <w:sz w:val="12"/>
                <w:szCs w:val="12"/>
                <w:color w:val="auto"/>
              </w:rPr>
            </w:pPr>
          </w:p>
        </w:tc>
        <w:tc>
          <w:tcPr>
            <w:tcW w:w="84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5"/>
              </w:rPr>
              <w:t>Maturity</w:t>
            </w:r>
          </w:p>
        </w:tc>
        <w:tc>
          <w:tcPr>
            <w:tcW w:w="1180" w:type="dxa"/>
            <w:vAlign w:val="bottom"/>
          </w:tcPr>
          <w:p>
            <w:pPr>
              <w:spacing w:after="0"/>
              <w:rPr>
                <w:sz w:val="12"/>
                <w:szCs w:val="12"/>
                <w:color w:val="auto"/>
              </w:rPr>
            </w:pPr>
          </w:p>
        </w:tc>
        <w:tc>
          <w:tcPr>
            <w:tcW w:w="1800" w:type="dxa"/>
            <w:vAlign w:val="bottom"/>
            <w:gridSpan w:val="2"/>
          </w:tcPr>
          <w:p>
            <w:pPr>
              <w:jc w:val="center"/>
              <w:ind w:right="1280"/>
              <w:spacing w:after="0" w:line="129" w:lineRule="exact"/>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83"/>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200" w:type="dxa"/>
            <w:vAlign w:val="bottom"/>
          </w:tcPr>
          <w:p>
            <w:pPr>
              <w:spacing w:after="0"/>
              <w:rPr>
                <w:sz w:val="12"/>
                <w:szCs w:val="12"/>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640" w:type="dxa"/>
            <w:vAlign w:val="bottom"/>
            <w:gridSpan w:val="3"/>
          </w:tcPr>
          <w:p>
            <w:pPr>
              <w:jc w:val="center"/>
              <w:ind w:right="18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04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w:t>
            </w:r>
          </w:p>
        </w:tc>
        <w:tc>
          <w:tcPr>
            <w:tcW w:w="4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Companies—120.2%</w:t>
            </w:r>
            <w:r>
              <w:rPr>
                <w:rFonts w:ascii="Arial" w:cs="Arial" w:eastAsia="Arial" w:hAnsi="Arial"/>
                <w:sz w:val="20"/>
                <w:szCs w:val="20"/>
                <w:b w:val="1"/>
                <w:bCs w:val="1"/>
                <w:color w:val="auto"/>
                <w:vertAlign w:val="superscript"/>
              </w:rPr>
              <w:t>(3),(4)</w:t>
            </w:r>
          </w:p>
        </w:tc>
        <w:tc>
          <w:tcPr>
            <w:tcW w:w="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03/25/2015</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1,209,524</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$ 1,213,365</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Artel, LLC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06/01/2016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978,043</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07/29/2017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Chester Downs and Marina, LLC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07/31/2016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12.38%</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L+988</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478,873</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488,220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08/17/2017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Consumer Goods: Durable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07/28/2017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P+350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982,590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05/13/2016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2,966,250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Frac Tech International, LLC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05/06/2016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Energy: Oil and Gas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2,073,930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2,054,330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05/27/2016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Industries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7.01%</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Harmony Foods Corporation</w:t>
            </w:r>
            <w:r>
              <w:rPr>
                <w:rFonts w:ascii="Arial" w:cs="Arial" w:eastAsia="Arial" w:hAnsi="Arial"/>
                <w:sz w:val="17"/>
                <w:szCs w:val="17"/>
                <w:color w:val="auto"/>
                <w:vertAlign w:val="superscript"/>
              </w:rPr>
              <w:t>(5),(6),(11)</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05/01/2016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08/16/2017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2,493,750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Instant Web, Inc.</w:t>
            </w:r>
            <w:r>
              <w:rPr>
                <w:rFonts w:ascii="Arial" w:cs="Arial" w:eastAsia="Arial" w:hAnsi="Arial"/>
                <w:sz w:val="17"/>
                <w:szCs w:val="17"/>
                <w:color w:val="auto"/>
                <w:vertAlign w:val="superscript"/>
              </w:rPr>
              <w:t>(5),(7)</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08/07/2014</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3.61%</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L+338</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6,981,823</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6,523,240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09/10/2015</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Chemicals, Plastics and Rubber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P+675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5,476,250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KAR Auction Services, Inc.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05/19/2017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2,978,487</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(5),(7)</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05/31/2014</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4,987,500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Medpace Holdings,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06/17/2017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1,995,000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1,966,025</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(7)</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05/06/2018</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3,990,000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Penton Media, Inc.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08/01/2014</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5,498,048</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4,675,936</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05/08/2017</w:t>
            </w:r>
          </w:p>
        </w:tc>
        <w:tc>
          <w:tcPr>
            <w:tcW w:w="29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1,995,000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07/06/2017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Capital Equipment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997,500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987,986</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05/31/2017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Select Medical Corporation</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06/01/2018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2,963,943</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04/22/2017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Aerospace and Defense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Tank Intermediate Holding Corp.</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04/15/2016</w:t>
            </w:r>
          </w:p>
        </w:tc>
        <w:tc>
          <w:tcPr>
            <w:tcW w:w="298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1,835,472</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1,831,420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04/28/2017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Capital Equipment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L+400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04/14/2016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High Tech Industries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4,968,750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4,923,769</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06/19/2017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Consumer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U.S. Healthworks Holding Company,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06/15/2016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2,964,480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06/02/2017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1,496,250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Viamedia Services Corp.</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04/19/2016</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4,750,000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4,694,273</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12/22/2016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08/10/2017</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Consumer Goods: Durable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3,465,501</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(11),(6),(5)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07/15/2016</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11.38%</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4,355,966</w:t>
            </w:r>
          </w:p>
        </w:tc>
        <w:tc>
          <w:tcPr>
            <w:tcW w:w="26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94,975,314</w:t>
            </w:r>
          </w:p>
        </w:tc>
        <w:tc>
          <w:tcPr>
            <w:tcW w:w="26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4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01/29/2018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995,000</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Ernest Health, Inc.</w:t>
            </w:r>
            <w:r>
              <w:rPr>
                <w:rFonts w:ascii="Arial" w:cs="Arial" w:eastAsia="Arial" w:hAnsi="Arial"/>
                <w:sz w:val="17"/>
                <w:szCs w:val="17"/>
                <w:color w:val="auto"/>
                <w:vertAlign w:val="superscript"/>
              </w:rPr>
              <w:t>(5)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05/13/2017</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L+850</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(5),(7)</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11/06/2018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1,485,581</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09/01/2018</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2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05/09/2018</w:t>
            </w:r>
          </w:p>
        </w:tc>
        <w:tc>
          <w:tcPr>
            <w:tcW w:w="29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Utilities: Water</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2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(11),(6),(7),(5)</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05/15/2019</w:t>
            </w:r>
          </w:p>
        </w:tc>
        <w:tc>
          <w:tcPr>
            <w:tcW w:w="298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3,000,000</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26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12,379,445</w:t>
            </w:r>
          </w:p>
        </w:tc>
        <w:tc>
          <w:tcPr>
            <w:tcW w:w="26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12,255,000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00" w:type="dxa"/>
            <w:vAlign w:val="bottom"/>
          </w:tcPr>
          <w:p>
            <w:pPr>
              <w:spacing w:after="0"/>
              <w:rPr>
                <w:sz w:val="12"/>
                <w:szCs w:val="12"/>
                <w:color w:val="auto"/>
              </w:rPr>
            </w:pP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Maturity</w:t>
            </w:r>
          </w:p>
        </w:tc>
        <w:tc>
          <w:tcPr>
            <w:tcW w:w="760" w:type="dxa"/>
            <w:vAlign w:val="bottom"/>
          </w:tcPr>
          <w:p>
            <w:pPr>
              <w:spacing w:after="0"/>
              <w:rPr>
                <w:sz w:val="12"/>
                <w:szCs w:val="12"/>
                <w:color w:val="auto"/>
              </w:rPr>
            </w:pPr>
          </w:p>
        </w:tc>
        <w:tc>
          <w:tcPr>
            <w:tcW w:w="13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6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300" w:type="dxa"/>
            <w:vAlign w:val="bottom"/>
          </w:tcPr>
          <w:p>
            <w:pPr>
              <w:spacing w:after="0"/>
              <w:rPr>
                <w:sz w:val="12"/>
                <w:szCs w:val="12"/>
                <w:color w:val="auto"/>
              </w:rPr>
            </w:pP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jc w:val="right"/>
              <w:ind w:right="42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22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3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Notes—7.6%</w:t>
            </w: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(5),(11)</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11/15/2015</w:t>
            </w:r>
          </w:p>
        </w:tc>
        <w:tc>
          <w:tcPr>
            <w:tcW w:w="21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Consumer Goods: Non-Durable</w:t>
            </w: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11.63%</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1,524,891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(11),(7),(5)</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07/31/2018</w:t>
            </w:r>
          </w:p>
        </w:tc>
        <w:tc>
          <w:tcPr>
            <w:tcW w:w="2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(8)</w:t>
            </w: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3,762,500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3,688,091</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3,687,250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(11),(9),(5)</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07/31/2018</w:t>
            </w:r>
          </w:p>
        </w:tc>
        <w:tc>
          <w:tcPr>
            <w:tcW w:w="21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2,206,000</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2,161,880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7,374,862</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4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Preferred Equity/Partnership</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2"/>
          </w:tcPr>
          <w:p>
            <w:pPr>
              <w:ind w:left="200"/>
              <w:spacing w:after="0" w:line="176" w:lineRule="exact"/>
              <w:rPr>
                <w:sz w:val="20"/>
                <w:szCs w:val="20"/>
                <w:color w:val="auto"/>
              </w:rPr>
            </w:pPr>
            <w:r>
              <w:rPr>
                <w:rFonts w:ascii="Arial" w:cs="Arial" w:eastAsia="Arial" w:hAnsi="Arial"/>
                <w:sz w:val="13"/>
                <w:szCs w:val="13"/>
                <w:b w:val="1"/>
                <w:bCs w:val="1"/>
                <w:color w:val="auto"/>
              </w:rPr>
              <w:t>Interests—0.1%</w:t>
            </w:r>
            <w:r>
              <w:rPr>
                <w:rFonts w:ascii="Arial" w:cs="Arial" w:eastAsia="Arial" w:hAnsi="Arial"/>
                <w:sz w:val="20"/>
                <w:szCs w:val="20"/>
                <w:b w:val="1"/>
                <w:bCs w:val="1"/>
                <w:color w:val="auto"/>
                <w:vertAlign w:val="superscript"/>
              </w:rPr>
              <w:t>(5),(10)</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10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12.50%</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95,000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96,985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(5),(10)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100" w:type="dxa"/>
            <w:vAlign w:val="bottom"/>
            <w:gridSpan w:val="3"/>
            <w:shd w:val="clear" w:color="auto" w:fill="CCEEFF"/>
          </w:tcPr>
          <w:p>
            <w:pPr>
              <w:jc w:val="center"/>
              <w:ind w:right="60"/>
              <w:spacing w:after="0" w:line="15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3"/>
                <w:szCs w:val="13"/>
                <w:color w:val="auto"/>
              </w:rPr>
            </w:pPr>
          </w:p>
        </w:tc>
        <w:tc>
          <w:tcPr>
            <w:tcW w:w="8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w w:val="84"/>
              </w:rPr>
              <w:t>114,829,621</w:t>
            </w: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4"/>
              </w:rPr>
              <w:t>110,724,241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and Cash Equivalents—127.8%</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b w:val="1"/>
                <w:bCs w:val="1"/>
                <w:color w:val="auto"/>
                <w:w w:val="84"/>
              </w:rPr>
              <w:t>121,817,071</w:t>
            </w: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4"/>
              </w:rPr>
              <w:t>117,711,691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Assets—(27.8%)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88"/>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94"/>
              </w:rPr>
              <w:t>92,072,105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if any. References to the Accounting Standards Codification, or ASC, serve as a single source of accounting literature.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Subsequent events are evaluated and disclosed as appropriate for events occurring through the date the Consolidated Financial Statements are issued.</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479"/>
        <w:spacing w:after="0"/>
        <w:tabs>
          <w:tab w:leader="none" w:pos="14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1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480" w:hanging="479"/>
        <w:spacing w:after="0"/>
        <w:tabs>
          <w:tab w:leader="none" w:pos="14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0" w:right="2760"/>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480" w:hanging="479"/>
        <w:spacing w:after="0"/>
        <w:tabs>
          <w:tab w:leader="none" w:pos="14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1480" w:hanging="479"/>
        <w:spacing w:after="0"/>
        <w:tabs>
          <w:tab w:leader="none" w:pos="14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 Transfers and Servicing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ind w:right="80" w:firstLine="8"/>
        <w:spacing w:after="0" w:line="288" w:lineRule="auto"/>
        <w:tabs>
          <w:tab w:leader="none" w:pos="2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Purchases of long-term investments, including PIK, for the year ended September 30, 2012 totaled $128.8 million. Sales and repayments of long-term investments for the year ended September 30, 2012 totaled $71.5 million. Purchases of long-term investments, including PIK, for the period March 4, 2011 (commencement of operations) to September 30, 2011, totaled $147.5 million. Sales and repayments for the same period totaled $33.2 million.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54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$ 150,258,038</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$ 150,209,747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94,975,314</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91,363,126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11,608,643</w:t>
            </w:r>
          </w:p>
        </w:tc>
        <w:tc>
          <w:tcPr>
            <w:tcW w:w="1040" w:type="dxa"/>
            <w:vAlign w:val="bottom"/>
          </w:tcPr>
          <w:p>
            <w:pPr>
              <w:jc w:val="right"/>
              <w:spacing w:after="0"/>
              <w:rPr>
                <w:sz w:val="20"/>
                <w:szCs w:val="20"/>
                <w:color w:val="auto"/>
              </w:rPr>
            </w:pPr>
            <w:r>
              <w:rPr>
                <w:rFonts w:ascii="Arial" w:cs="Arial" w:eastAsia="Arial" w:hAnsi="Arial"/>
                <w:sz w:val="18"/>
                <w:szCs w:val="18"/>
                <w:color w:val="auto"/>
              </w:rPr>
              <w:t>12,025,500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12,379,445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9,194,181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171,578,009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171,834,400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114,829,621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110,724,241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$ 175,423,812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$ 175,680,203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121,817,071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26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350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Energy: Oil and Gas</w:t>
            </w:r>
          </w:p>
        </w:tc>
        <w:tc>
          <w:tcPr>
            <w:tcW w:w="3500" w:type="dxa"/>
            <w:vAlign w:val="bottom"/>
          </w:tcPr>
          <w:p>
            <w:pPr>
              <w:spacing w:after="0"/>
              <w:rPr>
                <w:sz w:val="18"/>
                <w:szCs w:val="18"/>
                <w:color w:val="auto"/>
              </w:rPr>
            </w:pPr>
          </w:p>
        </w:tc>
        <w:tc>
          <w:tcPr>
            <w:tcW w:w="10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35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500" w:type="dxa"/>
            <w:vAlign w:val="bottom"/>
            <w:gridSpan w:val="3"/>
          </w:tcPr>
          <w:p>
            <w:pPr>
              <w:jc w:val="right"/>
              <w:ind w:right="52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5"/>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500" w:type="dxa"/>
            <w:vAlign w:val="bottom"/>
            <w:gridSpan w:val="3"/>
          </w:tcPr>
          <w:p>
            <w:pPr>
              <w:jc w:val="right"/>
              <w:ind w:right="3640"/>
              <w:spacing w:after="0"/>
              <w:rPr>
                <w:sz w:val="20"/>
                <w:szCs w:val="20"/>
                <w:color w:val="auto"/>
              </w:rPr>
            </w:pPr>
            <w:r>
              <w:rPr>
                <w:rFonts w:ascii="Arial" w:cs="Arial" w:eastAsia="Arial" w:hAnsi="Arial"/>
                <w:sz w:val="18"/>
                <w:szCs w:val="18"/>
                <w:color w:val="auto"/>
              </w:rPr>
              <w:t>S-60</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26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98"/>
              <w:spacing w:after="0"/>
              <w:rPr>
                <w:sz w:val="20"/>
                <w:szCs w:val="20"/>
                <w:color w:val="auto"/>
              </w:rPr>
            </w:pPr>
            <w:r>
              <w:rPr>
                <w:rFonts w:ascii="Arial" w:cs="Arial" w:eastAsia="Arial" w:hAnsi="Arial"/>
                <w:sz w:val="14"/>
                <w:szCs w:val="14"/>
                <w:b w:val="1"/>
                <w:bCs w:val="1"/>
                <w:color w:val="auto"/>
              </w:rPr>
              <w:t>Fair Value as of</w:t>
            </w:r>
          </w:p>
        </w:tc>
        <w:tc>
          <w:tcPr>
            <w:tcW w:w="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8"/>
              <w:spacing w:after="0" w:line="148" w:lineRule="exact"/>
              <w:rPr>
                <w:sz w:val="20"/>
                <w:szCs w:val="20"/>
                <w:color w:val="auto"/>
              </w:rPr>
            </w:pPr>
            <w:r>
              <w:rPr>
                <w:rFonts w:ascii="Arial" w:cs="Arial" w:eastAsia="Arial" w:hAnsi="Arial"/>
                <w:sz w:val="14"/>
                <w:szCs w:val="14"/>
                <w:b w:val="1"/>
                <w:bCs w:val="1"/>
                <w:color w:val="auto"/>
                <w:w w:val="87"/>
              </w:rPr>
              <w:t>September 30, 2012</w:t>
            </w:r>
          </w:p>
        </w:tc>
        <w:tc>
          <w:tcPr>
            <w:tcW w:w="340" w:type="dxa"/>
            <w:vAlign w:val="bottom"/>
          </w:tcPr>
          <w:p>
            <w:pPr>
              <w:spacing w:after="0"/>
              <w:rPr>
                <w:sz w:val="14"/>
                <w:szCs w:val="14"/>
                <w:color w:val="auto"/>
              </w:rPr>
            </w:pPr>
          </w:p>
        </w:tc>
        <w:tc>
          <w:tcPr>
            <w:tcW w:w="24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1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21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181"/>
        </w:trPr>
        <w:tc>
          <w:tcPr>
            <w:tcW w:w="31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Broker/</w:t>
            </w:r>
          </w:p>
        </w:tc>
        <w:tc>
          <w:tcPr>
            <w:tcW w:w="22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155,983,312</w:t>
            </w:r>
          </w:p>
        </w:tc>
        <w:tc>
          <w:tcPr>
            <w:tcW w:w="340" w:type="dxa"/>
            <w:vAlign w:val="bottom"/>
            <w:shd w:val="clear" w:color="auto" w:fill="CCEEFF"/>
          </w:tcPr>
          <w:p>
            <w:pPr>
              <w:spacing w:after="0"/>
              <w:rPr>
                <w:sz w:val="20"/>
                <w:szCs w:val="20"/>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7"/>
              </w:rPr>
              <w:t>Dealer bid quotes</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6</w:t>
            </w:r>
          </w:p>
        </w:tc>
        <w:tc>
          <w:tcPr>
            <w:tcW w:w="0" w:type="dxa"/>
            <w:vAlign w:val="bottom"/>
          </w:tcPr>
          <w:p>
            <w:pPr>
              <w:spacing w:after="0"/>
              <w:rPr>
                <w:sz w:val="1"/>
                <w:szCs w:val="1"/>
                <w:color w:val="auto"/>
              </w:rPr>
            </w:pPr>
          </w:p>
        </w:tc>
      </w:tr>
      <w:tr>
        <w:trPr>
          <w:trHeight w:val="208"/>
        </w:trPr>
        <w:tc>
          <w:tcPr>
            <w:tcW w:w="318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8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11,760,650</w:t>
            </w:r>
          </w:p>
        </w:tc>
        <w:tc>
          <w:tcPr>
            <w:tcW w:w="340" w:type="dxa"/>
            <w:vAlign w:val="bottom"/>
          </w:tcPr>
          <w:p>
            <w:pPr>
              <w:spacing w:after="0"/>
              <w:rPr>
                <w:sz w:val="19"/>
                <w:szCs w:val="19"/>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Market Yield</w:t>
            </w:r>
          </w:p>
        </w:tc>
        <w:tc>
          <w:tcPr>
            <w:tcW w:w="2100" w:type="dxa"/>
            <w:vAlign w:val="bottom"/>
          </w:tcPr>
          <w:p>
            <w:pPr>
              <w:jc w:val="center"/>
              <w:spacing w:after="0"/>
              <w:rPr>
                <w:sz w:val="20"/>
                <w:szCs w:val="20"/>
                <w:color w:val="auto"/>
              </w:rPr>
            </w:pPr>
            <w:r>
              <w:rPr>
                <w:rFonts w:ascii="Arial" w:cs="Arial" w:eastAsia="Arial" w:hAnsi="Arial"/>
                <w:sz w:val="18"/>
                <w:szCs w:val="18"/>
                <w:color w:val="auto"/>
                <w:w w:val="88"/>
              </w:rPr>
              <w:t>7.3% – 15.3% (11.9%)</w:t>
            </w:r>
          </w:p>
        </w:tc>
        <w:tc>
          <w:tcPr>
            <w:tcW w:w="0" w:type="dxa"/>
            <w:vAlign w:val="bottom"/>
          </w:tcPr>
          <w:p>
            <w:pPr>
              <w:spacing w:after="0"/>
              <w:rPr>
                <w:sz w:val="1"/>
                <w:szCs w:val="1"/>
                <w:color w:val="auto"/>
              </w:rPr>
            </w:pPr>
          </w:p>
        </w:tc>
      </w:tr>
      <w:tr>
        <w:trPr>
          <w:trHeight w:val="218"/>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1,302,438</w:t>
            </w:r>
          </w:p>
        </w:tc>
        <w:tc>
          <w:tcPr>
            <w:tcW w:w="3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Enterprise Market Value</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EBITDA multiple</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6.5x – 8.5x (6.8x)</w:t>
            </w:r>
          </w:p>
        </w:tc>
        <w:tc>
          <w:tcPr>
            <w:tcW w:w="0" w:type="dxa"/>
            <w:vAlign w:val="bottom"/>
          </w:tcPr>
          <w:p>
            <w:pPr>
              <w:spacing w:after="0"/>
              <w:rPr>
                <w:sz w:val="1"/>
                <w:szCs w:val="1"/>
                <w:color w:val="auto"/>
              </w:rPr>
            </w:pPr>
          </w:p>
        </w:tc>
      </w:tr>
      <w:tr>
        <w:trPr>
          <w:trHeight w:val="222"/>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169,046,400</w:t>
            </w:r>
          </w:p>
        </w:tc>
        <w:tc>
          <w:tcPr>
            <w:tcW w:w="3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3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Discount rate</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gridSpan w:val="2"/>
          </w:tcPr>
          <w:p>
            <w:pPr>
              <w:ind w:left="540"/>
              <w:spacing w:after="0"/>
              <w:rPr>
                <w:sz w:val="20"/>
                <w:szCs w:val="20"/>
                <w:color w:val="auto"/>
              </w:rPr>
            </w:pPr>
            <w:r>
              <w:rPr>
                <w:rFonts w:ascii="Arial" w:cs="Arial" w:eastAsia="Arial" w:hAnsi="Arial"/>
                <w:sz w:val="18"/>
                <w:szCs w:val="18"/>
                <w:color w:val="auto"/>
              </w:rPr>
              <w:t>S-62</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9"/>
          </w:tcPr>
          <w:p>
            <w:pPr>
              <w:ind w:left="160"/>
              <w:spacing w:after="0"/>
              <w:rPr>
                <w:sz w:val="20"/>
                <w:szCs w:val="20"/>
                <w:color w:val="auto"/>
              </w:rPr>
            </w:pPr>
            <w:r>
              <w:rPr>
                <w:rFonts w:ascii="Arial" w:cs="Arial" w:eastAsia="Arial" w:hAnsi="Arial"/>
                <w:sz w:val="14"/>
                <w:szCs w:val="14"/>
                <w:b w:val="1"/>
                <w:bCs w:val="1"/>
                <w:color w:val="auto"/>
                <w:w w:val="91"/>
              </w:rPr>
              <w:t>Fair Value Measurements at September 30, 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8"/>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12,025,500</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8,296,719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1,302,434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5"/>
              </w:rPr>
              <w:t>171,834,400</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3,845,803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3,845,803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3,845,803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75,122,500</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00" w:type="dxa"/>
            <w:vAlign w:val="bottom"/>
            <w:vMerge w:val="restart"/>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w w:val="91"/>
              </w:rPr>
              <w:t>Fair Value Measurements at September 30, 2011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91,363,126</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right w:val="single" w:sz="8" w:color="CCEEFF"/>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$2,033,747</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12,255,000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7,004,130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1,155,000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6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110,724,241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3,188,747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6,987,450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6,987,450</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117,711,691</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6,987,450</w:t>
            </w:r>
          </w:p>
        </w:tc>
        <w:tc>
          <w:tcPr>
            <w:tcW w:w="580" w:type="dxa"/>
            <w:vAlign w:val="bottom"/>
            <w:shd w:val="clear" w:color="auto" w:fill="CCEEFF"/>
          </w:tcPr>
          <w:p>
            <w:pPr>
              <w:spacing w:after="0"/>
              <w:rPr>
                <w:sz w:val="18"/>
                <w:szCs w:val="18"/>
                <w:color w:val="auto"/>
              </w:rPr>
            </w:pPr>
          </w:p>
        </w:tc>
        <w:tc>
          <w:tcPr>
            <w:tcW w:w="82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3,188,747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24,650,000</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6"/>
              </w:rPr>
              <w:t>Year Ended September 30, 2012</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First Lien</w:t>
            </w:r>
          </w:p>
        </w:tc>
        <w:tc>
          <w:tcPr>
            <w:tcW w:w="440" w:type="dxa"/>
            <w:vAlign w:val="bottom"/>
          </w:tcPr>
          <w:p>
            <w:pPr>
              <w:spacing w:after="0"/>
              <w:rPr>
                <w:sz w:val="14"/>
                <w:szCs w:val="14"/>
                <w:color w:val="auto"/>
              </w:rPr>
            </w:pPr>
          </w:p>
        </w:tc>
        <w:tc>
          <w:tcPr>
            <w:tcW w:w="2220" w:type="dxa"/>
            <w:vAlign w:val="bottom"/>
            <w:gridSpan w:val="3"/>
          </w:tcPr>
          <w:p>
            <w:pPr>
              <w:jc w:val="center"/>
              <w:ind w:right="760"/>
              <w:spacing w:after="0" w:line="162" w:lineRule="exact"/>
              <w:rPr>
                <w:sz w:val="20"/>
                <w:szCs w:val="20"/>
                <w:color w:val="auto"/>
              </w:rPr>
            </w:pPr>
            <w:r>
              <w:rPr>
                <w:rFonts w:ascii="Arial" w:cs="Arial" w:eastAsia="Arial" w:hAnsi="Arial"/>
                <w:sz w:val="12"/>
                <w:szCs w:val="12"/>
                <w:b w:val="1"/>
                <w:bCs w:val="1"/>
                <w:color w:val="auto"/>
                <w:w w:val="98"/>
              </w:rPr>
              <w:t>and equity investments</w:t>
            </w:r>
            <w:r>
              <w:rPr>
                <w:rFonts w:ascii="Arial" w:cs="Arial" w:eastAsia="Arial" w:hAnsi="Arial"/>
                <w:sz w:val="18"/>
                <w:szCs w:val="18"/>
                <w:b w:val="1"/>
                <w:bCs w:val="1"/>
                <w:color w:val="auto"/>
                <w:w w:val="98"/>
                <w:vertAlign w:val="superscript"/>
              </w:rPr>
              <w:t>(1)</w:t>
            </w:r>
          </w:p>
        </w:tc>
        <w:tc>
          <w:tcPr>
            <w:tcW w:w="10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630,647</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278,832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909,479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3,543,311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114,967,516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7,945,929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122,913,445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(58,261,106)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(9,016,225)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(67,277,331)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150,209,747</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18,836,653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169,046,400</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8"/>
                <w:szCs w:val="18"/>
                <w:color w:val="auto"/>
                <w:w w:val="88"/>
              </w:rPr>
              <w:t>Net change in unrealized appreciation for the year ended September 30, 2012</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20" w:type="dxa"/>
            <w:vAlign w:val="bottom"/>
            <w:gridSpan w:val="3"/>
            <w:vMerge w:val="continue"/>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w w:val="88"/>
              </w:rPr>
              <w:t>reported within the net change in unrealized appreciation on investments in</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w w:val="87"/>
              </w:rPr>
              <w:t>our Consolidated Statement of Operations attributable to our Level 3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tcPr>
          <w:p>
            <w:pPr>
              <w:ind w:left="200"/>
              <w:spacing w:after="0"/>
              <w:rPr>
                <w:sz w:val="20"/>
                <w:szCs w:val="20"/>
                <w:color w:val="auto"/>
              </w:rPr>
            </w:pPr>
            <w:r>
              <w:rPr>
                <w:rFonts w:ascii="Arial" w:cs="Arial" w:eastAsia="Arial" w:hAnsi="Arial"/>
                <w:sz w:val="18"/>
                <w:szCs w:val="18"/>
                <w:color w:val="auto"/>
              </w:rPr>
              <w:t>still held at the reporting date.</w:t>
            </w:r>
          </w:p>
        </w:tc>
        <w:tc>
          <w:tcPr>
            <w:tcW w:w="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4,140,166</w:t>
            </w:r>
          </w:p>
        </w:tc>
        <w:tc>
          <w:tcPr>
            <w:tcW w:w="3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1,424,404</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5,564,570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60" w:type="dxa"/>
            <w:vAlign w:val="bottom"/>
            <w:gridSpan w:val="2"/>
          </w:tcPr>
          <w:p>
            <w:pPr>
              <w:jc w:val="right"/>
              <w:ind w:right="512"/>
              <w:spacing w:after="0"/>
              <w:rPr>
                <w:sz w:val="20"/>
                <w:szCs w:val="20"/>
                <w:color w:val="auto"/>
              </w:rPr>
            </w:pPr>
            <w:r>
              <w:rPr>
                <w:rFonts w:ascii="Arial" w:cs="Arial" w:eastAsia="Arial" w:hAnsi="Arial"/>
                <w:sz w:val="18"/>
                <w:szCs w:val="18"/>
                <w:color w:val="auto"/>
                <w:w w:val="89"/>
              </w:rPr>
              <w:t>S-63</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2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w w:val="87"/>
              </w:rPr>
              <w:t>For the period March 4, 2011 (commencement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center"/>
              <w:ind w:right="840"/>
              <w:spacing w:after="0"/>
              <w:rPr>
                <w:sz w:val="20"/>
                <w:szCs w:val="20"/>
                <w:color w:val="auto"/>
              </w:rPr>
            </w:pPr>
            <w:r>
              <w:rPr>
                <w:rFonts w:ascii="Arial" w:cs="Arial" w:eastAsia="Arial" w:hAnsi="Arial"/>
                <w:sz w:val="14"/>
                <w:szCs w:val="14"/>
                <w:b w:val="1"/>
                <w:bCs w:val="1"/>
                <w:color w:val="auto"/>
                <w:w w:val="85"/>
              </w:rPr>
              <w:t>September 30, 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rPr>
              <w:t>First Lien</w:t>
            </w:r>
          </w:p>
        </w:tc>
        <w:tc>
          <w:tcPr>
            <w:tcW w:w="340" w:type="dxa"/>
            <w:vAlign w:val="bottom"/>
          </w:tcPr>
          <w:p>
            <w:pPr>
              <w:spacing w:after="0"/>
              <w:rPr>
                <w:sz w:val="12"/>
                <w:szCs w:val="12"/>
                <w:color w:val="auto"/>
              </w:rPr>
            </w:pPr>
          </w:p>
        </w:tc>
        <w:tc>
          <w:tcPr>
            <w:tcW w:w="2100" w:type="dxa"/>
            <w:vAlign w:val="bottom"/>
            <w:gridSpan w:val="3"/>
          </w:tcPr>
          <w:p>
            <w:pPr>
              <w:jc w:val="center"/>
              <w:ind w:right="740"/>
              <w:spacing w:after="0" w:line="148" w:lineRule="exact"/>
              <w:rPr>
                <w:sz w:val="20"/>
                <w:szCs w:val="20"/>
                <w:color w:val="auto"/>
              </w:rPr>
            </w:pPr>
            <w:r>
              <w:rPr>
                <w:rFonts w:ascii="Arial" w:cs="Arial" w:eastAsia="Arial" w:hAnsi="Arial"/>
                <w:sz w:val="14"/>
                <w:szCs w:val="14"/>
                <w:b w:val="1"/>
                <w:bCs w:val="1"/>
                <w:color w:val="auto"/>
                <w:w w:val="84"/>
              </w:rPr>
              <w:t>and 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218,684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93,319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9"/>
              </w:rPr>
              <w:t>(3,591,606)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(123,301)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80" w:type="dxa"/>
            <w:vAlign w:val="bottom"/>
          </w:tcPr>
          <w:p>
            <w:pPr>
              <w:spacing w:after="0"/>
              <w:rPr>
                <w:sz w:val="18"/>
                <w:szCs w:val="18"/>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w w:val="87"/>
              </w:rPr>
              <w:t>121,246,206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22,766,732</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144,012,938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0"/>
              </w:rPr>
              <w:t>(28,543,905)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(4,530,635)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7"/>
              </w:rPr>
              <w:t>89,329,379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18,206,115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107,535,494</w:t>
            </w: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for the period reported within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2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the net change in unrealized depreciation on investments in our Consolidated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Statement of Operations attributable to our Level 3 assets still held at the</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(3,591,606)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(123,301)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4"/>
          </w:tcPr>
          <w:p>
            <w:pPr>
              <w:jc w:val="right"/>
              <w:ind w:right="1420"/>
              <w:spacing w:after="0"/>
              <w:rPr>
                <w:sz w:val="20"/>
                <w:szCs w:val="20"/>
                <w:color w:val="auto"/>
              </w:rPr>
            </w:pPr>
            <w:r>
              <w:rPr>
                <w:rFonts w:ascii="Arial" w:cs="Arial" w:eastAsia="Arial" w:hAnsi="Arial"/>
                <w:sz w:val="14"/>
                <w:szCs w:val="14"/>
                <w:b w:val="1"/>
                <w:bCs w:val="1"/>
                <w:color w:val="auto"/>
                <w:w w:val="99"/>
              </w:rPr>
              <w:t>Carrying / Fair Value</w:t>
            </w: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Year Ended</w:t>
            </w:r>
          </w:p>
        </w:tc>
        <w:tc>
          <w:tcPr>
            <w:tcW w:w="9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For the period March 4, 2011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00" w:type="dxa"/>
            <w:vAlign w:val="bottom"/>
          </w:tcPr>
          <w:p>
            <w:pPr>
              <w:spacing w:after="0"/>
              <w:rPr>
                <w:sz w:val="12"/>
                <w:szCs w:val="12"/>
                <w:color w:val="auto"/>
              </w:rPr>
            </w:pPr>
          </w:p>
        </w:tc>
        <w:tc>
          <w:tcPr>
            <w:tcW w:w="1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(commencement of operations)</w:t>
            </w: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to September 30, 2011</w:t>
            </w:r>
          </w:p>
        </w:tc>
      </w:tr>
      <w:tr>
        <w:trPr>
          <w:trHeight w:val="196"/>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Credit Facility</w:t>
            </w: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Beginning Balance, September 30, 2011 (cost—$24,650,000)</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$ 24,650,000</w:t>
            </w:r>
          </w:p>
        </w:tc>
        <w:tc>
          <w:tcPr>
            <w:tcW w:w="220" w:type="dxa"/>
            <w:vAlign w:val="bottom"/>
          </w:tcPr>
          <w:p>
            <w:pPr>
              <w:spacing w:after="0"/>
              <w:rPr>
                <w:sz w:val="18"/>
                <w:szCs w:val="18"/>
                <w:color w:val="auto"/>
              </w:rPr>
            </w:pPr>
          </w:p>
        </w:tc>
        <w:tc>
          <w:tcPr>
            <w:tcW w:w="10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depreciation included in earnings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940" w:type="dxa"/>
            <w:vAlign w:val="bottom"/>
          </w:tcPr>
          <w:p>
            <w:pPr>
              <w:jc w:val="right"/>
              <w:spacing w:after="0"/>
              <w:rPr>
                <w:sz w:val="20"/>
                <w:szCs w:val="20"/>
                <w:color w:val="auto"/>
              </w:rPr>
            </w:pPr>
            <w:r>
              <w:rPr>
                <w:rFonts w:ascii="Arial" w:cs="Arial" w:eastAsia="Arial" w:hAnsi="Arial"/>
                <w:sz w:val="18"/>
                <w:szCs w:val="18"/>
                <w:color w:val="auto"/>
              </w:rPr>
              <w:t>97,650,000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(46,800,000)</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(4,350,000)</w:t>
            </w:r>
          </w:p>
        </w:tc>
      </w:tr>
      <w:tr>
        <w:trPr>
          <w:trHeight w:val="223"/>
        </w:trPr>
        <w:tc>
          <w:tcPr>
            <w:tcW w:w="20" w:type="dxa"/>
            <w:vAlign w:val="bottom"/>
          </w:tcPr>
          <w:p>
            <w:pPr>
              <w:spacing w:after="0"/>
              <w:rPr>
                <w:sz w:val="19"/>
                <w:szCs w:val="19"/>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2012 (cost—$75,500,000 and $24,650,000, respectively)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$ 75,122,500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24,650,000</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60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17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September 30, 2011 *</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11,960,878</w:t>
            </w:r>
          </w:p>
        </w:tc>
        <w:tc>
          <w:tcPr>
            <w:tcW w:w="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6,850,667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6,826,105</w:t>
            </w:r>
          </w:p>
        </w:tc>
        <w:tc>
          <w:tcPr>
            <w:tcW w:w="0" w:type="dxa"/>
            <w:vAlign w:val="bottom"/>
          </w:tcPr>
          <w:p>
            <w:pPr>
              <w:spacing w:after="0"/>
              <w:rPr>
                <w:sz w:val="1"/>
                <w:szCs w:val="1"/>
                <w:color w:val="auto"/>
              </w:rPr>
            </w:pPr>
          </w:p>
        </w:tc>
      </w:tr>
      <w:tr>
        <w:trPr>
          <w:trHeight w:val="208"/>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1.75</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Weighted average shares is based on the initial public offering issuance date of April 13,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68" w:lineRule="exact"/>
        <w:rPr>
          <w:sz w:val="20"/>
          <w:szCs w:val="20"/>
          <w:color w:val="auto"/>
        </w:rPr>
      </w:pPr>
    </w:p>
    <w:p>
      <w:pPr>
        <w:jc w:val="center"/>
        <w:ind w:left="10060"/>
        <w:spacing w:after="0"/>
        <w:rPr>
          <w:sz w:val="20"/>
          <w:szCs w:val="20"/>
          <w:color w:val="auto"/>
        </w:rPr>
      </w:pPr>
      <w:r>
        <w:rPr>
          <w:rFonts w:ascii="Arial" w:cs="Arial" w:eastAsia="Arial" w:hAnsi="Arial"/>
          <w:sz w:val="14"/>
          <w:szCs w:val="14"/>
          <w:b w:val="1"/>
          <w:bCs w:val="1"/>
          <w:color w:val="auto"/>
        </w:rPr>
        <w:t>Year Ended</w:t>
      </w:r>
    </w:p>
    <w:p>
      <w:pPr>
        <w:jc w:val="center"/>
        <w:ind w:left="10060"/>
        <w:spacing w:after="0" w:line="221" w:lineRule="auto"/>
        <w:rPr>
          <w:sz w:val="20"/>
          <w:szCs w:val="20"/>
          <w:color w:val="auto"/>
        </w:rPr>
      </w:pPr>
      <w:r>
        <w:rPr>
          <w:rFonts w:ascii="Arial" w:cs="Arial" w:eastAsia="Arial" w:hAnsi="Arial"/>
          <w:sz w:val="14"/>
          <w:szCs w:val="14"/>
          <w:b w:val="1"/>
          <w:bCs w:val="1"/>
          <w:color w:val="auto"/>
        </w:rPr>
        <w:t>September 30, 2012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Increase in undistributed net investment 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40" w:type="dxa"/>
            <w:vAlign w:val="bottom"/>
            <w:gridSpan w:val="3"/>
          </w:tcPr>
          <w:p>
            <w:pPr>
              <w:jc w:val="right"/>
              <w:ind w:right="6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r>
      <w:tr>
        <w:trPr>
          <w:trHeight w:val="451"/>
        </w:trPr>
        <w:tc>
          <w:tcPr>
            <w:tcW w:w="6820" w:type="dxa"/>
            <w:vAlign w:val="bottom"/>
            <w:gridSpan w:val="2"/>
          </w:tcPr>
          <w:p>
            <w:pPr>
              <w:spacing w:after="0"/>
              <w:rPr>
                <w:sz w:val="20"/>
                <w:szCs w:val="20"/>
                <w:color w:val="auto"/>
              </w:rPr>
            </w:pPr>
            <w:r>
              <w:rPr>
                <w:rFonts w:ascii="Arial" w:cs="Arial" w:eastAsia="Arial" w:hAnsi="Arial"/>
                <w:sz w:val="18"/>
                <w:szCs w:val="18"/>
                <w:color w:val="auto"/>
                <w:w w:val="90"/>
              </w:rPr>
              <w:t>The following reconciles net increase in net assets resulting from operations to taxable income:</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March 4, 2011</w:t>
            </w: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2"/>
                <w:szCs w:val="12"/>
                <w:color w:val="auto"/>
              </w:rPr>
            </w:pPr>
          </w:p>
        </w:tc>
        <w:tc>
          <w:tcPr>
            <w:tcW w:w="2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620" w:type="dxa"/>
            <w:vAlign w:val="bottom"/>
          </w:tcPr>
          <w:p>
            <w:pPr>
              <w:spacing w:after="0"/>
              <w:rPr>
                <w:sz w:val="14"/>
                <w:szCs w:val="14"/>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 2011</w:t>
            </w: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11,960,878</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(3,473,253)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 and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Facility transactions not taxable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(4,739,272)</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book-to-tax differences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307,975</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1,297,741</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 non deductible expenses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Taxable net income before deductions for distribution</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7,571,608</w:t>
            </w:r>
          </w:p>
        </w:tc>
        <w:tc>
          <w:tcPr>
            <w:tcW w:w="6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1,929,868</w:t>
            </w: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surplus (deficit) on book basis and a reconciliation to accumulated surplus (deficit) on a tax basis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right"/>
              <w:ind w:right="1120"/>
              <w:spacing w:after="0" w:line="149" w:lineRule="exact"/>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2012</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2,139,738</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696,748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Dividends payable and other temporary differences</w:t>
            </w:r>
          </w:p>
        </w:tc>
        <w:tc>
          <w:tcPr>
            <w:tcW w:w="220" w:type="dxa"/>
            <w:vAlign w:val="bottom"/>
          </w:tcPr>
          <w:p>
            <w:pPr>
              <w:spacing w:after="0"/>
              <w:rPr>
                <w:sz w:val="18"/>
                <w:szCs w:val="18"/>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(2,228,826)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(1,777,288)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surplus (deficit)</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544,803</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(5,185,920)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Section 19(a) under the 1940 Act, $103,884 of the Company’s distributions paid to stockholders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represent a distribution of long-term realized capital gains. The tax characteristics of dividends accrued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Ordinary income</w:t>
            </w:r>
          </w:p>
        </w:tc>
        <w:tc>
          <w:tcPr>
            <w:tcW w:w="3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6,130,222</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Long-Term capital gain</w:t>
            </w:r>
          </w:p>
        </w:tc>
        <w:tc>
          <w:tcPr>
            <w:tcW w:w="3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103,884</w:t>
            </w: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3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6,234,106</w:t>
            </w:r>
          </w:p>
        </w:tc>
        <w:tc>
          <w:tcPr>
            <w:tcW w:w="1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w:t>
            </w:r>
          </w:p>
        </w:tc>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60" w:type="dxa"/>
            <w:vAlign w:val="bottom"/>
            <w:gridSpan w:val="2"/>
            <w:vMerge w:val="continue"/>
          </w:tcPr>
          <w:p>
            <w:pPr>
              <w:spacing w:after="0"/>
              <w:rPr>
                <w:sz w:val="18"/>
                <w:szCs w:val="18"/>
                <w:color w:val="auto"/>
              </w:rPr>
            </w:pPr>
          </w:p>
        </w:tc>
        <w:tc>
          <w:tcPr>
            <w:tcW w:w="3320" w:type="dxa"/>
            <w:vAlign w:val="bottom"/>
            <w:gridSpan w:val="2"/>
          </w:tcPr>
          <w:p>
            <w:pPr>
              <w:ind w:left="316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20" w:type="dxa"/>
            <w:vAlign w:val="bottom"/>
            <w:gridSpan w:val="2"/>
          </w:tcPr>
          <w:p>
            <w:pPr>
              <w:ind w:left="1780"/>
              <w:spacing w:after="0"/>
              <w:rPr>
                <w:sz w:val="20"/>
                <w:szCs w:val="20"/>
                <w:color w:val="auto"/>
              </w:rPr>
            </w:pPr>
            <w:r>
              <w:rPr>
                <w:rFonts w:ascii="Arial" w:cs="Arial" w:eastAsia="Arial" w:hAnsi="Arial"/>
                <w:sz w:val="18"/>
                <w:szCs w:val="18"/>
                <w:color w:val="auto"/>
              </w:rPr>
              <w:t>S-66</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net assets and net asset value per share on September 30, 2012 and 2011 were $95.7 million and $13.98 per share and $92.1 million and $13.44 per share, respectively. Below are the financial highlights: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48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0.92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change in realized and unrealized gain (loss)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0.83</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w:t>
            </w:r>
          </w:p>
        </w:tc>
        <w:tc>
          <w:tcPr>
            <w:tcW w:w="1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(0.91)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Offering costs</w:t>
            </w:r>
          </w:p>
        </w:tc>
        <w:tc>
          <w:tcPr>
            <w:tcW w:w="16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(0.30)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2"/>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12.67</w:t>
            </w: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6,850,667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6,850,667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Ratios / Supplemental Data*: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4.20%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interest and expenses to average net assets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60" w:type="dxa"/>
            <w:vAlign w:val="bottom"/>
          </w:tcPr>
          <w:p>
            <w:pPr>
              <w:spacing w:after="0"/>
              <w:rPr>
                <w:sz w:val="18"/>
                <w:szCs w:val="18"/>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color w:val="auto"/>
              </w:rPr>
              <w:t>6.09%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95,743,877</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46,133,607</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7,550,877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6.73</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50.80%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annualized for period less than a year.</w:t>
      </w:r>
    </w:p>
    <w:p>
      <w:pPr>
        <w:spacing w:after="0" w:line="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Based on the weighted average shares outstanding for the period except for net asset value.</w:t>
      </w:r>
    </w:p>
    <w:p>
      <w:pPr>
        <w:spacing w:after="0" w:line="7"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34"/>
        </w:numPr>
        <w:rPr>
          <w:rFonts w:ascii="Arial" w:cs="Arial" w:eastAsia="Arial" w:hAnsi="Arial"/>
          <w:sz w:val="20"/>
          <w:szCs w:val="20"/>
          <w:color w:val="auto"/>
          <w:vertAlign w:val="superscript"/>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8" w:lineRule="exact"/>
        <w:rPr>
          <w:rFonts w:ascii="Arial" w:cs="Arial" w:eastAsia="Arial" w:hAnsi="Arial"/>
          <w:sz w:val="20"/>
          <w:szCs w:val="20"/>
          <w:color w:val="auto"/>
          <w:vertAlign w:val="superscript"/>
        </w:rPr>
      </w:pPr>
    </w:p>
    <w:p>
      <w:pPr>
        <w:ind w:left="340" w:right="100" w:hanging="332"/>
        <w:spacing w:after="0" w:line="221" w:lineRule="auto"/>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340" w:hanging="332"/>
        <w:spacing w:after="0" w:line="205" w:lineRule="auto"/>
        <w:tabs>
          <w:tab w:leader="none" w:pos="340" w:val="left"/>
        </w:tabs>
        <w:numPr>
          <w:ilvl w:val="0"/>
          <w:numId w:val="34"/>
        </w:numPr>
        <w:rPr>
          <w:rFonts w:ascii="Arial" w:cs="Arial" w:eastAsia="Arial" w:hAnsi="Arial"/>
          <w:sz w:val="22"/>
          <w:szCs w:val="22"/>
          <w:color w:val="auto"/>
          <w:vertAlign w:val="superscript"/>
        </w:rPr>
      </w:pPr>
      <w:r>
        <w:rPr>
          <w:rFonts w:ascii="Arial" w:cs="Arial" w:eastAsia="Arial" w:hAnsi="Arial"/>
          <w:sz w:val="18"/>
          <w:szCs w:val="18"/>
          <w:color w:val="auto"/>
        </w:rPr>
        <w:t>Operating expenses exclude Credit Facility related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44"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2012</w:t>
      </w:r>
    </w:p>
    <w:p>
      <w:pPr>
        <w:spacing w:after="0" w:line="1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PennantPark Floating Rate Capital Ltd. and Funding I have made customary representations and warranties and are required to comply with various covenants, reporting requirements and other customary requirements for similar credit facilities.</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Subsidiary (the “Company”), including the consolidated schedule of investments, as of December 31, 2012 and the consolidated statement of operations, changes in net assets, and cash flows for the three months ended December 31, 2012 and 2011. These consolidated financial statements are the responsibility of the Company’s management.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7, 2013</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4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(unaudited)</w:t>
            </w: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 (cost—$180,898,304 and $171,578,009,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180,795,910</w:t>
            </w:r>
          </w:p>
        </w:tc>
        <w:tc>
          <w:tcPr>
            <w:tcW w:w="4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171,834,400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3,987,645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1,089,228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256,196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186,128,979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178,366,661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565,180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Credit Facility payable (cost—$85,775,000 and $75,500,000, respectively) (See Notes 5 and 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75,122,500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458,986</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424,747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713,068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585,177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90,315,211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82,622,784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Par value $0.001 per share and 100,000,000 shares authorized.</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6,851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95,192,222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95,192,222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(949,667)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1,666,756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(102,394)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95,813,768</w:t>
            </w:r>
          </w:p>
        </w:tc>
        <w:tc>
          <w:tcPr>
            <w:tcW w:w="42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186,128,979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178,366,661</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13.99</w:t>
            </w:r>
          </w:p>
        </w:tc>
        <w:tc>
          <w:tcPr>
            <w:tcW w:w="4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3,638,227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324,446</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3,962,673</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2,467,028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fees (See Note 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458,986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Performance-based incentive fees (See Note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417,029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471,068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155,145</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367,500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ind w:left="420"/>
              <w:spacing w:after="0"/>
              <w:rPr>
                <w:sz w:val="20"/>
                <w:szCs w:val="20"/>
                <w:color w:val="auto"/>
              </w:rPr>
            </w:pPr>
            <w:r>
              <w:rPr>
                <w:rFonts w:ascii="Arial" w:cs="Arial" w:eastAsia="Arial" w:hAnsi="Arial"/>
                <w:sz w:val="18"/>
                <w:szCs w:val="18"/>
                <w:b w:val="1"/>
                <w:bCs w:val="1"/>
                <w:color w:val="auto"/>
              </w:rPr>
              <w:t>Expenses before excise tax expense</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1,869,728</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1,092,129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34,072</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1,903,800</w:t>
            </w:r>
          </w:p>
        </w:tc>
        <w:tc>
          <w:tcPr>
            <w:tcW w:w="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1,092,129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2,058,873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1,374,899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442,843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(358,785)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1,069,091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6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(377,500)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 on investments and Credit Facility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(736,285)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1,420,091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(loss) gain from investments and Credit Facility</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(293,442)</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1,730,266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1,765,431</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3,105,165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(See Note 6)</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80" w:type="dxa"/>
            <w:vAlign w:val="bottom"/>
          </w:tcPr>
          <w:p>
            <w:pPr>
              <w:spacing w:after="0"/>
              <w:rPr>
                <w:sz w:val="20"/>
                <w:szCs w:val="20"/>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Three months ended December 31,</w:t>
            </w:r>
          </w:p>
        </w:tc>
      </w:tr>
      <w:tr>
        <w:trPr>
          <w:trHeight w:val="142"/>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2,058,873</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1,374,899</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442,843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310,175</w:t>
            </w: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(358,785)</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1,069,091</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(377,500)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351,000</w:t>
            </w:r>
          </w:p>
        </w:tc>
      </w:tr>
      <w:tr>
        <w:trPr>
          <w:trHeight w:val="230"/>
        </w:trPr>
        <w:tc>
          <w:tcPr>
            <w:tcW w:w="20" w:type="dxa"/>
            <w:vAlign w:val="bottom"/>
          </w:tcPr>
          <w:p>
            <w:pPr>
              <w:spacing w:after="0"/>
              <w:rPr>
                <w:sz w:val="20"/>
                <w:szCs w:val="20"/>
                <w:color w:val="auto"/>
              </w:rPr>
            </w:pPr>
          </w:p>
        </w:tc>
        <w:tc>
          <w:tcPr>
            <w:tcW w:w="708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1,765,431</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3,105,165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w w:val="91"/>
              </w:rPr>
              <w:t>(1,695,540)</w:t>
            </w:r>
          </w:p>
        </w:tc>
        <w:tc>
          <w:tcPr>
            <w:tcW w:w="1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(1,438,640)</w:t>
            </w: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69,891</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1,666,525</w:t>
            </w:r>
          </w:p>
        </w:tc>
        <w:tc>
          <w:tcPr>
            <w:tcW w:w="100" w:type="dxa"/>
            <w:vAlign w:val="bottom"/>
            <w:shd w:val="clear" w:color="auto" w:fill="CCEEFF"/>
          </w:tcPr>
          <w:p>
            <w:pPr>
              <w:spacing w:after="0"/>
              <w:rPr>
                <w:sz w:val="18"/>
                <w:szCs w:val="18"/>
                <w:color w:val="auto"/>
              </w:rPr>
            </w:pP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95,743,877</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95,813,768</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93,738,630</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(949,667)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(1,456,269)</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1,765,431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3,105,165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reconcile net increase in net assets resulting from operations to net cash used for operating</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358,785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(1,069,091)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377,500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(442,843)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(236,560)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(38,911,333)</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(39,340,500)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(65,478)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30,335,919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22,294,290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299,639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Decrease (increase) in receivables for investments sold</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986,278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(5,455,000)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55,117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(Decrease) increase in payables for investments purchased</w:t>
            </w:r>
          </w:p>
        </w:tc>
        <w:tc>
          <w:tcPr>
            <w:tcW w:w="8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(3,357,500)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9,613,630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Increase in management fee payable</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34,239</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performance-based incentive fee payable</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206,754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Increase in accrued expenses</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138,057</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for operating activities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(8,454,745)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(11,337,518)</w:t>
            </w:r>
          </w:p>
        </w:tc>
        <w:tc>
          <w:tcPr>
            <w:tcW w:w="0" w:type="dxa"/>
            <w:vAlign w:val="bottom"/>
          </w:tcPr>
          <w:p>
            <w:pPr>
              <w:spacing w:after="0"/>
              <w:rPr>
                <w:sz w:val="1"/>
                <w:szCs w:val="1"/>
                <w:color w:val="auto"/>
              </w:rPr>
            </w:pPr>
          </w:p>
        </w:tc>
      </w:tr>
      <w:tr>
        <w:trPr>
          <w:trHeight w:val="222"/>
        </w:trPr>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paid to stockholders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(1,678,413)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(1,438,640)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Notes 5 and 9)</w:t>
            </w:r>
          </w:p>
        </w:tc>
        <w:tc>
          <w:tcPr>
            <w:tcW w:w="8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30,950,000</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Notes 5 and 9)</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(20,675,000)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(12,550,000)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8,596,587</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9,011,360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141,842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(2,326,158)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3,987,645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4,661,292</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469,788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Basis</w:t>
      </w:r>
    </w:p>
    <w:p>
      <w:pPr>
        <w:spacing w:after="0" w:line="1"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Point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392"/>
        </w:trPr>
        <w:tc>
          <w:tcPr>
            <w:tcW w:w="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Above</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0"/>
        </w:trPr>
        <w:tc>
          <w:tcPr>
            <w:tcW w:w="7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Par /</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w:t>
            </w:r>
          </w:p>
        </w:tc>
      </w:tr>
      <w:tr>
        <w:trPr>
          <w:trHeight w:val="162"/>
        </w:trPr>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Issuer Name</w:t>
            </w:r>
          </w:p>
        </w:tc>
        <w:tc>
          <w:tcPr>
            <w:tcW w:w="2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5"/>
              </w:rPr>
              <w:t>Maturity</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Industry</w:t>
            </w:r>
          </w:p>
        </w:tc>
        <w:tc>
          <w:tcPr>
            <w:tcW w:w="1340" w:type="dxa"/>
            <w:vAlign w:val="bottom"/>
          </w:tcPr>
          <w:p>
            <w:pPr>
              <w:spacing w:after="0"/>
              <w:rPr>
                <w:sz w:val="14"/>
                <w:szCs w:val="14"/>
                <w:color w:val="auto"/>
              </w:rPr>
            </w:pPr>
          </w:p>
        </w:tc>
        <w:tc>
          <w:tcPr>
            <w:tcW w:w="9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Coupon</w:t>
            </w:r>
          </w:p>
        </w:tc>
        <w:tc>
          <w:tcPr>
            <w:tcW w:w="580" w:type="dxa"/>
            <w:vAlign w:val="bottom"/>
            <w:gridSpan w:val="2"/>
          </w:tcPr>
          <w:p>
            <w:pPr>
              <w:jc w:val="center"/>
              <w:ind w:right="120"/>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140" w:type="dxa"/>
            <w:vAlign w:val="bottom"/>
          </w:tcPr>
          <w:p>
            <w:pPr>
              <w:spacing w:after="0"/>
              <w:rPr>
                <w:sz w:val="14"/>
                <w:szCs w:val="14"/>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7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89"/>
        </w:trPr>
        <w:tc>
          <w:tcPr>
            <w:tcW w:w="346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2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r>
      <w:tr>
        <w:trPr>
          <w:trHeight w:val="176"/>
        </w:trPr>
        <w:tc>
          <w:tcPr>
            <w:tcW w:w="34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b w:val="1"/>
                <w:bCs w:val="1"/>
                <w:color w:val="auto"/>
              </w:rPr>
              <w:t>Companies—188.7%</w:t>
            </w:r>
            <w:r>
              <w:rPr>
                <w:rFonts w:ascii="Arial" w:cs="Arial" w:eastAsia="Arial" w:hAnsi="Arial"/>
                <w:sz w:val="20"/>
                <w:szCs w:val="20"/>
                <w:b w:val="1"/>
                <w:bCs w:val="1"/>
                <w:color w:val="auto"/>
                <w:vertAlign w:val="superscript"/>
              </w:rPr>
              <w:t>(3),(4)</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Debt—164.0%</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 Con-Cise Optical Group LLC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10/24/2018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Wholesale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1,700,000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$1,683,400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$1,712,750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03/25/2015</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Telecommunications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L+800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80,952</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81,160</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80,952</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ARC Auto Group,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11/15/2018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2,550,000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2,524,834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2,524,500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Archipelago Learning,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05/17/2018</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Media, Broadcasting and Subscription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948,508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975,000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10/06/2016</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2,970,000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2,930,861</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2,799,225</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11/22/2017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2,887,500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2,834,313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2,907,094</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07/28/2017</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983,597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988,117</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C.H.I. Overhead Doors,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08/17/2017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Consumer Goods: Durable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3,846,594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3,785,671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3,853,006</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03/19/2018</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3,723,750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3,667,029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3,667,894</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12/01/2016</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985,689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977,469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980,761</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08/29/2017</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L+900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3,970,000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3,898,734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4,074,212</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07/28/2017</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P+350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925,363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921,658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920,736</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11/11/2019</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1,980,369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05/18/2018</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2,488,748</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2,468,631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2,494,970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05/02/2018</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2,992,500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2,881,158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2,955,094</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Fishnet Security,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11/30/2017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2,970,167</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2,970,000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GFA Brands,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07/02/2018</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Beverage, Food and Tobacco</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1,945,000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1,909,110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1,964,450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(5),(8)</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09/02/2019</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9.63%</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3,213,750</w:t>
            </w:r>
          </w:p>
        </w:tc>
      </w:tr>
      <w:tr>
        <w:trPr>
          <w:trHeight w:val="138"/>
        </w:trPr>
        <w:tc>
          <w:tcPr>
            <w:tcW w:w="3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9"/>
        </w:trPr>
        <w:tc>
          <w:tcPr>
            <w:tcW w:w="34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(f/k/aGundle/SLT Environmental, Inc.)</w:t>
            </w:r>
          </w:p>
        </w:tc>
        <w:tc>
          <w:tcPr>
            <w:tcW w:w="10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05/27/2016</w:t>
            </w:r>
          </w:p>
        </w:tc>
        <w:tc>
          <w:tcPr>
            <w:tcW w:w="304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9"/>
              </w:rPr>
              <w:t>2,949,343</w:t>
            </w:r>
          </w:p>
        </w:tc>
        <w:tc>
          <w:tcPr>
            <w:tcW w:w="7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2,927,771</w:t>
            </w: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2,934,596</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Healogics,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11/30/2017</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8.25%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4,950,000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4,735,663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4,956,187</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04/01/2019</w:t>
            </w:r>
          </w:p>
        </w:tc>
        <w:tc>
          <w:tcPr>
            <w:tcW w:w="118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center"/>
              <w:ind w:right="1340"/>
              <w:spacing w:after="0" w:line="149" w:lineRule="exact"/>
              <w:rPr>
                <w:sz w:val="20"/>
                <w:szCs w:val="20"/>
                <w:color w:val="auto"/>
              </w:rPr>
            </w:pPr>
            <w:r>
              <w:rPr>
                <w:rFonts w:ascii="Arial" w:cs="Arial" w:eastAsia="Arial" w:hAnsi="Arial"/>
                <w:sz w:val="14"/>
                <w:szCs w:val="14"/>
                <w:color w:val="auto"/>
                <w:w w:val="89"/>
              </w:rPr>
              <w:t>Retail</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2,924,082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2,984,944</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Howard Berger Co. LLC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08/03/2017</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5"/>
              </w:rPr>
              <w:t>Wholesale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2,736,250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2,698,396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2,708,887</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03/30/2017</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2,000,000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1,964,778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2,155,000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Ikaria,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06/22/2016</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1,695,750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1,687,478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1,704,229</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InfuSystem Holdings,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11/30/2016</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P+625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2,175,000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2,175,000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2,180,297</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08/07/2014</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3.59%</w:t>
            </w:r>
            <w:r>
              <w:rPr>
                <w:rFonts w:ascii="Arial" w:cs="Arial" w:eastAsia="Arial" w:hAnsi="Arial"/>
                <w:sz w:val="17"/>
                <w:szCs w:val="17"/>
                <w:color w:val="auto"/>
                <w:vertAlign w:val="superscript"/>
              </w:rPr>
              <w:t>(9)</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L+338</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6,836,508</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6,574,255</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5,247,020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10/16/2017</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L+850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3,269,730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3,272,500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09/10/2015</w:t>
            </w:r>
          </w:p>
        </w:tc>
        <w:tc>
          <w:tcPr>
            <w:tcW w:w="304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P+675</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5,474,773</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5,509,569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5,420,025</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(6),(8)</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06/02/2014</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4,925,000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4,846,902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4,826,500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Medpace Intermediateco,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06/19/2017</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1,844,649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1,822,635</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1,752,417</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Milk Specialties Company</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11/09/2018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3,400,000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3,366,959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08/16/2019</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3,391,596</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3,342,843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3,238,974</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05/07/2018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2,366,529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2,347,524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2,358,837</w:t>
            </w:r>
          </w:p>
        </w:tc>
      </w:tr>
      <w:tr>
        <w:trPr>
          <w:trHeight w:val="122"/>
        </w:trPr>
        <w:tc>
          <w:tcPr>
            <w:tcW w:w="3460" w:type="dxa"/>
            <w:vAlign w:val="bottom"/>
            <w:gridSpan w:val="2"/>
          </w:tcPr>
          <w:p>
            <w:pPr>
              <w:spacing w:after="0" w:line="122" w:lineRule="exact"/>
              <w:rPr>
                <w:sz w:val="20"/>
                <w:szCs w:val="20"/>
                <w:color w:val="auto"/>
              </w:rPr>
            </w:pPr>
            <w:r>
              <w:rPr>
                <w:rFonts w:ascii="Arial" w:cs="Arial" w:eastAsia="Arial" w:hAnsi="Arial"/>
                <w:sz w:val="14"/>
                <w:szCs w:val="14"/>
                <w:color w:val="auto"/>
              </w:rPr>
              <w:t>MOSAID Technologies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76"/>
        </w:trPr>
        <w:tc>
          <w:tcPr>
            <w:tcW w:w="3460" w:type="dxa"/>
            <w:vAlign w:val="bottom"/>
            <w:gridSpan w:val="2"/>
          </w:tcPr>
          <w:p>
            <w:pPr>
              <w:ind w:left="220"/>
              <w:spacing w:after="0" w:line="176"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(6)</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12/23/2016</w:t>
            </w:r>
          </w:p>
        </w:tc>
        <w:tc>
          <w:tcPr>
            <w:tcW w:w="304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High Tech Industries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8.50%</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2,831,250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2,773,496</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2,831,250</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05/01/2017</w:t>
            </w:r>
          </w:p>
        </w:tc>
        <w:tc>
          <w:tcPr>
            <w:tcW w:w="30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2,938,674</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2,977,500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NAB Holdings, LLC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04/24/2018</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Banking, Finance, Insurance and Real Estate</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962,244</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979,875</w:t>
            </w:r>
          </w:p>
        </w:tc>
      </w:tr>
      <w:tr>
        <w:trPr>
          <w:trHeight w:val="149"/>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10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12/19/2018</w:t>
            </w:r>
          </w:p>
        </w:tc>
        <w:tc>
          <w:tcPr>
            <w:tcW w:w="304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4,500,000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4,410,278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4,455,000</w:t>
            </w:r>
          </w:p>
        </w:tc>
      </w:tr>
      <w:tr>
        <w:trPr>
          <w:trHeight w:val="149"/>
        </w:trPr>
        <w:tc>
          <w:tcPr>
            <w:tcW w:w="3460" w:type="dxa"/>
            <w:vAlign w:val="bottom"/>
            <w:gridSpan w:val="2"/>
          </w:tcPr>
          <w:p>
            <w:pPr>
              <w:spacing w:after="0" w:line="149" w:lineRule="exact"/>
              <w:rPr>
                <w:sz w:val="20"/>
                <w:szCs w:val="20"/>
                <w:color w:val="auto"/>
              </w:rPr>
            </w:pPr>
            <w:r>
              <w:rPr>
                <w:rFonts w:ascii="Arial" w:cs="Arial" w:eastAsia="Arial" w:hAnsi="Arial"/>
                <w:sz w:val="14"/>
                <w:szCs w:val="14"/>
                <w:color w:val="auto"/>
              </w:rPr>
              <w:t>Pelican Products, Inc.</w:t>
            </w:r>
          </w:p>
        </w:tc>
        <w:tc>
          <w:tcPr>
            <w:tcW w:w="10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07/11/2018</w:t>
            </w:r>
          </w:p>
        </w:tc>
        <w:tc>
          <w:tcPr>
            <w:tcW w:w="30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1,492,500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1,464,991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1,462,650</w:t>
            </w:r>
          </w:p>
        </w:tc>
      </w:tr>
      <w:tr>
        <w:trPr>
          <w:trHeight w:val="138"/>
        </w:trPr>
        <w:tc>
          <w:tcPr>
            <w:tcW w:w="34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08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08/01/2014</w:t>
            </w:r>
          </w:p>
        </w:tc>
        <w:tc>
          <w:tcPr>
            <w:tcW w:w="304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5.00%</w:t>
            </w:r>
          </w:p>
        </w:tc>
        <w:tc>
          <w:tcPr>
            <w:tcW w:w="58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L+400</w:t>
            </w:r>
          </w:p>
        </w:tc>
        <w:tc>
          <w:tcPr>
            <w:tcW w:w="7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9"/>
              </w:rPr>
              <w:t>5,497,273</w:t>
            </w: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5,005,505</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4,833,021</w:t>
            </w:r>
          </w:p>
        </w:tc>
      </w:tr>
      <w:tr>
        <w:trPr>
          <w:trHeight w:val="173"/>
        </w:trPr>
        <w:tc>
          <w:tcPr>
            <w:tcW w:w="760" w:type="dxa"/>
            <w:vAlign w:val="bottom"/>
            <w:shd w:val="clear" w:color="auto" w:fill="CCEEFF"/>
          </w:tcPr>
          <w:p>
            <w:pPr>
              <w:spacing w:after="0"/>
              <w:rPr>
                <w:sz w:val="15"/>
                <w:szCs w:val="15"/>
                <w:color w:val="auto"/>
              </w:rPr>
            </w:pPr>
          </w:p>
        </w:tc>
        <w:tc>
          <w:tcPr>
            <w:tcW w:w="2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1.00%)</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2"/>
        </w:trPr>
        <w:tc>
          <w:tcPr>
            <w:tcW w:w="3460" w:type="dxa"/>
            <w:vAlign w:val="bottom"/>
            <w:gridSpan w:val="2"/>
          </w:tcPr>
          <w:p>
            <w:pPr>
              <w:spacing w:after="0"/>
              <w:rPr>
                <w:sz w:val="20"/>
                <w:szCs w:val="20"/>
                <w:color w:val="auto"/>
              </w:rPr>
            </w:pPr>
            <w:r>
              <w:rPr>
                <w:rFonts w:ascii="Arial" w:cs="Arial" w:eastAsia="Arial" w:hAnsi="Arial"/>
                <w:sz w:val="14"/>
                <w:szCs w:val="14"/>
                <w:color w:val="auto"/>
              </w:rPr>
              <w:t>Premier Dental Services, Inc.</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11/01/2018</w:t>
            </w:r>
          </w:p>
        </w:tc>
        <w:tc>
          <w:tcPr>
            <w:tcW w:w="304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Consumer Services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8.25%</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3,400,000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3,299,842</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3,298,000</w:t>
            </w: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Basis</w:t>
      </w:r>
    </w:p>
    <w:p>
      <w:pPr>
        <w:spacing w:after="0" w:line="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Point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Current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Above</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Par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Fair</w:t>
            </w:r>
          </w:p>
        </w:tc>
      </w:tr>
      <w:tr>
        <w:trPr>
          <w:trHeight w:val="162"/>
        </w:trPr>
        <w:tc>
          <w:tcPr>
            <w:tcW w:w="3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Issuer Name</w:t>
            </w:r>
          </w:p>
        </w:tc>
        <w:tc>
          <w:tcPr>
            <w:tcW w:w="380" w:type="dxa"/>
            <w:vAlign w:val="bottom"/>
          </w:tcPr>
          <w:p>
            <w:pPr>
              <w:spacing w:after="0"/>
              <w:rPr>
                <w:sz w:val="14"/>
                <w:szCs w:val="14"/>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spacing w:after="0"/>
              <w:rPr>
                <w:sz w:val="14"/>
                <w:szCs w:val="14"/>
                <w:color w:val="auto"/>
              </w:rPr>
            </w:pPr>
          </w:p>
        </w:tc>
        <w:tc>
          <w:tcPr>
            <w:tcW w:w="1780" w:type="dxa"/>
            <w:vAlign w:val="bottom"/>
            <w:gridSpan w:val="2"/>
          </w:tcPr>
          <w:p>
            <w:pPr>
              <w:jc w:val="center"/>
              <w:ind w:right="1280"/>
              <w:spacing w:after="0" w:line="142" w:lineRule="exact"/>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Coupon</w:t>
            </w:r>
          </w:p>
        </w:tc>
        <w:tc>
          <w:tcPr>
            <w:tcW w:w="620" w:type="dxa"/>
            <w:vAlign w:val="bottom"/>
            <w:gridSpan w:val="2"/>
          </w:tcPr>
          <w:p>
            <w:pPr>
              <w:jc w:val="center"/>
              <w:ind w:right="80"/>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160" w:type="dxa"/>
            <w:vAlign w:val="bottom"/>
          </w:tcPr>
          <w:p>
            <w:pPr>
              <w:spacing w:after="0"/>
              <w:rPr>
                <w:sz w:val="14"/>
                <w:szCs w:val="14"/>
                <w:color w:val="auto"/>
              </w:rPr>
            </w:pPr>
          </w:p>
        </w:tc>
        <w:tc>
          <w:tcPr>
            <w:tcW w:w="58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74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RiverBoat Corporation of Mississippi</w:t>
            </w:r>
          </w:p>
        </w:tc>
        <w:tc>
          <w:tcPr>
            <w:tcW w:w="1180" w:type="dxa"/>
            <w:vAlign w:val="bottom"/>
            <w:gridSpan w:val="3"/>
            <w:shd w:val="clear" w:color="auto" w:fill="CCEEFF"/>
          </w:tcPr>
          <w:p>
            <w:pPr>
              <w:jc w:val="right"/>
              <w:ind w:right="200"/>
              <w:spacing w:after="0" w:line="129" w:lineRule="exact"/>
              <w:rPr>
                <w:sz w:val="20"/>
                <w:szCs w:val="20"/>
                <w:color w:val="auto"/>
              </w:rPr>
            </w:pPr>
            <w:r>
              <w:rPr>
                <w:rFonts w:ascii="Arial" w:cs="Arial" w:eastAsia="Arial" w:hAnsi="Arial"/>
                <w:sz w:val="14"/>
                <w:szCs w:val="14"/>
                <w:color w:val="auto"/>
              </w:rPr>
              <w:t>11/29/2016</w:t>
            </w:r>
          </w:p>
        </w:tc>
        <w:tc>
          <w:tcPr>
            <w:tcW w:w="2940" w:type="dxa"/>
            <w:vAlign w:val="bottom"/>
            <w:gridSpan w:val="3"/>
            <w:shd w:val="clear" w:color="auto" w:fill="CCEEFF"/>
          </w:tcPr>
          <w:p>
            <w:pPr>
              <w:jc w:val="center"/>
              <w:ind w:right="120"/>
              <w:spacing w:after="0" w:line="12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4"/>
                <w:szCs w:val="14"/>
                <w:color w:val="auto"/>
              </w:rPr>
              <w:t>10.00%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L+875</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4,250,000</w:t>
            </w:r>
          </w:p>
        </w:tc>
        <w:tc>
          <w:tcPr>
            <w:tcW w:w="84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4,165,526</w:t>
            </w:r>
          </w:p>
        </w:tc>
        <w:tc>
          <w:tcPr>
            <w:tcW w:w="920" w:type="dxa"/>
            <w:vAlign w:val="bottom"/>
            <w:gridSpan w:val="4"/>
            <w:shd w:val="clear" w:color="auto" w:fill="CCEEFF"/>
          </w:tcPr>
          <w:p>
            <w:pPr>
              <w:jc w:val="right"/>
              <w:spacing w:after="0" w:line="129" w:lineRule="exact"/>
              <w:rPr>
                <w:sz w:val="20"/>
                <w:szCs w:val="20"/>
                <w:color w:val="auto"/>
              </w:rPr>
            </w:pPr>
            <w:r>
              <w:rPr>
                <w:rFonts w:ascii="Arial" w:cs="Arial" w:eastAsia="Arial" w:hAnsi="Arial"/>
                <w:sz w:val="14"/>
                <w:szCs w:val="14"/>
                <w:color w:val="auto"/>
              </w:rPr>
              <w:t>$  4,186,250</w:t>
            </w:r>
          </w:p>
        </w:tc>
        <w:tc>
          <w:tcPr>
            <w:tcW w:w="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08/24/2018</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Construction and Building</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2,957,148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3,004,821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05/31/2017</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2,931,995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2,960,541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12/21/2018</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6.25%</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1,481,250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1,467,035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1,496,062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04/21/2017</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Aerospace and Defense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2,780,743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2,760,235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2,739,032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12/20/2017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2,550,000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2,499,043</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2,508,562</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01/29/2018</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L+1,200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1,825,500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1,912,500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UniTek Global Services,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04/16/2018</w:t>
            </w:r>
          </w:p>
        </w:tc>
        <w:tc>
          <w:tcPr>
            <w:tcW w:w="2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9.00%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1,932,949</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1,945,225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06/19/2017</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2,932,445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2,858,962</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06/02/2017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5.75%</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L+450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1,477,500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1,471,641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1,451,644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02/09/2018</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2,925,526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2,992,388</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Viamedia Services Corp.</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04/19/2016</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4,031,333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3,995,934</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4,031,334</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12/22/2016</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P+450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2,927,746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2,541,300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W3 CO.</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10/31/2017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1,913,327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1,977,525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08/10/2017</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Consumer Goods: Durable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6.75%</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3,447,500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3,418,540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3,430,263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08/30/2018</w:t>
            </w:r>
          </w:p>
        </w:tc>
        <w:tc>
          <w:tcPr>
            <w:tcW w:w="2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Consumer Goods: Non- Durable</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3,357,500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3,293,647</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3,374,288</w:t>
            </w:r>
          </w:p>
        </w:tc>
        <w:tc>
          <w:tcPr>
            <w:tcW w:w="6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w:t>
            </w: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3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Z Wireless</w:t>
            </w:r>
          </w:p>
        </w:tc>
        <w:tc>
          <w:tcPr>
            <w:tcW w:w="118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12/21/2016</w:t>
            </w:r>
          </w:p>
        </w:tc>
        <w:tc>
          <w:tcPr>
            <w:tcW w:w="116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center"/>
              <w:ind w:right="1300"/>
              <w:spacing w:after="0" w:line="159" w:lineRule="exact"/>
              <w:rPr>
                <w:sz w:val="20"/>
                <w:szCs w:val="20"/>
                <w:color w:val="auto"/>
              </w:rPr>
            </w:pPr>
            <w:r>
              <w:rPr>
                <w:rFonts w:ascii="Arial" w:cs="Arial" w:eastAsia="Arial" w:hAnsi="Arial"/>
                <w:sz w:val="14"/>
                <w:szCs w:val="14"/>
                <w:color w:val="auto"/>
                <w:w w:val="89"/>
              </w:rPr>
              <w:t>Retail</w:t>
            </w:r>
          </w:p>
        </w:tc>
        <w:tc>
          <w:tcPr>
            <w:tcW w:w="10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95"/>
              </w:rPr>
              <w:t>(PIK 1.50%)</w:t>
            </w: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7"/>
              </w:rPr>
              <w:t>L+1,225</w:t>
            </w:r>
          </w:p>
        </w:tc>
        <w:tc>
          <w:tcPr>
            <w:tcW w:w="7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2,700,000</w:t>
            </w: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2,646,083</w:t>
            </w:r>
          </w:p>
        </w:tc>
        <w:tc>
          <w:tcPr>
            <w:tcW w:w="16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2,700,000</w:t>
            </w:r>
          </w:p>
        </w:tc>
        <w:tc>
          <w:tcPr>
            <w:tcW w:w="60" w:type="dxa"/>
            <w:vAlign w:val="bottom"/>
            <w:shd w:val="clear" w:color="auto" w:fill="CCEEFF"/>
          </w:tcPr>
          <w:p>
            <w:pPr>
              <w:spacing w:after="0"/>
              <w:rPr>
                <w:sz w:val="13"/>
                <w:szCs w:val="13"/>
                <w:color w:val="auto"/>
              </w:rPr>
            </w:pPr>
          </w:p>
        </w:tc>
      </w:tr>
      <w:tr>
        <w:trPr>
          <w:trHeight w:val="163"/>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157,559,604</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157,153,917</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Debt—11.0%</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(5),(8)</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09/01/2017</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Metals and Mining</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3,090,000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01/29/2018</w:t>
            </w:r>
          </w:p>
        </w:tc>
        <w:tc>
          <w:tcPr>
            <w:tcW w:w="294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10.50%</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L+900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995,566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w:t>
            </w:r>
          </w:p>
        </w:tc>
        <w:tc>
          <w:tcPr>
            <w:tcW w:w="60" w:type="dxa"/>
            <w:vAlign w:val="bottom"/>
            <w:shd w:val="clear" w:color="auto" w:fill="CCEEFF"/>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3100" w:type="dxa"/>
            <w:vAlign w:val="bottom"/>
            <w:gridSpan w:val="2"/>
          </w:tcPr>
          <w:p>
            <w:pPr>
              <w:spacing w:after="0" w:line="122" w:lineRule="exact"/>
              <w:rPr>
                <w:sz w:val="20"/>
                <w:szCs w:val="20"/>
                <w:color w:val="auto"/>
              </w:rPr>
            </w:pPr>
            <w:r>
              <w:rPr>
                <w:rFonts w:ascii="Arial" w:cs="Arial" w:eastAsia="Arial" w:hAnsi="Arial"/>
                <w:sz w:val="14"/>
                <w:szCs w:val="14"/>
                <w:color w:val="auto"/>
              </w:rPr>
              <w:t>Cannery Casino Resorts,</w:t>
            </w: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6"/>
        </w:trPr>
        <w:tc>
          <w:tcPr>
            <w:tcW w:w="20" w:type="dxa"/>
            <w:vAlign w:val="bottom"/>
          </w:tcPr>
          <w:p>
            <w:pPr>
              <w:spacing w:after="0"/>
              <w:rPr>
                <w:sz w:val="15"/>
                <w:szCs w:val="15"/>
                <w:color w:val="auto"/>
              </w:rPr>
            </w:pPr>
          </w:p>
        </w:tc>
        <w:tc>
          <w:tcPr>
            <w:tcW w:w="31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LLC</w:t>
            </w:r>
            <w:r>
              <w:rPr>
                <w:rFonts w:ascii="Arial" w:cs="Arial" w:eastAsia="Arial" w:hAnsi="Arial"/>
                <w:sz w:val="20"/>
                <w:szCs w:val="20"/>
                <w:color w:val="auto"/>
                <w:vertAlign w:val="superscript"/>
              </w:rPr>
              <w:t>(8)</w:t>
            </w:r>
          </w:p>
        </w:tc>
        <w:tc>
          <w:tcPr>
            <w:tcW w:w="1180" w:type="dxa"/>
            <w:vAlign w:val="bottom"/>
            <w:gridSpan w:val="3"/>
          </w:tcPr>
          <w:p>
            <w:pPr>
              <w:jc w:val="right"/>
              <w:ind w:right="200"/>
              <w:spacing w:after="0"/>
              <w:rPr>
                <w:sz w:val="20"/>
                <w:szCs w:val="20"/>
                <w:color w:val="auto"/>
              </w:rPr>
            </w:pPr>
            <w:r>
              <w:rPr>
                <w:rFonts w:ascii="Arial" w:cs="Arial" w:eastAsia="Arial" w:hAnsi="Arial"/>
                <w:sz w:val="14"/>
                <w:szCs w:val="14"/>
                <w:color w:val="auto"/>
              </w:rPr>
              <w:t>10/02/2019</w:t>
            </w:r>
          </w:p>
        </w:tc>
        <w:tc>
          <w:tcPr>
            <w:tcW w:w="294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10.00%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L+875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1,700,000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1,667,338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1,606,500</w:t>
            </w:r>
          </w:p>
        </w:tc>
        <w:tc>
          <w:tcPr>
            <w:tcW w:w="60" w:type="dxa"/>
            <w:vAlign w:val="bottom"/>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(5),(8)</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09/01/2018</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1,970,677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2,310,000</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05/09/2018</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Utilities: Water</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992,061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(5),(6),(8)</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05/15/2019</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9.13%</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1,586,250</w:t>
            </w:r>
          </w:p>
        </w:tc>
        <w:tc>
          <w:tcPr>
            <w:tcW w:w="60" w:type="dxa"/>
            <w:vAlign w:val="bottom"/>
            <w:shd w:val="clear" w:color="auto" w:fill="CCEEFF"/>
          </w:tcPr>
          <w:p>
            <w:pPr>
              <w:spacing w:after="0"/>
              <w:rPr>
                <w:sz w:val="12"/>
                <w:szCs w:val="12"/>
                <w:color w:val="auto"/>
              </w:rPr>
            </w:pPr>
          </w:p>
        </w:tc>
      </w:tr>
      <w:tr>
        <w:trPr>
          <w:trHeight w:val="163"/>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10,125,642</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10,542,750</w:t>
            </w: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Subordinated Debt/Corporate Notes—12.1%</w:t>
            </w:r>
            <w:r>
              <w:rPr>
                <w:rFonts w:ascii="Arial" w:cs="Arial" w:eastAsia="Arial" w:hAnsi="Arial"/>
                <w:sz w:val="17"/>
                <w:szCs w:val="17"/>
                <w:b w:val="1"/>
                <w:bCs w:val="1"/>
                <w:color w:val="auto"/>
                <w:vertAlign w:val="superscript"/>
              </w:rPr>
              <w:t>(8)</w:t>
            </w: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11/15/2015</w:t>
            </w:r>
          </w:p>
        </w:tc>
        <w:tc>
          <w:tcPr>
            <w:tcW w:w="29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Consumer Goods: Non-Durable</w:t>
            </w: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11.63%</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3,798,673</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2,644,501</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1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12/01/2017</w:t>
            </w:r>
          </w:p>
        </w:tc>
        <w:tc>
          <w:tcPr>
            <w:tcW w:w="29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13.00%</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980,340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1,007,500</w:t>
            </w:r>
          </w:p>
        </w:tc>
        <w:tc>
          <w:tcPr>
            <w:tcW w:w="60" w:type="dxa"/>
            <w:vAlign w:val="bottom"/>
            <w:shd w:val="clear" w:color="auto" w:fill="CCEEFF"/>
          </w:tcPr>
          <w:p>
            <w:pPr>
              <w:spacing w:after="0"/>
              <w:rPr>
                <w:sz w:val="12"/>
                <w:szCs w:val="12"/>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Basis</w:t>
      </w:r>
    </w:p>
    <w:p>
      <w:pPr>
        <w:spacing w:after="0" w:line="1"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Point</w:t>
      </w:r>
    </w:p>
    <w:p>
      <w:pPr>
        <w:spacing w:after="0" w:line="217"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Spread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480" w:type="dxa"/>
            <w:vAlign w:val="bottom"/>
          </w:tcPr>
          <w:p>
            <w:pPr>
              <w:ind w:left="60"/>
              <w:spacing w:after="0"/>
              <w:rPr>
                <w:sz w:val="20"/>
                <w:szCs w:val="20"/>
                <w:color w:val="auto"/>
              </w:rPr>
            </w:pPr>
            <w:r>
              <w:rPr>
                <w:rFonts w:ascii="Arial" w:cs="Arial" w:eastAsia="Arial" w:hAnsi="Arial"/>
                <w:sz w:val="14"/>
                <w:szCs w:val="14"/>
                <w:b w:val="1"/>
                <w:bCs w:val="1"/>
                <w:color w:val="auto"/>
                <w:w w:val="93"/>
              </w:rPr>
              <w:t>Above</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 /</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3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4"/>
                <w:szCs w:val="14"/>
                <w:color w:val="auto"/>
              </w:rPr>
            </w:pP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Maturity</w:t>
            </w:r>
          </w:p>
        </w:tc>
        <w:tc>
          <w:tcPr>
            <w:tcW w:w="1160" w:type="dxa"/>
            <w:vAlign w:val="bottom"/>
          </w:tcPr>
          <w:p>
            <w:pPr>
              <w:spacing w:after="0"/>
              <w:rPr>
                <w:sz w:val="14"/>
                <w:szCs w:val="14"/>
                <w:color w:val="auto"/>
              </w:rPr>
            </w:pPr>
          </w:p>
        </w:tc>
        <w:tc>
          <w:tcPr>
            <w:tcW w:w="1800" w:type="dxa"/>
            <w:vAlign w:val="bottom"/>
            <w:gridSpan w:val="2"/>
          </w:tcPr>
          <w:p>
            <w:pPr>
              <w:jc w:val="center"/>
              <w:ind w:right="1300"/>
              <w:spacing w:after="0" w:line="142" w:lineRule="exact"/>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68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336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TrustHouse Services Group, Inc.</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14.25%</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06/03/2019</w:t>
            </w:r>
          </w:p>
        </w:tc>
        <w:tc>
          <w:tcPr>
            <w:tcW w:w="296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w w:val="95"/>
              </w:rPr>
              <w:t>(PIK 2.25%)</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4,560,151</w:t>
            </w:r>
          </w:p>
        </w:tc>
        <w:tc>
          <w:tcPr>
            <w:tcW w:w="90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4,483,524</w:t>
            </w:r>
          </w:p>
        </w:tc>
        <w:tc>
          <w:tcPr>
            <w:tcW w:w="6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4,560,151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1"/>
                <w:szCs w:val="11"/>
                <w:color w:val="auto"/>
              </w:rPr>
              <w:t>Vestcom International, Inc.</w:t>
            </w:r>
            <w:r>
              <w:rPr>
                <w:rFonts w:ascii="Arial" w:cs="Arial" w:eastAsia="Arial" w:hAnsi="Arial"/>
                <w:sz w:val="17"/>
                <w:szCs w:val="17"/>
                <w:color w:val="auto"/>
                <w:vertAlign w:val="superscript"/>
              </w:rPr>
              <w:t>(8)</w:t>
            </w: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06/27/2019</w:t>
            </w:r>
          </w:p>
        </w:tc>
        <w:tc>
          <w:tcPr>
            <w:tcW w:w="29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9"/>
              </w:rPr>
              <w:t>Media: Advertising, Printingand Publishing</w:t>
            </w:r>
          </w:p>
        </w:tc>
        <w:tc>
          <w:tcPr>
            <w:tcW w:w="10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12.00%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3,333,333</w:t>
            </w: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3,266,707</w:t>
            </w:r>
          </w:p>
        </w:tc>
        <w:tc>
          <w:tcPr>
            <w:tcW w:w="6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3,333,333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12,529,244</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11,545,485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Interests—0.2%</w:t>
            </w:r>
            <w:r>
              <w:rPr>
                <w:rFonts w:ascii="Arial" w:cs="Arial" w:eastAsia="Arial" w:hAnsi="Arial"/>
                <w:sz w:val="17"/>
                <w:szCs w:val="17"/>
                <w:b w:val="1"/>
                <w:bCs w:val="1"/>
                <w:color w:val="auto"/>
                <w:vertAlign w:val="superscript"/>
              </w:rPr>
              <w:t>(7),(8)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96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12.50%</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176</w:t>
            </w:r>
          </w:p>
        </w:tc>
        <w:tc>
          <w:tcPr>
            <w:tcW w:w="90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110,697</w:t>
            </w:r>
          </w:p>
        </w:tc>
        <w:tc>
          <w:tcPr>
            <w:tcW w:w="6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194,585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Equity/Partnership Interests—1.4%</w:t>
            </w:r>
            <w:r>
              <w:rPr>
                <w:rFonts w:ascii="Arial" w:cs="Arial" w:eastAsia="Arial" w:hAnsi="Arial"/>
                <w:sz w:val="17"/>
                <w:szCs w:val="17"/>
                <w:b w:val="1"/>
                <w:bCs w:val="1"/>
                <w:color w:val="auto"/>
                <w:vertAlign w:val="superscript"/>
              </w:rPr>
              <w:t>(7),(8)</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9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401,797</w:t>
            </w: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401,450</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1,118,935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14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296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8</w:t>
            </w:r>
          </w:p>
        </w:tc>
        <w:tc>
          <w:tcPr>
            <w:tcW w:w="90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3"/>
                <w:szCs w:val="13"/>
                <w:color w:val="auto"/>
              </w:rPr>
            </w:pP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10,571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Vestcom Parent Holdings, Inc. (Vestcom International, Inc.)</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96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10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15,179</w:t>
            </w: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166,667</w:t>
            </w:r>
          </w:p>
        </w:tc>
        <w:tc>
          <w:tcPr>
            <w:tcW w:w="6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166,667</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573,117</w:t>
            </w:r>
          </w:p>
        </w:tc>
        <w:tc>
          <w:tcPr>
            <w:tcW w:w="60" w:type="dxa"/>
            <w:vAlign w:val="bottom"/>
          </w:tcPr>
          <w:p>
            <w:pPr>
              <w:spacing w:after="0"/>
              <w:rPr>
                <w:sz w:val="13"/>
                <w:szCs w:val="13"/>
                <w:color w:val="auto"/>
              </w:rPr>
            </w:pPr>
          </w:p>
        </w:tc>
        <w:tc>
          <w:tcPr>
            <w:tcW w:w="76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1,359,173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3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8"/>
              </w:rPr>
              <w:t>Total Investments in Non-Controlled, Non-Affiliated</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w w:val="89"/>
              </w:rPr>
              <w:t>180,898,304</w:t>
            </w:r>
          </w:p>
        </w:tc>
        <w:tc>
          <w:tcPr>
            <w:tcW w:w="6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84"/>
              </w:rPr>
              <w:t>180,795,910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3,987,645</w:t>
            </w:r>
          </w:p>
        </w:tc>
        <w:tc>
          <w:tcPr>
            <w:tcW w:w="6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3,987,645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Equivalents—192.9%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184,885,949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184,783,555</w:t>
            </w: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Assets—(92.9)%</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88"/>
              </w:rPr>
              <w:t>(88,969,787)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95,813,768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8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Point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7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Current</w:t>
            </w: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88"/>
              </w:rPr>
              <w:t>Issuer Name</w:t>
            </w:r>
          </w:p>
        </w:tc>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5"/>
              </w:rPr>
              <w:t>Maturity</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Coupon</w:t>
            </w:r>
          </w:p>
        </w:tc>
        <w:tc>
          <w:tcPr>
            <w:tcW w:w="60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1"/>
              </w:rPr>
              <w:t>Shares</w:t>
            </w:r>
          </w:p>
        </w:tc>
        <w:tc>
          <w:tcPr>
            <w:tcW w:w="78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600" w:type="dxa"/>
            <w:vAlign w:val="bottom"/>
            <w:gridSpan w:val="2"/>
          </w:tcPr>
          <w:p>
            <w:pPr>
              <w:jc w:val="right"/>
              <w:ind w:right="1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Companies—179.5%</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ind w:left="220"/>
              <w:spacing w:after="0"/>
              <w:rPr>
                <w:sz w:val="20"/>
                <w:szCs w:val="20"/>
                <w:color w:val="auto"/>
              </w:rPr>
            </w:pPr>
            <w:r>
              <w:rPr>
                <w:rFonts w:ascii="Arial" w:cs="Arial" w:eastAsia="Arial" w:hAnsi="Arial"/>
                <w:sz w:val="11"/>
                <w:szCs w:val="11"/>
                <w:b w:val="1"/>
                <w:bCs w:val="1"/>
                <w:color w:val="auto"/>
              </w:rPr>
              <w:t>(3),(4)</w:t>
            </w:r>
          </w:p>
        </w:tc>
        <w:tc>
          <w:tcPr>
            <w:tcW w:w="3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03/25/2015</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L+800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214,286</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  214,838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Archipelago Learning,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05/17/2018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Media, Broadcasting and Subscription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959,574</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10/06/2016</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2,937,079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11/22/2017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2,943,750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2,888,381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07/28/2017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985,747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02/15/2018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3,975,000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3,902,979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08/17/2017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3,866,119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3,801,408</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03/19/2018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3,733,125</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3,673,063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12/01/2016</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981,827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08/29/2017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3,980,000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3,904,846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07/28/2017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P+350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950,104</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946,081</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04/20/2018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L+625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3,990,000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3,952,867</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05/18/2018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1,975,762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05/02/2018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2,884,003</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11/30/2017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2,898,672</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07/02/2018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1,956,496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22"/>
        </w:trPr>
        <w:tc>
          <w:tcPr>
            <w:tcW w:w="46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Graton Economic Development</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color w:val="auto"/>
              </w:rPr>
              <w:t>Authority</w:t>
            </w:r>
            <w:r>
              <w:rPr>
                <w:rFonts w:ascii="Arial" w:cs="Arial" w:eastAsia="Arial" w:hAnsi="Arial"/>
                <w:sz w:val="20"/>
                <w:szCs w:val="20"/>
                <w:color w:val="auto"/>
                <w:vertAlign w:val="superscript"/>
              </w:rPr>
              <w:t>(5),(8)</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09/02/2019</w:t>
            </w:r>
          </w:p>
        </w:tc>
        <w:tc>
          <w:tcPr>
            <w:tcW w:w="22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9.63%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05/27/2016</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2,956,829</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2,933,351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Healogics, Inc.</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(f/k/a National Healing Corp.)</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9"/>
              </w:rPr>
              <w:t>11/30/2017</w:t>
            </w:r>
          </w:p>
        </w:tc>
        <w:tc>
          <w:tcPr>
            <w:tcW w:w="222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8.25%</w:t>
            </w: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L+675</w:t>
            </w:r>
          </w:p>
        </w:tc>
        <w:tc>
          <w:tcPr>
            <w:tcW w:w="76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4,962,500</w:t>
            </w:r>
          </w:p>
        </w:tc>
        <w:tc>
          <w:tcPr>
            <w:tcW w:w="78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4,742,008</w:t>
            </w:r>
          </w:p>
        </w:tc>
        <w:tc>
          <w:tcPr>
            <w:tcW w:w="7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04/01/2019</w:t>
            </w:r>
          </w:p>
        </w:tc>
        <w:tc>
          <w:tcPr>
            <w:tcW w:w="880" w:type="dxa"/>
            <w:vAlign w:val="bottom"/>
          </w:tcPr>
          <w:p>
            <w:pPr>
              <w:spacing w:after="0"/>
              <w:rPr>
                <w:sz w:val="12"/>
                <w:szCs w:val="12"/>
                <w:color w:val="auto"/>
              </w:rPr>
            </w:pPr>
          </w:p>
        </w:tc>
        <w:tc>
          <w:tcPr>
            <w:tcW w:w="134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94"/>
              </w:rPr>
              <w:t>Retail</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L+600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2,985,000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2,929,228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08/03/2017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Wholesale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2,743,125</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2,702,953</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03/30/2017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1,963,159</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06/22/2016</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7.75%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L+650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1,691,500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38"/>
        </w:trPr>
        <w:tc>
          <w:tcPr>
            <w:tcW w:w="460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2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L+338</w:t>
            </w:r>
          </w:p>
        </w:tc>
        <w:tc>
          <w:tcPr>
            <w:tcW w:w="7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6,836,508</w:t>
            </w:r>
          </w:p>
        </w:tc>
        <w:tc>
          <w:tcPr>
            <w:tcW w:w="7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6,534,349</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99"/>
              </w:rPr>
              <w:t>08/07/2014</w:t>
            </w:r>
          </w:p>
        </w:tc>
        <w:tc>
          <w:tcPr>
            <w:tcW w:w="22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09/10/2015</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5,476,250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5,512,699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06/02/2014</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L+700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4,937,500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4,845,282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06/19/2017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1,844,649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1,821,373</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08/16/2019</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3,400,000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3,349,374</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05/07/2018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3,916,596</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12/23/2016</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L+700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2,887,500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2,826,368</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05/01/2017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L+525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2,985,000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2,943,607</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38"/>
        </w:trPr>
        <w:tc>
          <w:tcPr>
            <w:tcW w:w="460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99"/>
              </w:rPr>
              <w:t>04/24/2018</w:t>
            </w:r>
          </w:p>
        </w:tc>
        <w:tc>
          <w:tcPr>
            <w:tcW w:w="222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Banking, Finance, Insurance and</w:t>
            </w: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973,817</w:t>
            </w:r>
          </w:p>
        </w:tc>
        <w:tc>
          <w:tcPr>
            <w:tcW w:w="7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07/11/2018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1,496,250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1,467,389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7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5.00%</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08/01/2014</w:t>
            </w:r>
          </w:p>
        </w:tc>
        <w:tc>
          <w:tcPr>
            <w:tcW w:w="2220" w:type="dxa"/>
            <w:vAlign w:val="bottom"/>
            <w:gridSpan w:val="3"/>
          </w:tcPr>
          <w:p>
            <w:pPr>
              <w:jc w:val="center"/>
              <w:spacing w:after="0"/>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(PIK 1.00%)</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L+400</w:t>
            </w: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5,497,407</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4,931,995</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05/08/2017</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L+450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1,975,000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1,958,715</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07/06/2017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6.25%</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978,077</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970,036</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967,889</w:t>
            </w:r>
          </w:p>
        </w:tc>
        <w:tc>
          <w:tcPr>
            <w:tcW w:w="0" w:type="dxa"/>
            <w:vAlign w:val="bottom"/>
          </w:tcPr>
          <w:p>
            <w:pPr>
              <w:spacing w:after="0"/>
              <w:rPr>
                <w:sz w:val="1"/>
                <w:szCs w:val="1"/>
                <w:color w:val="auto"/>
              </w:rPr>
            </w:pPr>
          </w:p>
        </w:tc>
      </w:tr>
      <w:tr>
        <w:trPr>
          <w:trHeight w:val="138"/>
        </w:trPr>
        <w:tc>
          <w:tcPr>
            <w:tcW w:w="4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80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99"/>
              </w:rPr>
              <w:t>10/19/2017</w:t>
            </w:r>
          </w:p>
        </w:tc>
        <w:tc>
          <w:tcPr>
            <w:tcW w:w="22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7.75%</w:t>
            </w:r>
          </w:p>
        </w:tc>
        <w:tc>
          <w:tcPr>
            <w:tcW w:w="6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L+625</w:t>
            </w:r>
          </w:p>
        </w:tc>
        <w:tc>
          <w:tcPr>
            <w:tcW w:w="7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1,980,000</w:t>
            </w:r>
          </w:p>
        </w:tc>
        <w:tc>
          <w:tcPr>
            <w:tcW w:w="78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1,909,788</w:t>
            </w:r>
          </w:p>
        </w:tc>
        <w:tc>
          <w:tcPr>
            <w:tcW w:w="7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1,994,850</w:t>
            </w:r>
          </w:p>
        </w:tc>
        <w:tc>
          <w:tcPr>
            <w:tcW w:w="0" w:type="dxa"/>
            <w:vAlign w:val="bottom"/>
          </w:tcPr>
          <w:p>
            <w:pPr>
              <w:spacing w:after="0"/>
              <w:rPr>
                <w:sz w:val="1"/>
                <w:szCs w:val="1"/>
                <w:color w:val="auto"/>
              </w:rPr>
            </w:pPr>
          </w:p>
        </w:tc>
      </w:tr>
      <w:tr>
        <w:trPr>
          <w:trHeight w:val="173"/>
        </w:trPr>
        <w:tc>
          <w:tcPr>
            <w:tcW w:w="76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0"/>
              </w:rPr>
              <w:t>Subscription</w:t>
            </w:r>
          </w:p>
        </w:tc>
        <w:tc>
          <w:tcPr>
            <w:tcW w:w="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Rocket Software,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02/08/2018</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3,970,000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3,898,141</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08/24/2018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Construction and Building</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L+575</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2,955,509</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2,973,126</w:t>
            </w: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Arial" w:cs="Arial" w:eastAsia="Arial" w:hAnsi="Arial"/>
                <w:sz w:val="14"/>
                <w:szCs w:val="14"/>
                <w:color w:val="auto"/>
              </w:rPr>
              <w:t>Securus Technologies, Inc.</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9"/>
              </w:rPr>
              <w:t>05/31/2017</w:t>
            </w:r>
          </w:p>
        </w:tc>
        <w:tc>
          <w:tcPr>
            <w:tcW w:w="2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w:t>
            </w: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L+525</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2,962,500</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2,938,182</w:t>
            </w: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2,960,648</w:t>
            </w:r>
          </w:p>
        </w:tc>
        <w:tc>
          <w:tcPr>
            <w:tcW w:w="0" w:type="dxa"/>
            <w:vAlign w:val="bottom"/>
          </w:tcPr>
          <w:p>
            <w:pPr>
              <w:spacing w:after="0"/>
              <w:rPr>
                <w:sz w:val="1"/>
                <w:szCs w:val="1"/>
                <w:color w:val="auto"/>
              </w:rPr>
            </w:pPr>
          </w:p>
        </w:tc>
      </w:tr>
      <w:tr>
        <w:trPr>
          <w:trHeight w:val="149"/>
        </w:trPr>
        <w:tc>
          <w:tcPr>
            <w:tcW w:w="4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Seven Seas Cruises S. DE R.L.</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12/21/2018</w:t>
            </w:r>
          </w:p>
        </w:tc>
        <w:tc>
          <w:tcPr>
            <w:tcW w:w="22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6.25%</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1,485,300</w:t>
            </w: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1,505,625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4"/>
                <w:szCs w:val="14"/>
                <w:b w:val="1"/>
                <w:bCs w:val="1"/>
                <w:color w:val="auto"/>
                <w:w w:val="98"/>
              </w:rPr>
              <w:t>Above</w:t>
            </w:r>
          </w:p>
        </w:tc>
        <w:tc>
          <w:tcPr>
            <w:tcW w:w="1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760" w:type="dxa"/>
            <w:vAlign w:val="bottom"/>
          </w:tcPr>
          <w:p>
            <w:pPr>
              <w:spacing w:after="0"/>
              <w:rPr>
                <w:sz w:val="12"/>
                <w:szCs w:val="12"/>
                <w:color w:val="auto"/>
              </w:rPr>
            </w:pPr>
          </w:p>
        </w:tc>
        <w:tc>
          <w:tcPr>
            <w:tcW w:w="1260" w:type="dxa"/>
            <w:vAlign w:val="bottom"/>
            <w:gridSpan w:val="2"/>
          </w:tcPr>
          <w:p>
            <w:pPr>
              <w:jc w:val="center"/>
              <w:ind w:right="720"/>
              <w:spacing w:after="0" w:line="129" w:lineRule="exact"/>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180" w:type="dxa"/>
            <w:vAlign w:val="bottom"/>
          </w:tcPr>
          <w:p>
            <w:pPr>
              <w:spacing w:after="0"/>
              <w:rPr>
                <w:sz w:val="12"/>
                <w:szCs w:val="12"/>
                <w:color w:val="auto"/>
              </w:rPr>
            </w:pPr>
          </w:p>
        </w:tc>
        <w:tc>
          <w:tcPr>
            <w:tcW w:w="68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0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76"/>
              </w:rPr>
              <w:t>Cost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center"/>
              <w:ind w:right="24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Sotera Defense Solutions, Inc.</w:t>
            </w:r>
          </w:p>
        </w:tc>
        <w:tc>
          <w:tcPr>
            <w:tcW w:w="1520" w:type="dxa"/>
            <w:vAlign w:val="bottom"/>
            <w:gridSpan w:val="3"/>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04/21/2017</w:t>
            </w:r>
          </w:p>
        </w:tc>
        <w:tc>
          <w:tcPr>
            <w:tcW w:w="2020" w:type="dxa"/>
            <w:vAlign w:val="bottom"/>
            <w:gridSpan w:val="3"/>
            <w:shd w:val="clear" w:color="auto" w:fill="CCEEFF"/>
          </w:tcPr>
          <w:p>
            <w:pPr>
              <w:jc w:val="center"/>
              <w:spacing w:after="0" w:line="129" w:lineRule="exact"/>
              <w:rPr>
                <w:sz w:val="20"/>
                <w:szCs w:val="20"/>
                <w:color w:val="auto"/>
              </w:rPr>
            </w:pPr>
            <w:r>
              <w:rPr>
                <w:rFonts w:ascii="Arial" w:cs="Arial" w:eastAsia="Arial" w:hAnsi="Arial"/>
                <w:sz w:val="14"/>
                <w:szCs w:val="14"/>
                <w:color w:val="auto"/>
                <w:w w:val="83"/>
              </w:rPr>
              <w:t>Aerospace and Defense</w:t>
            </w:r>
          </w:p>
        </w:tc>
        <w:tc>
          <w:tcPr>
            <w:tcW w:w="82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4"/>
                <w:szCs w:val="14"/>
                <w:color w:val="auto"/>
              </w:rPr>
              <w:t>7.00%</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L+550</w:t>
            </w:r>
          </w:p>
        </w:tc>
        <w:tc>
          <w:tcPr>
            <w:tcW w:w="1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180"/>
              <w:spacing w:after="0" w:line="129" w:lineRule="exact"/>
              <w:rPr>
                <w:sz w:val="20"/>
                <w:szCs w:val="20"/>
                <w:color w:val="auto"/>
              </w:rPr>
            </w:pPr>
            <w:r>
              <w:rPr>
                <w:rFonts w:ascii="Arial" w:cs="Arial" w:eastAsia="Arial" w:hAnsi="Arial"/>
                <w:sz w:val="14"/>
                <w:szCs w:val="14"/>
                <w:color w:val="auto"/>
              </w:rPr>
              <w:t>2,962,512</w:t>
            </w:r>
          </w:p>
        </w:tc>
        <w:tc>
          <w:tcPr>
            <w:tcW w:w="740" w:type="dxa"/>
            <w:vAlign w:val="bottom"/>
            <w:gridSpan w:val="3"/>
            <w:shd w:val="clear" w:color="auto" w:fill="CCEEFF"/>
          </w:tcPr>
          <w:p>
            <w:pPr>
              <w:jc w:val="right"/>
              <w:spacing w:after="0" w:line="129" w:lineRule="exact"/>
              <w:rPr>
                <w:sz w:val="20"/>
                <w:szCs w:val="20"/>
                <w:color w:val="auto"/>
              </w:rPr>
            </w:pPr>
            <w:r>
              <w:rPr>
                <w:rFonts w:ascii="Arial" w:cs="Arial" w:eastAsia="Arial" w:hAnsi="Arial"/>
                <w:sz w:val="14"/>
                <w:szCs w:val="14"/>
                <w:color w:val="auto"/>
                <w:w w:val="92"/>
              </w:rPr>
              <w:t>$  2,939,052</w:t>
            </w:r>
          </w:p>
        </w:tc>
        <w:tc>
          <w:tcPr>
            <w:tcW w:w="1020" w:type="dxa"/>
            <w:vAlign w:val="bottom"/>
            <w:gridSpan w:val="5"/>
            <w:shd w:val="clear" w:color="auto" w:fill="CCEEFF"/>
          </w:tcPr>
          <w:p>
            <w:pPr>
              <w:jc w:val="right"/>
              <w:ind w:right="80"/>
              <w:spacing w:after="0" w:line="129" w:lineRule="exact"/>
              <w:rPr>
                <w:sz w:val="20"/>
                <w:szCs w:val="20"/>
                <w:color w:val="auto"/>
              </w:rPr>
            </w:pPr>
            <w:r>
              <w:rPr>
                <w:rFonts w:ascii="Arial" w:cs="Arial" w:eastAsia="Arial" w:hAnsi="Arial"/>
                <w:sz w:val="14"/>
                <w:szCs w:val="14"/>
                <w:color w:val="auto"/>
              </w:rPr>
              <w:t>$  2,932,887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147,935</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L+1,200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1,875,000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1,823,914</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1,914,375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10/27/2017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992,500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958,036</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992,500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04/16/2018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Telecommunications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1,995,000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1,935,550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06/19/2017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Consumer Services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L+475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2,962,500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2,938,318</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2,844,000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06/02/2017</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L+450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1,481,250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1,474,945</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1,466,438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Vantage Specialties,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02/09/2018</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2,985,000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2,930,559</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2,999,925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2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40" w:type="dxa"/>
            <w:vAlign w:val="bottom"/>
            <w:shd w:val="clear" w:color="auto" w:fill="CCEEFF"/>
          </w:tcPr>
          <w:p>
            <w:pPr>
              <w:spacing w:after="0"/>
              <w:rPr>
                <w:sz w:val="13"/>
                <w:szCs w:val="13"/>
                <w:color w:val="auto"/>
              </w:rPr>
            </w:pPr>
          </w:p>
        </w:tc>
        <w:tc>
          <w:tcPr>
            <w:tcW w:w="152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04/19/2016</w:t>
            </w:r>
          </w:p>
        </w:tc>
        <w:tc>
          <w:tcPr>
            <w:tcW w:w="202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7.00%</w:t>
            </w:r>
          </w:p>
        </w:tc>
        <w:tc>
          <w:tcPr>
            <w:tcW w:w="6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L+550</w:t>
            </w:r>
          </w:p>
        </w:tc>
        <w:tc>
          <w:tcPr>
            <w:tcW w:w="860" w:type="dxa"/>
            <w:vAlign w:val="bottom"/>
            <w:gridSpan w:val="3"/>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4,187,556</w:t>
            </w:r>
          </w:p>
        </w:tc>
        <w:tc>
          <w:tcPr>
            <w:tcW w:w="74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4,147,483</w:t>
            </w:r>
          </w:p>
        </w:tc>
        <w:tc>
          <w:tcPr>
            <w:tcW w:w="10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4,187,556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12/22/2016</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P+450</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2,970,000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2,940,842</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2,643,300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10/31/2017</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1,916,035</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08/10/2017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Consumer Goods: Durable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6.75%</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L+525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3,465,000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3,434,281</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3,456,338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03/23/2018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L+425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08/30/2018</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L+625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3,332,763</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(5),(8)</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07/15/2016</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11.38%</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4,000,000</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2"/>
              </w:rPr>
              <w:t>150,258,038</w:t>
            </w:r>
          </w:p>
        </w:tc>
        <w:tc>
          <w:tcPr>
            <w:tcW w:w="102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(5),(8)</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09/01/2017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Metals and Mining</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11.50%</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3,000,000</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Automotive</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L+900</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Cannery Casino Resorts, LLC</w:t>
            </w:r>
            <w:r>
              <w:rPr>
                <w:rFonts w:ascii="Arial" w:cs="Arial" w:eastAsia="Arial" w:hAnsi="Arial"/>
                <w:sz w:val="17"/>
                <w:szCs w:val="17"/>
                <w:color w:val="auto"/>
                <w:vertAlign w:val="superscript"/>
              </w:rPr>
              <w:t>(8)</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10/02/2019</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L+875</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1,700,000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1,666,000</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11/06/2018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10.25%</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L+875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gridSpan w:val="2"/>
          </w:tcPr>
          <w:p>
            <w:pPr>
              <w:spacing w:after="0" w:line="122" w:lineRule="exact"/>
              <w:rPr>
                <w:sz w:val="20"/>
                <w:szCs w:val="20"/>
                <w:color w:val="auto"/>
              </w:rPr>
            </w:pPr>
            <w:r>
              <w:rPr>
                <w:rFonts w:ascii="Arial" w:cs="Arial" w:eastAsia="Arial" w:hAnsi="Arial"/>
                <w:sz w:val="14"/>
                <w:szCs w:val="14"/>
                <w:color w:val="auto"/>
              </w:rPr>
              <w:t>ROC Finance LLC and ROC Finance 1</w:t>
            </w: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gridSpan w:val="2"/>
          </w:tcPr>
          <w:p>
            <w:pPr>
              <w:ind w:left="200"/>
              <w:spacing w:after="0" w:line="176" w:lineRule="exact"/>
              <w:rPr>
                <w:sz w:val="20"/>
                <w:szCs w:val="20"/>
                <w:color w:val="auto"/>
              </w:rPr>
            </w:pPr>
            <w:r>
              <w:rPr>
                <w:rFonts w:ascii="Arial" w:cs="Arial" w:eastAsia="Arial" w:hAnsi="Arial"/>
                <w:sz w:val="20"/>
                <w:szCs w:val="20"/>
                <w:color w:val="auto"/>
                <w:vertAlign w:val="subscript"/>
              </w:rPr>
              <w:t>Corp</w:t>
            </w:r>
            <w:r>
              <w:rPr>
                <w:rFonts w:ascii="Arial" w:cs="Arial" w:eastAsia="Arial" w:hAnsi="Arial"/>
                <w:sz w:val="9"/>
                <w:szCs w:val="9"/>
                <w:color w:val="auto"/>
              </w:rPr>
              <w:t>(5),(8)</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color w:val="auto"/>
              </w:rPr>
              <w:t>09/01/2018</w:t>
            </w:r>
          </w:p>
        </w:tc>
        <w:tc>
          <w:tcPr>
            <w:tcW w:w="2020" w:type="dxa"/>
            <w:vAlign w:val="bottom"/>
            <w:gridSpan w:val="3"/>
          </w:tcPr>
          <w:p>
            <w:pPr>
              <w:jc w:val="center"/>
              <w:spacing w:after="0"/>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12.13%</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2,000,000</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1,969,103</w:t>
            </w:r>
          </w:p>
        </w:tc>
        <w:tc>
          <w:tcPr>
            <w:tcW w:w="1020" w:type="dxa"/>
            <w:vAlign w:val="bottom"/>
            <w:gridSpan w:val="5"/>
          </w:tcPr>
          <w:p>
            <w:pPr>
              <w:jc w:val="right"/>
              <w:ind w:right="80"/>
              <w:spacing w:after="0"/>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05/09/2018</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Utilities: Water</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8.50%</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L+725</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(5),(6),(8)</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05/15/2019</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9.13%</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1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11,608,643</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Subordinated Debt/Corporate Notes—8.7%</w:t>
            </w:r>
            <w:r>
              <w:rPr>
                <w:rFonts w:ascii="Arial" w:cs="Arial" w:eastAsia="Arial" w:hAnsi="Arial"/>
                <w:sz w:val="18"/>
                <w:szCs w:val="18"/>
                <w:b w:val="1"/>
                <w:bCs w:val="1"/>
                <w:color w:val="auto"/>
                <w:vertAlign w:val="superscript"/>
              </w:rPr>
              <w:t>(8)</w:t>
            </w: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11/15/2015</w:t>
            </w:r>
          </w:p>
        </w:tc>
        <w:tc>
          <w:tcPr>
            <w:tcW w:w="20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Consumer Goods: Non-Durable</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11.63%</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4,100,000</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10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12/01/2017</w:t>
            </w: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13.00%</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1,000,000</w:t>
            </w: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980,074</w:t>
            </w:r>
          </w:p>
        </w:tc>
        <w:tc>
          <w:tcPr>
            <w:tcW w:w="10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14.25%</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06/03/2019</w:t>
            </w: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5"/>
              </w:rPr>
              <w:t>Beverage, Food and Tobacco</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2.25%)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4,508,719</w:t>
            </w:r>
          </w:p>
        </w:tc>
        <w:tc>
          <w:tcPr>
            <w:tcW w:w="7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4,432,092</w:t>
            </w: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4,508,719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8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9,194,181</w:t>
            </w:r>
          </w:p>
        </w:tc>
        <w:tc>
          <w:tcPr>
            <w:tcW w:w="102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8,296,719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Interests—0.2%</w:t>
            </w:r>
            <w:r>
              <w:rPr>
                <w:rFonts w:ascii="Arial" w:cs="Arial" w:eastAsia="Arial" w:hAnsi="Arial"/>
                <w:sz w:val="17"/>
                <w:szCs w:val="17"/>
                <w:b w:val="1"/>
                <w:bCs w:val="1"/>
                <w:color w:val="auto"/>
                <w:vertAlign w:val="superscript"/>
              </w:rPr>
              <w:t>(7),(8)</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82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0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Beverage, Food and Tobacco</w:t>
            </w:r>
          </w:p>
        </w:tc>
        <w:tc>
          <w:tcPr>
            <w:tcW w:w="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12.50%</w:t>
            </w: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80"/>
              <w:spacing w:after="0" w:line="159" w:lineRule="exact"/>
              <w:rPr>
                <w:sz w:val="20"/>
                <w:szCs w:val="20"/>
                <w:color w:val="auto"/>
              </w:rPr>
            </w:pPr>
            <w:r>
              <w:rPr>
                <w:rFonts w:ascii="Arial" w:cs="Arial" w:eastAsia="Arial" w:hAnsi="Arial"/>
                <w:sz w:val="14"/>
                <w:szCs w:val="14"/>
                <w:color w:val="auto"/>
              </w:rPr>
              <w:t>176</w:t>
            </w: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110,697</w:t>
            </w:r>
          </w:p>
        </w:tc>
        <w:tc>
          <w:tcPr>
            <w:tcW w:w="18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200,571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0"/>
              </w:rPr>
              <w:t>Basis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Point</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Spread</w:t>
            </w: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4"/>
              </w:rPr>
              <w:t>Above</w:t>
            </w:r>
          </w:p>
        </w:tc>
        <w:tc>
          <w:tcPr>
            <w:tcW w:w="6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5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12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4"/>
              </w:rPr>
              <w:t>Industry</w:t>
            </w: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4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54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Equity/Partnership Interests—1.1%</w:t>
            </w:r>
            <w:r>
              <w:rPr>
                <w:rFonts w:ascii="Arial" w:cs="Arial" w:eastAsia="Arial" w:hAnsi="Arial"/>
                <w:sz w:val="13"/>
                <w:szCs w:val="13"/>
                <w:b w:val="1"/>
                <w:bCs w:val="1"/>
                <w:color w:val="auto"/>
                <w:vertAlign w:val="superscript"/>
              </w:rPr>
              <w:t>(7),(8)</w:t>
            </w: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gridSpan w:val="2"/>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rPr>
              <w:t>—</w:t>
            </w:r>
          </w:p>
        </w:tc>
        <w:tc>
          <w:tcPr>
            <w:tcW w:w="1960" w:type="dxa"/>
            <w:vAlign w:val="bottom"/>
            <w:gridSpan w:val="3"/>
          </w:tcPr>
          <w:p>
            <w:pPr>
              <w:jc w:val="center"/>
              <w:ind w:left="172"/>
              <w:spacing w:after="0" w:line="15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6"/>
              </w:rPr>
              <w:t>401,797</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401,450</w:t>
            </w:r>
          </w:p>
        </w:tc>
        <w:tc>
          <w:tcPr>
            <w:tcW w:w="3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1,091,018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(TrustHouse Services Group, Inc.)</w:t>
            </w:r>
          </w:p>
        </w:tc>
        <w:tc>
          <w:tcPr>
            <w:tcW w:w="56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1960" w:type="dxa"/>
            <w:vAlign w:val="bottom"/>
            <w:gridSpan w:val="3"/>
            <w:shd w:val="clear" w:color="auto" w:fill="CCEEFF"/>
          </w:tcPr>
          <w:p>
            <w:pPr>
              <w:jc w:val="center"/>
              <w:ind w:left="172"/>
              <w:spacing w:after="0" w:line="15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10,845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406,450</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1,101,863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171,578,009</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171,834,400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3,845,803</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3,845,803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Investments and Cash</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Equivalents—183.5%</w:t>
            </w: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7"/>
              </w:rPr>
              <w:t>175,423,812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175,680,203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right"/>
              <w:ind w:right="40"/>
              <w:spacing w:after="0" w:line="143" w:lineRule="exact"/>
              <w:rPr>
                <w:sz w:val="20"/>
                <w:szCs w:val="20"/>
                <w:color w:val="auto"/>
              </w:rPr>
            </w:pPr>
            <w:r>
              <w:rPr>
                <w:rFonts w:ascii="Arial" w:cs="Arial" w:eastAsia="Arial" w:hAnsi="Arial"/>
                <w:sz w:val="14"/>
                <w:szCs w:val="14"/>
                <w:color w:val="auto"/>
                <w:w w:val="90"/>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95,743,877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3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93" w:lineRule="exact"/>
        <w:rPr>
          <w:sz w:val="20"/>
          <w:szCs w:val="20"/>
          <w:color w:val="auto"/>
        </w:rPr>
      </w:pPr>
    </w:p>
    <w:p>
      <w:pPr>
        <w:ind w:left="1480" w:hanging="479"/>
        <w:spacing w:after="0"/>
        <w:tabs>
          <w:tab w:leader="none" w:pos="14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00" w:right="18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50" w:lineRule="exact"/>
        <w:rPr>
          <w:rFonts w:ascii="Arial" w:cs="Arial" w:eastAsia="Arial" w:hAnsi="Arial"/>
          <w:sz w:val="18"/>
          <w:szCs w:val="18"/>
          <w:color w:val="auto"/>
        </w:rPr>
      </w:pPr>
    </w:p>
    <w:p>
      <w:pPr>
        <w:ind w:left="1480" w:hanging="479"/>
        <w:spacing w:after="0"/>
        <w:tabs>
          <w:tab w:leader="none" w:pos="1480" w:val="left"/>
        </w:tabs>
        <w:numPr>
          <w:ilvl w:val="1"/>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pay an excise tax of less than $0.1 million for the three months ended December 31, 2012.</w:t>
      </w:r>
    </w:p>
    <w:p>
      <w:pPr>
        <w:spacing w:after="0" w:line="12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480" w:hanging="479"/>
        <w:spacing w:after="0"/>
        <w:tabs>
          <w:tab w:leader="none" w:pos="14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 — Investment Companies—Consolidation,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1480" w:hanging="479"/>
        <w:spacing w:after="0"/>
        <w:tabs>
          <w:tab w:leader="none" w:pos="14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 Transfers and Servicing</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S-83</w:t>
      </w:r>
    </w:p>
    <w:p>
      <w:pPr>
        <w:sectPr>
          <w:pgSz w:w="11900" w:h="16838" w:orient="portrait"/>
          <w:cols w:equalWidth="0" w:num="1">
            <w:col w:w="11340"/>
          </w:cols>
          <w:pgMar w:left="240" w:top="459" w:right="3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three months ended December 31, 2012 and 2011, the Investment Adviser earned base management fees of $0.5 million and $0.3 million, respectively, from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jc w:val="both"/>
        <w:ind w:right="80" w:firstLine="8"/>
        <w:spacing w:after="0" w:line="300" w:lineRule="auto"/>
        <w:tabs>
          <w:tab w:leader="none" w:pos="249"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w:t>
      </w:r>
    </w:p>
    <w:p>
      <w:pPr>
        <w:spacing w:after="0" w:line="1" w:lineRule="exact"/>
        <w:rPr>
          <w:rFonts w:ascii="Arial" w:cs="Arial" w:eastAsia="Arial" w:hAnsi="Arial"/>
          <w:sz w:val="15"/>
          <w:szCs w:val="15"/>
          <w:color w:val="auto"/>
        </w:rPr>
      </w:pPr>
    </w:p>
    <w:p>
      <w:pPr>
        <w:ind w:right="160"/>
        <w:spacing w:after="0" w:line="255" w:lineRule="auto"/>
        <w:rPr>
          <w:rFonts w:ascii="Arial" w:cs="Arial" w:eastAsia="Arial" w:hAnsi="Arial"/>
          <w:sz w:val="15"/>
          <w:szCs w:val="15"/>
          <w:color w:val="auto"/>
        </w:rPr>
      </w:pPr>
      <w:r>
        <w:rPr>
          <w:rFonts w:ascii="Arial" w:cs="Arial" w:eastAsia="Arial" w:hAnsi="Arial"/>
          <w:sz w:val="18"/>
          <w:szCs w:val="18"/>
          <w:color w:val="auto"/>
        </w:rPr>
        <w:t>2.9167% in any calendar quarter. These calculations are pro-rated for any share issuances or repurchases during the relevant quarter. For the three months ended December 31, 2012 and 2011, the Investment Adviser earned a performance based incentive fee on net investment income as calculated under the Investment Management Agreement of $0.4 million and zero, respectively.</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For the three months ended December 31, 2012 and 2011, the Investment Adviser did not earn a performance based incentive fee on capital gains as calculated under the Investment Management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firstLine="456"/>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months ended December 31, 2012 and 2011, the Investment Adviser earned a performance based incentive fee on unrealized and realized capital gains as calculated under GAAP of less than $0.1 million and zero, respectively.</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independent directors, in February 2013.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months ended December 31, 2012 and 2011, the Investment Adviser was reimbursed approximately $0.1 million and $0.1 million, respectively, from us, including expenses it incurred on behalf of the Administrator, for services described above.</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through December 31, 2012, we met the conditions for repayment of the sales load. The Investment Adviser will be repaid approximately $2.1 million.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months ended December 31, 2012 and 2011 totaled $38.9 million and $39.4 million, respectively. Sales and repayments of long-term investments for the three months ended December 31, 2012 and 2011 totaled $30.3 million and $22.3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540" w:type="dxa"/>
            <w:vAlign w:val="bottom"/>
          </w:tcPr>
          <w:p>
            <w:pPr>
              <w:spacing w:after="0"/>
              <w:rPr>
                <w:sz w:val="14"/>
                <w:szCs w:val="14"/>
                <w:color w:val="auto"/>
              </w:rPr>
            </w:pPr>
          </w:p>
        </w:tc>
        <w:tc>
          <w:tcPr>
            <w:tcW w:w="250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December 31,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$ 157,559,604</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$ 157,153,917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150,258,038</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10,125,642</w:t>
            </w:r>
          </w:p>
        </w:tc>
        <w:tc>
          <w:tcPr>
            <w:tcW w:w="1040" w:type="dxa"/>
            <w:vAlign w:val="bottom"/>
          </w:tcPr>
          <w:p>
            <w:pPr>
              <w:jc w:val="right"/>
              <w:spacing w:after="0"/>
              <w:rPr>
                <w:sz w:val="20"/>
                <w:szCs w:val="20"/>
                <w:color w:val="auto"/>
              </w:rPr>
            </w:pPr>
            <w:r>
              <w:rPr>
                <w:rFonts w:ascii="Arial" w:cs="Arial" w:eastAsia="Arial" w:hAnsi="Arial"/>
                <w:sz w:val="18"/>
                <w:szCs w:val="18"/>
                <w:color w:val="auto"/>
              </w:rPr>
              <w:t>10,542,750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11,608,643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12,529,244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11,545,485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683,814</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180,898,304</w:t>
            </w:r>
          </w:p>
        </w:tc>
        <w:tc>
          <w:tcPr>
            <w:tcW w:w="4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180,795,910</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171,578,009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171,834,400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3,987,645</w:t>
            </w:r>
          </w:p>
        </w:tc>
        <w:tc>
          <w:tcPr>
            <w:tcW w:w="4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3,987,645</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$ 184,885,949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$ 184,783,555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175,423,812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175,680,203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29"/>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02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40" w:type="dxa"/>
            <w:vAlign w:val="bottom"/>
            <w:gridSpan w:val="3"/>
            <w:vMerge w:val="continue"/>
          </w:tcPr>
          <w:p>
            <w:pPr>
              <w:spacing w:after="0"/>
              <w:rPr>
                <w:sz w:val="12"/>
                <w:szCs w:val="12"/>
                <w:color w:val="auto"/>
              </w:rPr>
            </w:pPr>
          </w:p>
        </w:tc>
        <w:tc>
          <w:tcPr>
            <w:tcW w:w="2800" w:type="dxa"/>
            <w:vAlign w:val="bottom"/>
            <w:gridSpan w:val="2"/>
          </w:tcPr>
          <w:p>
            <w:pPr>
              <w:jc w:val="right"/>
              <w:ind w:right="177"/>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740" w:type="dxa"/>
            <w:vAlign w:val="bottom"/>
            <w:gridSpan w:val="2"/>
          </w:tcPr>
          <w:p>
            <w:pPr>
              <w:jc w:val="right"/>
              <w:ind w:right="212"/>
              <w:spacing w:after="0" w:line="148"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20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Construction and Building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20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100" w:type="dxa"/>
            <w:vAlign w:val="bottom"/>
            <w:gridSpan w:val="3"/>
          </w:tcPr>
          <w:p>
            <w:pPr>
              <w:jc w:val="right"/>
              <w:ind w:right="2240"/>
              <w:spacing w:after="0"/>
              <w:rPr>
                <w:sz w:val="20"/>
                <w:szCs w:val="20"/>
                <w:color w:val="auto"/>
              </w:rPr>
            </w:pPr>
            <w:r>
              <w:rPr>
                <w:rFonts w:ascii="Arial" w:cs="Arial" w:eastAsia="Arial" w:hAnsi="Arial"/>
                <w:sz w:val="18"/>
                <w:szCs w:val="18"/>
                <w:color w:val="auto"/>
              </w:rPr>
              <w:t>S-86</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2012, our ability to observe valuation inputs resulted in reclassification of assets from Level 3 to 2 and we had no other transfers between levels. This compares to the three months ended December 31, 2011, which resulted in no reclassification of assets from Levels 1, 2 or 3.</w:t>
      </w:r>
    </w:p>
    <w:p>
      <w:pPr>
        <w:spacing w:after="0" w:line="1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7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Fair Value as of</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December 31, 2012</w:t>
            </w:r>
          </w:p>
        </w:tc>
        <w:tc>
          <w:tcPr>
            <w:tcW w:w="23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Valuation Technique</w:t>
            </w:r>
          </w:p>
        </w:tc>
        <w:tc>
          <w:tcPr>
            <w:tcW w:w="1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2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1"/>
        </w:trPr>
        <w:tc>
          <w:tcPr>
            <w:tcW w:w="3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Broker/</w:t>
            </w: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161,319,619</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Dealer bid quotes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 – 7</w:t>
            </w:r>
          </w:p>
        </w:tc>
        <w:tc>
          <w:tcPr>
            <w:tcW w:w="0" w:type="dxa"/>
            <w:vAlign w:val="bottom"/>
          </w:tcPr>
          <w:p>
            <w:pPr>
              <w:spacing w:after="0"/>
              <w:rPr>
                <w:sz w:val="1"/>
                <w:szCs w:val="1"/>
                <w:color w:val="auto"/>
              </w:rPr>
            </w:pPr>
          </w:p>
        </w:tc>
      </w:tr>
      <w:tr>
        <w:trPr>
          <w:trHeight w:val="208"/>
        </w:trPr>
        <w:tc>
          <w:tcPr>
            <w:tcW w:w="364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13,691,782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7.3% –15.3% (12.1%)</w:t>
            </w:r>
          </w:p>
        </w:tc>
        <w:tc>
          <w:tcPr>
            <w:tcW w:w="0" w:type="dxa"/>
            <w:vAlign w:val="bottom"/>
          </w:tcPr>
          <w:p>
            <w:pPr>
              <w:spacing w:after="0"/>
              <w:rPr>
                <w:sz w:val="1"/>
                <w:szCs w:val="1"/>
                <w:color w:val="auto"/>
              </w:rPr>
            </w:pPr>
          </w:p>
        </w:tc>
      </w:tr>
      <w:tr>
        <w:trPr>
          <w:trHeight w:val="218"/>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1,553,758</w:t>
            </w:r>
          </w:p>
        </w:tc>
        <w:tc>
          <w:tcPr>
            <w:tcW w:w="2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Enterprise Market Value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6.0x – 8.5x (6.4x)</w:t>
            </w: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176,565,159</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85,775,000</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Market Comparable</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gridSpan w:val="2"/>
            <w:vMerge w:val="restart"/>
          </w:tcPr>
          <w:p>
            <w:pPr>
              <w:ind w:left="260"/>
              <w:spacing w:after="0"/>
              <w:rPr>
                <w:sz w:val="20"/>
                <w:szCs w:val="20"/>
                <w:color w:val="auto"/>
              </w:rPr>
            </w:pPr>
            <w:r>
              <w:rPr>
                <w:rFonts w:ascii="Arial" w:cs="Arial" w:eastAsia="Arial" w:hAnsi="Arial"/>
                <w:sz w:val="18"/>
                <w:szCs w:val="18"/>
                <w:color w:val="auto"/>
              </w:rPr>
              <w:t>S-88</w:t>
            </w: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8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w w:val="92"/>
              </w:rPr>
              <w:t>Fair Value Measurements at December 31, 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157,153,917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10,542,750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1,586,250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8,956,500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11,545,485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2,644,501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180,795,910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4,230,751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3,987,645</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3,987,645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184,783,555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3,987,645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4,230,751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85,775,000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28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w w:val="91"/>
              </w:rPr>
              <w:t>Fair Value Measurements at September 30, 2012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Borders>
              <w:bottom w:val="single" w:sz="8" w:color="auto"/>
            </w:tcBorders>
            <w:vMerge w:val="continue"/>
          </w:tcPr>
          <w:p>
            <w:pPr>
              <w:spacing w:after="0"/>
              <w:rPr>
                <w:sz w:val="12"/>
                <w:szCs w:val="12"/>
                <w:color w:val="auto"/>
              </w:rPr>
            </w:pPr>
          </w:p>
        </w:tc>
        <w:tc>
          <w:tcPr>
            <w:tcW w:w="5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12,025,500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8,296,719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3,845,803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3,845,803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3,845,803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75,122,500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8"/>
          </w:tcPr>
          <w:p>
            <w:pPr>
              <w:jc w:val="center"/>
              <w:ind w:left="696"/>
              <w:spacing w:after="0"/>
              <w:rPr>
                <w:sz w:val="20"/>
                <w:szCs w:val="20"/>
                <w:color w:val="auto"/>
              </w:rPr>
            </w:pPr>
            <w:r>
              <w:rPr>
                <w:rFonts w:ascii="Arial" w:cs="Arial" w:eastAsia="Arial" w:hAnsi="Arial"/>
                <w:sz w:val="14"/>
                <w:szCs w:val="14"/>
                <w:b w:val="1"/>
                <w:bCs w:val="1"/>
                <w:color w:val="auto"/>
                <w:w w:val="87"/>
              </w:rPr>
              <w:t>Three Months Ended December 31, 2012</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and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First Lien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169,046,400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429,535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13,308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442,843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(357,390)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158,764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35,707,944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3,488,767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39,196,711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(28,835,919)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(30,335,919)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(1,586,250)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157,153,917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19,411,242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176,565,159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 change in</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unrealized appreciation on investments in our Consolidated Statement of Operations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126,018</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(2,677,717)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(2,551,699)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vMerge w:val="restart"/>
          </w:tcPr>
          <w:p>
            <w:pPr>
              <w:ind w:left="4820"/>
              <w:spacing w:after="0"/>
              <w:rPr>
                <w:sz w:val="20"/>
                <w:szCs w:val="20"/>
                <w:color w:val="auto"/>
              </w:rPr>
            </w:pPr>
            <w:r>
              <w:rPr>
                <w:rFonts w:ascii="Arial" w:cs="Arial" w:eastAsia="Arial" w:hAnsi="Arial"/>
                <w:sz w:val="18"/>
                <w:szCs w:val="18"/>
                <w:color w:val="auto"/>
              </w:rPr>
              <w:t>S-89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7"/>
          </w:tcPr>
          <w:p>
            <w:pPr>
              <w:jc w:val="center"/>
              <w:ind w:left="696"/>
              <w:spacing w:after="0"/>
              <w:rPr>
                <w:sz w:val="20"/>
                <w:szCs w:val="20"/>
                <w:color w:val="auto"/>
              </w:rPr>
            </w:pPr>
            <w:r>
              <w:rPr>
                <w:rFonts w:ascii="Arial" w:cs="Arial" w:eastAsia="Arial" w:hAnsi="Arial"/>
                <w:sz w:val="14"/>
                <w:szCs w:val="14"/>
                <w:b w:val="1"/>
                <w:bCs w:val="1"/>
                <w:color w:val="auto"/>
                <w:w w:val="87"/>
              </w:rPr>
              <w:t>Three Months Ended December 31, 2011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and 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First Lien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308,511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308,511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283,619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1,025,559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36,280,783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1,023,071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37,303,854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(22,240,498)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(22,240,498)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104,420,115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19,512,805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123,932,920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3"/>
            <w:vMerge w:val="restart"/>
          </w:tcPr>
          <w:p>
            <w:pPr>
              <w:spacing w:after="0"/>
              <w:rPr>
                <w:sz w:val="20"/>
                <w:szCs w:val="20"/>
                <w:color w:val="auto"/>
              </w:rPr>
            </w:pPr>
            <w:r>
              <w:rPr>
                <w:rFonts w:ascii="Arial" w:cs="Arial" w:eastAsia="Arial" w:hAnsi="Arial"/>
                <w:sz w:val="18"/>
                <w:szCs w:val="18"/>
                <w:color w:val="auto"/>
                <w:w w:val="94"/>
              </w:rPr>
              <w:t>Net change in unrealized appreciation reported within the net change in unrealized appreciation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1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on investments in our Consolidated Statement of Operations attributable to our Level 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8"/>
                <w:szCs w:val="18"/>
                <w:color w:val="auto"/>
              </w:rPr>
              <w:t>assets still held at the 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851,376</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283,619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1,134,995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Carrying/Fair Value Three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72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25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Months Ended December 31,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7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top w:val="single" w:sz="8" w:color="auto"/>
            </w:tcBorders>
          </w:tcPr>
          <w:p>
            <w:pPr>
              <w:jc w:val="right"/>
              <w:ind w:right="264"/>
              <w:spacing w:after="0" w:line="129"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(cost—$75,500,000 and $24,650,000, respectively)</w:t>
            </w:r>
          </w:p>
        </w:tc>
        <w:tc>
          <w:tcPr>
            <w:tcW w:w="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$ 75,122,500</w:t>
            </w:r>
          </w:p>
        </w:tc>
        <w:tc>
          <w:tcPr>
            <w:tcW w:w="5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$ 24,650,000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(depreciation) included in earnings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377,500</w:t>
            </w:r>
          </w:p>
        </w:tc>
        <w:tc>
          <w:tcPr>
            <w:tcW w:w="5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(351,000)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30,950,000</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500" w:type="dxa"/>
            <w:vAlign w:val="bottom"/>
            <w:gridSpan w:val="3"/>
          </w:tcPr>
          <w:p>
            <w:pPr>
              <w:jc w:val="right"/>
              <w:ind w:right="480"/>
              <w:spacing w:after="0"/>
              <w:rPr>
                <w:sz w:val="20"/>
                <w:szCs w:val="20"/>
                <w:color w:val="auto"/>
              </w:rPr>
            </w:pPr>
            <w:r>
              <w:rPr>
                <w:rFonts w:ascii="Arial" w:cs="Arial" w:eastAsia="Arial" w:hAnsi="Arial"/>
                <w:sz w:val="18"/>
                <w:szCs w:val="18"/>
                <w:color w:val="auto"/>
                <w:w w:val="97"/>
              </w:rPr>
              <w:t>(20,675,000)</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(12,550,000)</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Ending Balance, December 31, (cost—$85,775,000 and $35,100,000, respectively)</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9"/>
              </w:rPr>
              <w:t>$ 85,775,000</w:t>
            </w:r>
          </w:p>
        </w:tc>
        <w:tc>
          <w:tcPr>
            <w:tcW w:w="5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$ 34,749,000</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months ended December 31, 2012 and 2011, we had a net change in unrealized (appreciation) depreciation of $(0.4) million and $0.4 million, respectively. As of December 31, 2012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6440" w:type="dxa"/>
            <w:vAlign w:val="bottom"/>
            <w:vMerge w:val="restart"/>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9"/>
        </w:trPr>
        <w:tc>
          <w:tcPr>
            <w:tcW w:w="940" w:type="dxa"/>
            <w:vAlign w:val="bottom"/>
            <w:tcBorders>
              <w:bottom w:val="single" w:sz="8" w:color="auto"/>
            </w:tcBorders>
            <w:vMerge w:val="continue"/>
          </w:tcPr>
          <w:p>
            <w:pPr>
              <w:spacing w:after="0"/>
              <w:rPr>
                <w:sz w:val="12"/>
                <w:szCs w:val="12"/>
                <w:color w:val="auto"/>
              </w:rPr>
            </w:pPr>
          </w:p>
        </w:tc>
        <w:tc>
          <w:tcPr>
            <w:tcW w:w="644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2"/>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1,765,431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3,105,165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6,850,667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6,850,667</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2012 and September 30, 2012, cash equivalents consisted of $4.0 million and $3.8 million, including amounts in money market funds,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Per Share Data:</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beginning of period</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 (2)</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Net asset value, end of period</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gridSpan w:val="3"/>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gridSpan w:val="3"/>
            <w:vMerge w:val="continue"/>
          </w:tcPr>
          <w:p>
            <w:pPr>
              <w:spacing w:after="0"/>
              <w:rPr>
                <w:sz w:val="19"/>
                <w:szCs w:val="19"/>
                <w:color w:val="auto"/>
              </w:rPr>
            </w:pP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6,850,667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6,850,667</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40" w:type="dxa"/>
            <w:vAlign w:val="bottom"/>
          </w:tcPr>
          <w:p>
            <w:pPr>
              <w:ind w:left="900"/>
              <w:spacing w:after="0"/>
              <w:rPr>
                <w:sz w:val="20"/>
                <w:szCs w:val="20"/>
                <w:color w:val="auto"/>
              </w:rPr>
            </w:pPr>
            <w:r>
              <w:rPr>
                <w:rFonts w:ascii="Arial" w:cs="Arial" w:eastAsia="Arial" w:hAnsi="Arial"/>
                <w:sz w:val="18"/>
                <w:szCs w:val="18"/>
                <w:color w:val="auto"/>
              </w:rPr>
              <w:t>S-91</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7"/>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Ratios / Supplemental Data:**</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8.58%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95,813,768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93,738,630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Average debt outstanding</w:t>
            </w: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2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70,040,217</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27,986,957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2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71.32%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860" w:firstLine="8"/>
        <w:spacing w:after="0" w:line="286" w:lineRule="auto"/>
        <w:tabs>
          <w:tab w:leader="none" w:pos="338"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spacing w:after="0"/>
        <w:rPr>
          <w:rFonts w:ascii="Arial" w:cs="Arial" w:eastAsia="Arial" w:hAnsi="Arial"/>
          <w:sz w:val="16"/>
          <w:szCs w:val="16"/>
          <w:color w:val="auto"/>
        </w:rPr>
      </w:pPr>
      <w:r>
        <w:rPr>
          <w:rFonts w:ascii="Arial" w:cs="Arial" w:eastAsia="Arial" w:hAnsi="Arial"/>
          <w:sz w:val="18"/>
          <w:szCs w:val="18"/>
          <w:color w:val="auto"/>
        </w:rPr>
        <w:t>(1)  Per share data are calculated based on the weighted average shares outstanding for the respective periods.</w:t>
      </w:r>
    </w:p>
    <w:p>
      <w:pPr>
        <w:spacing w:after="0" w:line="9" w:lineRule="exact"/>
        <w:rPr>
          <w:rFonts w:ascii="Arial" w:cs="Arial" w:eastAsia="Arial" w:hAnsi="Arial"/>
          <w:sz w:val="16"/>
          <w:szCs w:val="16"/>
          <w:color w:val="auto"/>
        </w:rPr>
      </w:pPr>
    </w:p>
    <w:p>
      <w:pPr>
        <w:ind w:left="340" w:right="180" w:hanging="338"/>
        <w:spacing w:after="0" w:line="250" w:lineRule="auto"/>
        <w:rPr>
          <w:rFonts w:ascii="Arial" w:cs="Arial" w:eastAsia="Arial" w:hAnsi="Arial"/>
          <w:sz w:val="16"/>
          <w:szCs w:val="16"/>
          <w:color w:val="auto"/>
        </w:rPr>
      </w:pPr>
      <w:r>
        <w:rPr>
          <w:rFonts w:ascii="Arial" w:cs="Arial" w:eastAsia="Arial" w:hAnsi="Arial"/>
          <w:sz w:val="18"/>
          <w:szCs w:val="18"/>
          <w:color w:val="auto"/>
        </w:rPr>
        <w:t>(2) Dividends and distributions are determined based on taxable income calculated in accordance with income tax regulations, which may differ from amounts determined under GAAP.</w:t>
      </w:r>
    </w:p>
    <w:p>
      <w:pPr>
        <w:ind w:left="340" w:right="560" w:hanging="338"/>
        <w:spacing w:after="0" w:line="250" w:lineRule="auto"/>
        <w:rPr>
          <w:rFonts w:ascii="Arial" w:cs="Arial" w:eastAsia="Arial" w:hAnsi="Arial"/>
          <w:sz w:val="16"/>
          <w:szCs w:val="16"/>
          <w:color w:val="auto"/>
        </w:rPr>
      </w:pPr>
      <w:r>
        <w:rPr>
          <w:rFonts w:ascii="Arial" w:cs="Arial" w:eastAsia="Arial" w:hAnsi="Arial"/>
          <w:sz w:val="18"/>
          <w:szCs w:val="18"/>
          <w:color w:val="auto"/>
        </w:rPr>
        <w:t>(3) Total return is based on the change in market price per share during the period and takes into account dividends and distributions, if any, reinvested in accordance with our dividend reinvestment plan.</w:t>
      </w:r>
    </w:p>
    <w:p>
      <w:pPr>
        <w:spacing w:after="0"/>
        <w:rPr>
          <w:rFonts w:ascii="Arial" w:cs="Arial" w:eastAsia="Arial" w:hAnsi="Arial"/>
          <w:sz w:val="16"/>
          <w:szCs w:val="16"/>
          <w:color w:val="auto"/>
        </w:rPr>
      </w:pPr>
      <w:r>
        <w:rPr>
          <w:rFonts w:ascii="Arial" w:cs="Arial" w:eastAsia="Arial" w:hAnsi="Arial"/>
          <w:sz w:val="18"/>
          <w:szCs w:val="18"/>
          <w:color w:val="auto"/>
        </w:rPr>
        <w:t>(4)  Operating expenses exclude Credit Facility related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Funding I’s amended and restated Credit Facility with affiliates of SunTrust Bank, or the Lender, matures in May 2017 and its reinvestment period ends in May 2015.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December 31, 2012 and September 30, 2012, Funding I had $85.8 million and $75.5 million of outstanding borrowings under the Credit Facility, respectively, and carried an interest rate of 2.47%, in each case excluding the 0.375% undrawn commitment fee.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S-92</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Under terms agreed among us, the Investment Adviser and underwriters of our initial public offering, the Investment Adviser paid 2% of the underwriters’ sales load, or approximately $2.1 million in the aggregate, on our behalf. We agreed to repay such amount to the Investment Adviser upon its achievement of a benchmark return over four consecutive quarters, and the Investment Adviser agreed to use such amount to purchase shares of our common stock over a six-month period following such repayment. We met the conditions for repayment to the Investment Adviser at the end of the quarter ended December 31, 2012 and repaid approximately $2.1 million to the Investment Adviser. The Investment Adviser announced that it intends to purchase shares of our common stock in the secondary market over the applicable six-month purchase period in compliance with applicable law and SEC guidance.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75105" cy="317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475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53 of this prospectus for more information.</w:t>
      </w:r>
    </w:p>
    <w:p>
      <w:pPr>
        <w:spacing w:after="0" w:line="12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“PFLT.” The last reported closing price for our common stock on July 24, 2012 was $12.14 per share, and our net asset value on March 31, 2012 was $14.12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using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0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July 26, 2012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6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920" w:type="dxa"/>
            <w:vAlign w:val="bottom"/>
            <w:gridSpan w:val="35"/>
            <w:vMerge w:val="restart"/>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PROSPECTUS SUMMARY</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920" w:type="dxa"/>
            <w:vAlign w:val="bottom"/>
            <w:gridSpan w:val="35"/>
            <w:vMerge w:val="continue"/>
          </w:tcPr>
          <w:p>
            <w:pPr>
              <w:spacing w:after="0"/>
              <w:rPr>
                <w:sz w:val="13"/>
                <w:szCs w:val="13"/>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880" w:type="dxa"/>
            <w:vAlign w:val="bottom"/>
            <w:gridSpan w:val="23"/>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FORWARD-LOOKING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USE OF PROCEEDS</w:t>
              </w:r>
            </w:hyperlink>
          </w:p>
        </w:tc>
        <w:tc>
          <w:tcPr>
            <w:tcW w:w="806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3">
              <w:r>
                <w:rPr>
                  <w:rFonts w:ascii="Arial" w:cs="Arial" w:eastAsia="Arial" w:hAnsi="Arial"/>
                  <w:sz w:val="18"/>
                  <w:szCs w:val="18"/>
                  <w:color w:val="0000EE"/>
                  <w:w w:val="95"/>
                </w:rPr>
                <w:t>SELECTED FINANCIAL DATA</w:t>
              </w:r>
            </w:hyperlink>
          </w:p>
        </w:tc>
        <w:tc>
          <w:tcPr>
            <w:tcW w:w="854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SENIOR SECURITIES</w:t>
              </w:r>
            </w:hyperlink>
          </w:p>
        </w:tc>
        <w:tc>
          <w:tcPr>
            <w:tcW w:w="22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OBLIGATIONS AND INDEBTEDNESS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51">
              <w:r>
                <w:rPr>
                  <w:rFonts w:ascii="Arial" w:cs="Arial" w:eastAsia="Arial" w:hAnsi="Arial"/>
                  <w:sz w:val="18"/>
                  <w:szCs w:val="18"/>
                  <w:color w:val="0000EE"/>
                  <w:w w:val="92"/>
                </w:rPr>
                <w:t>PRICE RANGE OF COMMON STOCK</w:t>
              </w:r>
            </w:hyperlink>
          </w:p>
        </w:tc>
        <w:tc>
          <w:tcPr>
            <w:tcW w:w="40" w:type="dxa"/>
            <w:vAlign w:val="bottom"/>
            <w:tcBorders>
              <w:top w:val="single" w:sz="8" w:color="0000EE"/>
            </w:tcBorders>
          </w:tcPr>
          <w:p>
            <w:pPr>
              <w:spacing w:after="0"/>
              <w:rPr>
                <w:sz w:val="17"/>
                <w:szCs w:val="17"/>
                <w:color w:val="auto"/>
              </w:rPr>
            </w:pPr>
          </w:p>
        </w:tc>
        <w:tc>
          <w:tcPr>
            <w:tcW w:w="798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SALES OF COMMON STOCK BELOW NET ASSET VALUE</w:t>
              </w:r>
            </w:hyperlink>
          </w:p>
        </w:tc>
        <w:tc>
          <w:tcPr>
            <w:tcW w:w="638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DISTRIBUTIONS</w:t>
              </w:r>
            </w:hyperlink>
          </w:p>
        </w:tc>
        <w:tc>
          <w:tcPr>
            <w:tcW w:w="9580" w:type="dxa"/>
            <w:vAlign w:val="bottom"/>
            <w:gridSpan w:val="2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BUSINESS</w:t>
              </w:r>
            </w:hyperlink>
          </w:p>
        </w:tc>
        <w:tc>
          <w:tcPr>
            <w:tcW w:w="10080" w:type="dxa"/>
            <w:vAlign w:val="bottom"/>
            <w:gridSpan w:val="3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INVESTMENT OBJECTIVES AND POLICIES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PORTFOLIO COMPANIES</w:t>
              </w:r>
            </w:hyperlink>
          </w:p>
        </w:tc>
        <w:tc>
          <w:tcPr>
            <w:tcW w:w="74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75">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8920" w:type="dxa"/>
            <w:vAlign w:val="bottom"/>
            <w:gridSpan w:val="2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CONTROL PERSONS AND PRINCIPAL STOCKHOLDERS</w:t>
              </w:r>
            </w:hyperlink>
          </w:p>
        </w:tc>
        <w:tc>
          <w:tcPr>
            <w:tcW w:w="64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CERTAIN RELATIONSHIPS AND TRANSACTIONS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4"/>
              </w:rPr>
            </w:pPr>
            <w:hyperlink w:anchor="page191">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0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94">
              <w:r>
                <w:rPr>
                  <w:rFonts w:ascii="Arial" w:cs="Arial" w:eastAsia="Arial" w:hAnsi="Arial"/>
                  <w:sz w:val="18"/>
                  <w:szCs w:val="18"/>
                  <w:color w:val="0000EE"/>
                  <w:w w:val="96"/>
                </w:rPr>
                <w:t>DIVIDEND REINVESTMENT PLAN</w:t>
              </w:r>
            </w:hyperlink>
          </w:p>
        </w:tc>
        <w:tc>
          <w:tcPr>
            <w:tcW w:w="81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195">
              <w:r>
                <w:rPr>
                  <w:rFonts w:ascii="Arial" w:cs="Arial" w:eastAsia="Arial" w:hAnsi="Arial"/>
                  <w:sz w:val="18"/>
                  <w:szCs w:val="18"/>
                  <w:color w:val="0000EE"/>
                  <w:w w:val="92"/>
                </w:rPr>
                <w:t>DESCRIPTION OF OUR CAPITAL STOCK</w:t>
              </w:r>
            </w:hyperlink>
          </w:p>
        </w:tc>
        <w:tc>
          <w:tcPr>
            <w:tcW w:w="77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DESCRIPTION OF OUR PREFERRED STOCK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DESCRIPTION OF OUR WARRANTS</w:t>
              </w:r>
            </w:hyperlink>
          </w:p>
        </w:tc>
        <w:tc>
          <w:tcPr>
            <w:tcW w:w="74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DESCRIPTION OF OUR SUBSCRIPTION RIGHTS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2"/>
              </w:rPr>
            </w:pPr>
            <w:hyperlink w:anchor="page205">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12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19">
              <w:r>
                <w:rPr>
                  <w:rFonts w:ascii="Arial" w:cs="Arial" w:eastAsia="Arial" w:hAnsi="Arial"/>
                  <w:sz w:val="18"/>
                  <w:szCs w:val="18"/>
                  <w:color w:val="0000EE"/>
                  <w:w w:val="93"/>
                </w:rPr>
                <w:t>REGULATION</w:t>
              </w:r>
            </w:hyperlink>
          </w:p>
        </w:tc>
        <w:tc>
          <w:tcPr>
            <w:tcW w:w="9800" w:type="dxa"/>
            <w:vAlign w:val="bottom"/>
            <w:gridSpan w:val="3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BROKERAGE ALLOCATIONS AND OTHER PRACTICES</w:t>
              </w:r>
            </w:hyperlink>
          </w:p>
        </w:tc>
        <w:tc>
          <w:tcPr>
            <w:tcW w:w="65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225">
              <w:r>
                <w:rPr>
                  <w:rFonts w:ascii="Arial" w:cs="Arial" w:eastAsia="Arial" w:hAnsi="Arial"/>
                  <w:sz w:val="18"/>
                  <w:szCs w:val="18"/>
                  <w:color w:val="0000EE"/>
                  <w:w w:val="94"/>
                </w:rPr>
                <w:t>MATERIAL U.S. FEDERAL INCOME TAX CONSIDERATIONS</w:t>
              </w:r>
            </w:hyperlink>
          </w:p>
        </w:tc>
        <w:tc>
          <w:tcPr>
            <w:tcW w:w="61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PLAN OF DISTRIBUTION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SUB-ADMINISTRATOR, CUSTODIAN, TRANSFER AGENT AND TRUSTEE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LEGAL MATTERS</w:t>
              </w:r>
            </w:hyperlink>
          </w:p>
        </w:tc>
        <w:tc>
          <w:tcPr>
            <w:tcW w:w="51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35"/>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INDEPENDENT REGISTERED PUBLIC ACCOUNTING FIRM</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7"/>
          </w:tcPr>
          <w:p>
            <w:pPr>
              <w:spacing w:after="0" w:line="196" w:lineRule="exact"/>
              <w:rPr>
                <w:rFonts w:ascii="Arial" w:cs="Arial" w:eastAsia="Arial" w:hAnsi="Arial"/>
                <w:sz w:val="18"/>
                <w:szCs w:val="18"/>
                <w:color w:val="0000EE"/>
                <w:w w:val="94"/>
              </w:rPr>
            </w:pPr>
            <w:hyperlink w:anchor="page234">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2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PART C OTHER INFORMATION</w:t>
            </w:r>
          </w:p>
        </w:tc>
        <w:tc>
          <w:tcPr>
            <w:tcW w:w="844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20" w:type="dxa"/>
            <w:vAlign w:val="bottom"/>
            <w:gridSpan w:val="35"/>
          </w:tcPr>
          <w:p>
            <w:pPr>
              <w:spacing w:after="0" w:line="196" w:lineRule="exact"/>
              <w:rPr>
                <w:sz w:val="20"/>
                <w:szCs w:val="20"/>
                <w:color w:val="auto"/>
              </w:rPr>
            </w:pPr>
            <w:r>
              <w:rPr>
                <w:rFonts w:ascii="Arial" w:cs="Arial" w:eastAsia="Arial" w:hAnsi="Arial"/>
                <w:sz w:val="18"/>
                <w:szCs w:val="18"/>
                <w:color w:val="0000EE"/>
              </w:rPr>
              <w:t>SIGNATURES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7"/>
              </w:rPr>
              <w:t>C-11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$150,000,000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right="80" w:firstLine="456"/>
        <w:spacing w:after="0" w:line="252"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and mezzanine debt financing. We have used, and expect to continue to use, our credit facility, or the Credit Facility, proceeds from the rotation of our portfolio and proceeds from public and private offerings of securities to finance our investment objectives.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PennantPark Floating Rate Capital Ltd., a Maryland corporation organized on October 28, 2010, is a closed-end, externally managed, non-diversified investment company that has elected to be treated as a BDC under the 1940 Act. In addition, for tax purposes we intend to be treated, and intend to qualify annually, as a regulated investment company, or RIC, under the Internal Revenue Code of 1986, as amended, or the Code, commencing with our first fiscal year ended September 30,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we have competitive advantages over other capital providers in middle-market companies, such as a management team with an average of over 20 years of experience, a disciplined investment approach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primary competitors provide financing to middle-market companies and include other BDCs and closed-end funds,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Operations—Liquidity and Capital Resources”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subsidiary or for other general corporate purposes. Any supplements to this prospectus relating to an offering will more fully identify the use of the proceeds from such offering. See “Use of Proceeds” for information regarding our outstanding borrowings, the corresponding interest rate charged on such borrowings and the length of time that it may take us to invest any proceeds in new or existing portfolio companies.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intend to continue to distribute monthly dividends to our common stockholders. Our monthly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may offer, from time to time, up to $150 million of our securities, on terms to be determined at the time of each such offering and set forth in a supplement to this prospectus.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administrative and principal executive offices are located at 590 Madison Avenue, 15th Floor, New York, NY 10022. Our common stock is quoted on the NASDAQ Global Select Market under the symbol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Sales load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(1)</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(2)</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color w:val="auto"/>
              </w:rPr>
              <w:t>(3)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Management fees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(4)</w:t>
            </w:r>
          </w:p>
        </w:tc>
      </w:t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0.31</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(5)</w:t>
            </w: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1.45</w:t>
            </w: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(6)</w:t>
            </w:r>
          </w:p>
        </w:tc>
      </w:tr>
      <w:tr>
        <w:trPr>
          <w:trHeight w:val="23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(7)</w:t>
            </w:r>
          </w:p>
        </w:tc>
      </w:tr>
      <w:tr>
        <w:trPr>
          <w:trHeight w:val="221"/>
        </w:trPr>
        <w:tc>
          <w:tcPr>
            <w:tcW w:w="10400" w:type="dxa"/>
            <w:vAlign w:val="bottom"/>
          </w:tcPr>
          <w:p>
            <w:pPr>
              <w:spacing w:after="0"/>
              <w:rPr>
                <w:sz w:val="20"/>
                <w:szCs w:val="20"/>
                <w:color w:val="auto"/>
              </w:rPr>
            </w:pPr>
            <w:r>
              <w:rPr>
                <w:rFonts w:ascii="Arial" w:cs="Arial" w:eastAsia="Arial" w:hAnsi="Arial"/>
                <w:sz w:val="18"/>
                <w:szCs w:val="18"/>
                <w:b w:val="1"/>
                <w:bCs w:val="1"/>
                <w:color w:val="auto"/>
              </w:rPr>
              <w:t>Total estimated annual expenses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5.38</w:t>
            </w:r>
          </w:p>
        </w:tc>
        <w:tc>
          <w:tcPr>
            <w:tcW w:w="460" w:type="dxa"/>
            <w:vAlign w:val="bottom"/>
          </w:tcPr>
          <w:p>
            <w:pPr>
              <w:ind w:left="180"/>
              <w:spacing w:after="0"/>
              <w:rPr>
                <w:sz w:val="20"/>
                <w:szCs w:val="20"/>
                <w:color w:val="auto"/>
              </w:rPr>
            </w:pPr>
            <w:r>
              <w:rPr>
                <w:rFonts w:ascii="Arial" w:cs="Arial" w:eastAsia="Arial" w:hAnsi="Arial"/>
                <w:sz w:val="18"/>
                <w:szCs w:val="18"/>
                <w:color w:val="auto"/>
                <w:w w:val="88"/>
              </w:rPr>
              <w:t>%</w:t>
            </w:r>
            <w:r>
              <w:rPr>
                <w:rFonts w:ascii="Arial" w:cs="Arial" w:eastAsia="Arial" w:hAnsi="Arial"/>
                <w:sz w:val="11"/>
                <w:szCs w:val="11"/>
                <w:color w:val="auto"/>
                <w:w w:val="88"/>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3" w:lineRule="exact"/>
        <w:rPr>
          <w:sz w:val="20"/>
          <w:szCs w:val="20"/>
          <w:color w:val="auto"/>
        </w:rPr>
      </w:pPr>
    </w:p>
    <w:p>
      <w:pPr>
        <w:ind w:left="460" w:right="260" w:hanging="452"/>
        <w:spacing w:after="0" w:line="25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March 31, 2012.</w:t>
      </w:r>
    </w:p>
    <w:p>
      <w:pPr>
        <w:spacing w:after="0" w:line="9" w:lineRule="exact"/>
        <w:rPr>
          <w:rFonts w:ascii="Arial" w:cs="Arial" w:eastAsia="Arial" w:hAnsi="Arial"/>
          <w:sz w:val="18"/>
          <w:szCs w:val="18"/>
          <w:color w:val="auto"/>
        </w:rPr>
      </w:pPr>
    </w:p>
    <w:p>
      <w:pPr>
        <w:ind w:left="460" w:right="9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March 31, 2012. See “Certain Relationships and Transactions-Investment Management Agreement” for more information.</w:t>
      </w:r>
    </w:p>
    <w:p>
      <w:pPr>
        <w:ind w:left="460" w:right="4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2012, our unrealized capital gains exceeded our cumulative realized and unrealized capital losses and we accrued a capital gains incentive fee of $0.1 million in accordance with U.S. generally accepted accounting principles, or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As we cannot predict our future net investment income or capital gains, the incentive fee paid in future periods, if any, may be substantially different than the fee earned during the three months ended March 31, 2012, and we cannot assure you that we will recognize capital gains for the calendar year ending December 31, 2012 in amounts consistent with the accrual for the same period. For more detailed information about the incentive fee, please see “Certain Relationships and Transactions—Investment Management Agreement” for more information.</w:t>
      </w:r>
    </w:p>
    <w:p>
      <w:pPr>
        <w:spacing w:after="0" w:line="10" w:lineRule="exact"/>
        <w:rPr>
          <w:rFonts w:ascii="Arial" w:cs="Arial" w:eastAsia="Arial" w:hAnsi="Arial"/>
          <w:sz w:val="16"/>
          <w:szCs w:val="16"/>
          <w:color w:val="auto"/>
        </w:rPr>
      </w:pPr>
    </w:p>
    <w:p>
      <w:pPr>
        <w:ind w:left="460" w:right="300" w:hanging="452"/>
        <w:spacing w:after="0" w:line="261"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March 31, 2012, we had $47.8 million in borrowings outstanding under our $100.0 million Credit Facility. We may use proceeds of an offering of securities under this registration statement to repay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2" w:lineRule="auto"/>
        <w:rPr>
          <w:sz w:val="20"/>
          <w:szCs w:val="20"/>
          <w:color w:val="auto"/>
        </w:rPr>
      </w:pPr>
      <w:r>
        <w:rPr>
          <w:rFonts w:ascii="Arial" w:cs="Arial" w:eastAsia="Arial" w:hAnsi="Arial"/>
          <w:sz w:val="18"/>
          <w:szCs w:val="18"/>
          <w:color w:val="auto"/>
        </w:rPr>
        <w:t>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54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38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3.22% sales load (underwriting discounts and commissions) and offering expenses totaling 0.32%, (2) total net annual expenses of 5.07%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$ 84</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$ 182</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$ 279</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523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right="180" w:firstLine="456"/>
        <w:spacing w:after="0" w:line="352" w:lineRule="auto"/>
        <w:rPr>
          <w:sz w:val="20"/>
          <w:szCs w:val="20"/>
          <w:color w:val="auto"/>
        </w:rPr>
      </w:pPr>
      <w:r>
        <w:rPr>
          <w:rFonts w:ascii="Arial" w:cs="Arial" w:eastAsia="Arial" w:hAnsi="Arial"/>
          <w:sz w:val="15"/>
          <w:szCs w:val="15"/>
          <w:color w:val="auto"/>
        </w:rPr>
        <w:t>We were incorporated in October 2010 and commenced operations in March 2011. We are subject to all of the business risks and uncertainties associated with any new business, including the risk that we will not achieve our investment objective and that the value of your investment could decline substantially.</w:t>
      </w:r>
    </w:p>
    <w:p>
      <w:pPr>
        <w:spacing w:after="0" w:line="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materially and adversely affect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and instability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applicable regulations, such that our asset coverage, as defined under the 1940 Act, must equal at least 200% of our total indebtedness immediately after each time we incur indebtedness. Shrinking portfolio values negatively impact our ability to borrow additional funds under the Credit Facility because our net asset value is reduced for purposes of the 200% asset coverage test. If the fair value of our assets declines substantially, we may fail to maintain the asset coverage ratios stipulated by the 1940 Act, which could, in turn, cause us to lose our status as a BDC and materially impair our business operations. A protracted disruption in the credit markets could also materially decrease demand for our investments.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used. A prolonged inability to raise capital may require us to reduce the volume of Floating Rate Loans we invest in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9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primary business exposes us to credit risk, and the quality of our portfolio has a significant impact on our earnings. Credit risk is a component part of our fair valuation of our Floating Rate Loans and other investments we may purchase. Negative credit events will lead to a decrease in the fair value of our Floating Rate Loans and other investments.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current market conditions have affected consumer confidence levels, which may result in adverse changes in payment patterns. Increased delinquencies and default rates would impact our results of operations. Deterioration in the credit quality of our portfolio could have a material adverse effect on our capital, financial condition and results of operations.</w:t>
      </w:r>
    </w:p>
    <w:p>
      <w:pPr>
        <w:spacing w:after="0" w:line="215"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invest in Floating Rate Loans,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negatively impact the ability of our borrowers to repay their loans, which could materially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the Investment Adviser. We also depend, to a significant extent, on PennantPark Investment Advisers’ access to the investment information and deal flow generated by these investment professionals and any others that may be hired by the Investment Adviser. Managers of the Investment Adviser evaluate, negotiate, structure, close and monitor our investments. Our future success depends on the continued service of management personnel of the Investment Adviser. The departure of managers of the Investment Adviser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depends on our ability to manage future growth effectively.</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Our ability to achieve our investment objectives depend on our ability to grow, which depends, in turn, on the Investment Adviser’s ability to identify, invest in and monitor companies that meet our investment criteria. Accomplishing this result on a cost-effective basis is largely a function of the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the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and closed-end funds,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BDC. We cannot offer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replicate the historical performance of other investment companies with which our investment professionals have been affiliated.</w:t>
      </w:r>
    </w:p>
    <w:p>
      <w:pPr>
        <w:spacing w:after="0" w:line="11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elected to be treated as a BDC. 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status would substantially reduce net assets and income available for debt service and dividends.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operated and intend to operate so as to qualify as a RIC under Subchapter M of the Code commencing with our first taxable year.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12-month period ending on October 31), we generally will be required to pay an excise tax on amounts carried over and distributed to shareholders in the next year equal to 4% of the undistributed amount.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original issue discount, or OID, or contracted payment-in-kind, or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91"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of at least 200% of indebtedness.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an entity-level tax on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governing our operation as a BDC will affect our ability to, and the way in which we, raise additional capital.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from banks,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Our ability to pay dividends, incur additional indebtedness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or redeem a portion of our senior securities, as applicable, at a time when such sales may be disadvantageous, which could materially damage our business.</w:t>
      </w:r>
    </w:p>
    <w:p>
      <w:pPr>
        <w:spacing w:after="0" w:line="63" w:lineRule="exact"/>
        <w:rPr>
          <w:sz w:val="20"/>
          <w:szCs w:val="20"/>
          <w:color w:val="auto"/>
        </w:rPr>
      </w:pPr>
    </w:p>
    <w:p>
      <w:pPr>
        <w:ind w:left="900" w:right="100" w:hanging="446"/>
        <w:spacing w:after="0" w:line="291"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would also be exposed to typical risks associated with leverage, including an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39" w:lineRule="exact"/>
        <w:rPr>
          <w:rFonts w:ascii="Arial" w:cs="Arial" w:eastAsia="Arial" w:hAnsi="Arial"/>
          <w:sz w:val="16"/>
          <w:szCs w:val="16"/>
          <w:color w:val="auto"/>
        </w:rPr>
      </w:pPr>
    </w:p>
    <w:p>
      <w:pPr>
        <w:ind w:left="900" w:right="200" w:hanging="446"/>
        <w:spacing w:after="0" w:line="289"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7"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60"/>
        <w:spacing w:after="0" w:line="332" w:lineRule="auto"/>
        <w:rPr>
          <w:sz w:val="20"/>
          <w:szCs w:val="20"/>
          <w:color w:val="auto"/>
        </w:rPr>
      </w:pPr>
      <w:r>
        <w:rPr>
          <w:rFonts w:ascii="Arial" w:cs="Arial" w:eastAsia="Arial" w:hAnsi="Arial"/>
          <w:sz w:val="16"/>
          <w:szCs w:val="16"/>
          <w:color w:val="auto"/>
        </w:rPr>
        <w:t>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and any amounts that we use to service our indebtedness are not available for distribution to our common stockholders.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Funding I may fail to meet certain asset coverage tests, which would have an adverse effect on the timing of payments to us, or otherwise fail to satisfy various covenants.</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6"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to retain our status as a BDC;</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resulting from under performance or defaults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2012, we had outstanding borrowings of $47.8 million under our Credit Facility with a weighted average annual interest rate on of 2.54% exclusive of the fees on the undrawn commitment of 0.50%. Accordingly, to cover the annual interest on our borrowings outstanding at March 31, 2012, at the then current rate, we would have to receive an annual yield of at least 0.84%. This example is for illustrative purposes only, and actual interest rates on our Credit Facility borrowings are likely to fluctuate. The costs associated with our borrowings, including any increase in the management fee payable to our Investment Adviser, will be borne by our common stockholders.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March 31, 2012 of 31% of total assets (including such borrowed funds), at a weighted average rate at the time of 2.54%,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20" w:type="dxa"/>
            <w:vAlign w:val="bottom"/>
          </w:tcPr>
          <w:p>
            <w:pPr>
              <w:jc w:val="right"/>
              <w:ind w:right="92"/>
              <w:spacing w:after="0"/>
              <w:rPr>
                <w:sz w:val="20"/>
                <w:szCs w:val="20"/>
                <w:color w:val="auto"/>
              </w:rPr>
            </w:pPr>
            <w:r>
              <w:rPr>
                <w:rFonts w:ascii="Arial" w:cs="Arial" w:eastAsia="Arial" w:hAnsi="Arial"/>
                <w:sz w:val="18"/>
                <w:szCs w:val="18"/>
                <w:color w:val="auto"/>
              </w:rPr>
              <w:t>(16.9)%</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(9.1)%</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on any variable-rate borrowings,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interests in Funding I are subordinated.</w:t>
      </w:r>
    </w:p>
    <w:p>
      <w:pPr>
        <w:spacing w:after="0" w:line="96"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We own 100% of the equity interests in Funding I. We consolidate Funding I in our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expenses and (3) claims of other unsecured creditors of Funding I. We cannot assure you that there will be sufficient funds available to make any distributions to us or that such distributions will meet our expectations.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receive cash on our equity interests from Funding I.</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ability to sell investments held by Funding I is limited.</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Credit Facility documents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0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issue preferred stock, debt securities or convertible debt securities the net asset value and market value of our common stock may become more volatile.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and/or debt securities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1940 Act and the terms of our preferred stock and/or debt securities or of a downgrade in the ratings of the preferred stock and/or debt securities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and/or debt securities. In addition, we would pay (and the holders of our common stock would bear) all costs and expenses relating to the issuance and ongoing maintenance of the preferred stock and/or debt securities. Holders of preferred stock and/or debt securities may have different interests than holders of common stock and may at times have disproportionate influence over our affairs.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professionals of the Investment Adviser and Administrator serve as officers, directors or principals of entities that operate in the same or a related line of business as we do or of investment funds managed by affiliates of PennantPark Floating Rate Capital Ltd. that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new affiliated funds are formed, our board of directors, adviser and administrator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PennantPark Investment Corporation, a publicly-traded BDC. Although the Investment Adviser endeavors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PennantPark Investment Corporation, and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In connection with our initial public offering, the Investment Adviser has paid to the underwriters 2% of the sales load, or $2.1 million in the aggregate, with respect to the offering of shares of our common stock. We (and indirectly our stockholders) must reimburse this amount under certain circumstances. As a result of these arrangements, there may be times when the management team of the Investment Adviser has interests that differ from those of our stockholders, giving rise to a conflict. Furthermore, to ensure repayment, there is a risk the Investment Adviser will make more speculative investments.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ind w:right="380"/>
        <w:spacing w:after="0" w:line="338" w:lineRule="auto"/>
        <w:rPr>
          <w:sz w:val="20"/>
          <w:szCs w:val="20"/>
          <w:color w:val="auto"/>
        </w:rPr>
      </w:pPr>
      <w:r>
        <w:rPr>
          <w:rFonts w:ascii="Arial" w:cs="Arial" w:eastAsia="Arial" w:hAnsi="Arial"/>
          <w:sz w:val="16"/>
          <w:szCs w:val="16"/>
          <w:b w:val="1"/>
          <w:bCs w:val="1"/>
          <w:color w:val="auto"/>
        </w:rPr>
        <w:t>If we are required to repay in cash the amount paid to the underwriters of our initial public offering by the Investment Adviser, we may have to sell assets at a loss, and the amount that we have available for investment may be reduced, in order to pay the amount due.</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are obligated to repay this amount to the Investment Adviser in cash while making distributions to our stockholders necessary to maintain our RIC status and/or avoid the imposition of federal income and excise taxes, we may have to dispose of a portion of our investments. Any such disposition could result in our realizing losses and reduce the amount that we have available for investment. Furthermore, to ensure repayment, there is a risk the Investment Adviser will make more speculative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may be volatile.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we publicly issue debt securities, they may or may not have an established trading market. We cannot assure investors that a trading market for our publicly issued debt securities would develop or be maintained if developed. In addition to our creditworthiness, many factors may materially adversely affect the trading market for, and market value of, our publicly issued debt securities. These factors include the following:</w:t>
      </w:r>
    </w:p>
    <w:p>
      <w:pPr>
        <w:spacing w:after="0" w:line="26"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redemption or repayment features, if any,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Floating Rate Loans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have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expect most of our investments may be recorded using broker/dealers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the valuation of our portfolio quarterly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8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If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issued by U.S. middle-market companies.</w:t>
      </w:r>
    </w:p>
    <w:p>
      <w:pPr>
        <w:spacing w:after="0" w:line="90" w:lineRule="exact"/>
        <w:rPr>
          <w:sz w:val="20"/>
          <w:szCs w:val="20"/>
          <w:color w:val="auto"/>
        </w:rPr>
      </w:pPr>
    </w:p>
    <w:p>
      <w:pPr>
        <w:ind w:left="920" w:right="20"/>
        <w:spacing w:after="0" w:line="289" w:lineRule="auto"/>
        <w:rPr>
          <w:sz w:val="20"/>
          <w:szCs w:val="20"/>
          <w:color w:val="auto"/>
        </w:rPr>
      </w:pPr>
      <w:r>
        <w:rPr>
          <w:rFonts w:ascii="Arial" w:cs="Arial" w:eastAsia="Arial" w:hAnsi="Arial"/>
          <w:sz w:val="16"/>
          <w:szCs w:val="16"/>
          <w:i w:val="1"/>
          <w:iCs w:val="1"/>
          <w:color w:val="auto"/>
        </w:rPr>
        <w:t>Floating Rate Loans</w:t>
      </w:r>
      <w:r>
        <w:rPr>
          <w:rFonts w:ascii="Arial" w:cs="Arial" w:eastAsia="Arial" w:hAnsi="Arial"/>
          <w:sz w:val="16"/>
          <w:szCs w:val="16"/>
          <w:color w:val="auto"/>
        </w:rPr>
        <w:t>. The Floating Rate Loans we invest in are usually rated below investment grade or may also be unrated. Investments in 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2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 w:lineRule="exact"/>
        <w:rPr>
          <w:rFonts w:ascii="Arial" w:cs="Arial" w:eastAsia="Arial" w:hAnsi="Arial"/>
          <w:sz w:val="16"/>
          <w:szCs w:val="16"/>
          <w:color w:val="auto"/>
        </w:rPr>
      </w:pPr>
    </w:p>
    <w:p>
      <w:pPr>
        <w:ind w:left="900" w:right="440" w:hanging="446"/>
        <w:spacing w:after="0" w:line="32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18"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Floating Rate Loan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1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37"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1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any offering of our securities in ways with which you may not agree.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may trade above and below our net asset value, or NAV. Our shares traded on the NASDAQ Global Select Market at $10.55 and $11.75 as of September 30, 2011 and March 31, 2012, respectively. Our NAV was $13.44 and $14.12 as of September 30, 2011 and March 31,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5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taxes in excess of the cash they receive.</w:t>
      </w:r>
    </w:p>
    <w:p>
      <w:pPr>
        <w:spacing w:after="0" w:line="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22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188"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and other rules implemented by the SEC and the listing standards of the NASDAQ.</w:t>
      </w:r>
    </w:p>
    <w:p>
      <w:pPr>
        <w:spacing w:after="0" w:line="21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March 31, 2012, we had $47.8 million in borrowings outstanding under our $100.0 million Credit Facility. Borrowings under our Credit Facility bear interest at a commercial paper rate that approximates LIBOR plus 225 basis points per annum for the first three years, or the revolving period, and the rate resets to LIBOR plus 425 basis points for the remaining two years. At March 31, 2012, the interest rate at that time was 2.54%. The Credit Facility is a revolving facility with a stated maturity date of June 23, 2016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six months ended March 31, 2012 are derived from our unaudited Consolidated Financial Statements. The selected financial data for the period from March 4, 2011 (commencement of operations) through September 30, 2011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2"/>
                <w:szCs w:val="12"/>
                <w:color w:val="auto"/>
              </w:rPr>
            </w:pPr>
          </w:p>
        </w:tc>
        <w:tc>
          <w:tcPr>
            <w:tcW w:w="2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61"/>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760" w:type="dxa"/>
            <w:vAlign w:val="bottom"/>
          </w:tcPr>
          <w:p>
            <w:pPr>
              <w:spacing w:after="0"/>
              <w:rPr>
                <w:sz w:val="14"/>
                <w:szCs w:val="14"/>
                <w:color w:val="auto"/>
              </w:rPr>
            </w:pPr>
          </w:p>
        </w:tc>
        <w:tc>
          <w:tcPr>
            <w:tcW w:w="192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94"/>
              </w:rPr>
              <w:t>March 31, 2012</w:t>
            </w:r>
          </w:p>
        </w:tc>
        <w:tc>
          <w:tcPr>
            <w:tcW w:w="720" w:type="dxa"/>
            <w:vAlign w:val="bottom"/>
          </w:tcPr>
          <w:p>
            <w:pPr>
              <w:spacing w:after="0"/>
              <w:rPr>
                <w:sz w:val="14"/>
                <w:szCs w:val="14"/>
                <w:color w:val="auto"/>
              </w:rPr>
            </w:pPr>
          </w:p>
        </w:tc>
        <w:tc>
          <w:tcPr>
            <w:tcW w:w="2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through September 30, 2011</w:t>
            </w:r>
          </w:p>
        </w:tc>
        <w:tc>
          <w:tcPr>
            <w:tcW w:w="0" w:type="dxa"/>
            <w:vAlign w:val="bottom"/>
          </w:tcPr>
          <w:p>
            <w:pPr>
              <w:spacing w:after="0"/>
              <w:rPr>
                <w:sz w:val="1"/>
                <w:szCs w:val="1"/>
                <w:color w:val="auto"/>
              </w:rPr>
            </w:pPr>
          </w:p>
        </w:tc>
      </w:tr>
      <w:tr>
        <w:trPr>
          <w:trHeight w:val="155"/>
        </w:trPr>
        <w:tc>
          <w:tcPr>
            <w:tcW w:w="598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5,411</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before debt issuance costs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2,491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investment income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2,920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4,710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7,630</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asset value (at period end)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14.12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0.43</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0.69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0.44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 of Assets and Liabilities data (at period end):</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151,174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121,075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146,188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(4)</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47,561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24,650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5,102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net asset value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96,722</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92,072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(5)</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15.75%</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(6)</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(6)</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8.6%</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Included start-up and organizational costs. Total expenses after debt issuance costs are $2,626.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Q2</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8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2,944</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1,375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1,730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4,525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3,105</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14.12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13.68</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10.30</w:t>
            </w:r>
          </w:p>
        </w:tc>
      </w:tr>
      <w:tr>
        <w:trPr>
          <w:trHeight w:val="365"/>
        </w:trPr>
        <w:tc>
          <w:tcPr>
            <w:tcW w:w="8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Q4</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r>
      <w:tr>
        <w:trPr>
          <w:trHeight w:val="210"/>
        </w:trPr>
        <w:tc>
          <w:tcPr>
            <w:tcW w:w="8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(4,012)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(2,809)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(0.10)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14.06</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10.55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From March 4, 2011 (commencement of operations) through March 31, 2011, there was only a seed capital investment.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range between $1 million and $10 million, on average, although we expect that this investment size will vary proportionately with the size of our capital base.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RIC under the Code.</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table on page 6 of this prospectus rather than as a percentage of total assets. Total assets include assets that have been funded with borrowed money (leverage). For reference, the table below illustrates our estimated “Total Annual Expenses” as a percentage of average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0.22%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1.01%</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1.50%</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3.73%</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 —Investment Management Agreement” for more information.</w:t>
      </w:r>
    </w:p>
    <w:p>
      <w:pPr>
        <w:spacing w:after="0" w:line="50" w:lineRule="exact"/>
        <w:rPr>
          <w:rFonts w:ascii="Arial" w:cs="Arial" w:eastAsia="Arial" w:hAnsi="Arial"/>
          <w:sz w:val="18"/>
          <w:szCs w:val="18"/>
          <w:color w:val="auto"/>
        </w:rPr>
      </w:pPr>
    </w:p>
    <w:p>
      <w:pPr>
        <w:ind w:left="460" w:right="40" w:hanging="452"/>
        <w:spacing w:after="0" w:line="28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2012,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gains incentive fees. As of March 31, 2012, our unrealized capital gains exceeded our cumulative realized and unrealized capital losses and we accrued a capital gains incentive fee of $0.1 million in accordance with GAAP. However, “Incentive fees payable under the Investment Management Agreement” includes an accrual for capital gains incentive fee for the three months ended March 31, 2012 even though no capital gains incentive fee was payable under our Investment Management Agreement as of March 31, 2012, and we cannot assure you that we will recognize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capital gains for the calendar year ending December 31, 2012 in amounts consistent with the accrual for the same period. For more detailed information about the incentive fee, please see “Certain Relationships and Transactions—Investment Management Agreement” for more information.</w:t>
      </w:r>
    </w:p>
    <w:p>
      <w:pPr>
        <w:spacing w:after="0" w:line="4" w:lineRule="exact"/>
        <w:rPr>
          <w:sz w:val="20"/>
          <w:szCs w:val="20"/>
          <w:color w:val="auto"/>
        </w:rPr>
      </w:pPr>
    </w:p>
    <w:p>
      <w:pPr>
        <w:ind w:left="460" w:hanging="452"/>
        <w:spacing w:after="0" w:line="29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As of March 31, 2012, we had $47.8 million in borrowings outstanding under our $100.0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9"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2012. See the Consolidated Statement of Operations in our Consolidated Financial Statements.</w:t>
      </w:r>
    </w:p>
    <w:p>
      <w:pPr>
        <w:spacing w:after="0" w:line="62"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March 31, 2012.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2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To the extent we invest in derivative instruments in the future, such instruments would be valued at fair value in accordance with our valuation policy.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5"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to our Consolidated Financial Statements.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accordance with Accounting Standards Update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Asset Category</w:t>
            </w:r>
          </w:p>
        </w:tc>
        <w:tc>
          <w:tcPr>
            <w:tcW w:w="232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6"/>
              </w:rPr>
              <w:t>Range of</w:t>
            </w: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11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Fair Value</w:t>
            </w:r>
          </w:p>
        </w:tc>
        <w:tc>
          <w:tcPr>
            <w:tcW w:w="214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Valuation Techniques</w:t>
            </w:r>
          </w:p>
        </w:tc>
        <w:tc>
          <w:tcPr>
            <w:tcW w:w="2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8"/>
              </w:rPr>
              <w:t>Unobservable Inputs</w:t>
            </w: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Values/Input</w:t>
            </w:r>
          </w:p>
        </w:tc>
        <w:tc>
          <w:tcPr>
            <w:tcW w:w="0" w:type="dxa"/>
            <w:vAlign w:val="bottom"/>
          </w:tcPr>
          <w:p>
            <w:pPr>
              <w:spacing w:after="0"/>
              <w:rPr>
                <w:sz w:val="1"/>
                <w:szCs w:val="1"/>
                <w:color w:val="auto"/>
              </w:rPr>
            </w:pPr>
          </w:p>
        </w:tc>
      </w:tr>
      <w:tr>
        <w:trPr>
          <w:trHeight w:val="181"/>
        </w:trPr>
        <w:tc>
          <w:tcPr>
            <w:tcW w:w="512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 debt/corporate notes and</w:t>
            </w:r>
          </w:p>
        </w:tc>
        <w:tc>
          <w:tcPr>
            <w:tcW w:w="7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90%</w:t>
            </w:r>
          </w:p>
        </w:tc>
        <w:tc>
          <w:tcPr>
            <w:tcW w:w="4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Market approach</w:t>
            </w:r>
          </w:p>
        </w:tc>
        <w:tc>
          <w:tcPr>
            <w:tcW w:w="4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Broker/Dealer bids</w:t>
            </w:r>
          </w:p>
        </w:tc>
        <w:tc>
          <w:tcPr>
            <w:tcW w:w="4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1 - 9</w:t>
            </w:r>
          </w:p>
        </w:tc>
        <w:tc>
          <w:tcPr>
            <w:tcW w:w="0" w:type="dxa"/>
            <w:vAlign w:val="bottom"/>
          </w:tcPr>
          <w:p>
            <w:pPr>
              <w:spacing w:after="0"/>
              <w:rPr>
                <w:sz w:val="1"/>
                <w:szCs w:val="1"/>
                <w:color w:val="auto"/>
              </w:rPr>
            </w:pPr>
          </w:p>
        </w:tc>
      </w:tr>
      <w:tr>
        <w:trPr>
          <w:trHeight w:val="224"/>
        </w:trPr>
        <w:tc>
          <w:tcPr>
            <w:tcW w:w="51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preferred and common equity</w:t>
            </w: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120" w:type="dxa"/>
            <w:vAlign w:val="bottom"/>
            <w:gridSpan w:val="3"/>
          </w:tcPr>
          <w:p>
            <w:pPr>
              <w:spacing w:after="0"/>
              <w:rPr>
                <w:sz w:val="20"/>
                <w:szCs w:val="20"/>
                <w:color w:val="auto"/>
              </w:rPr>
            </w:pPr>
            <w:r>
              <w:rPr>
                <w:rFonts w:ascii="Arial" w:cs="Arial" w:eastAsia="Arial" w:hAnsi="Arial"/>
                <w:sz w:val="18"/>
                <w:szCs w:val="18"/>
                <w:color w:val="auto"/>
              </w:rPr>
              <w:t>First lien, second lien, subordinated debt/corporate notes and</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440" w:type="dxa"/>
            <w:vAlign w:val="bottom"/>
          </w:tcPr>
          <w:p>
            <w:pPr>
              <w:spacing w:after="0"/>
              <w:rPr>
                <w:sz w:val="18"/>
                <w:szCs w:val="18"/>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Market comparable /</w:t>
            </w:r>
          </w:p>
        </w:tc>
        <w:tc>
          <w:tcPr>
            <w:tcW w:w="200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EBITDA multiples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7.6x – 10.7x</w:t>
            </w:r>
          </w:p>
        </w:tc>
        <w:tc>
          <w:tcPr>
            <w:tcW w:w="0" w:type="dxa"/>
            <w:vAlign w:val="bottom"/>
          </w:tcPr>
          <w:p>
            <w:pPr>
              <w:spacing w:after="0"/>
              <w:rPr>
                <w:sz w:val="1"/>
                <w:szCs w:val="1"/>
                <w:color w:val="auto"/>
              </w:rPr>
            </w:pPr>
          </w:p>
        </w:tc>
      </w:tr>
      <w:tr>
        <w:trPr>
          <w:trHeight w:val="222"/>
        </w:trPr>
        <w:tc>
          <w:tcPr>
            <w:tcW w:w="5120" w:type="dxa"/>
            <w:vAlign w:val="bottom"/>
            <w:gridSpan w:val="3"/>
          </w:tcPr>
          <w:p>
            <w:pPr>
              <w:ind w:left="220"/>
              <w:spacing w:after="0"/>
              <w:rPr>
                <w:sz w:val="20"/>
                <w:szCs w:val="20"/>
                <w:color w:val="auto"/>
              </w:rPr>
            </w:pPr>
            <w:r>
              <w:rPr>
                <w:rFonts w:ascii="Arial" w:cs="Arial" w:eastAsia="Arial" w:hAnsi="Arial"/>
                <w:sz w:val="18"/>
                <w:szCs w:val="18"/>
                <w:color w:val="auto"/>
              </w:rPr>
              <w:t>preferred and common equity</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Enterprise value</w:t>
            </w: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Market comparable /</w:t>
            </w:r>
          </w:p>
        </w:tc>
        <w:tc>
          <w:tcPr>
            <w:tcW w:w="20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Discount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r>
        <w:trPr>
          <w:trHeight w:val="224"/>
        </w:trPr>
        <w:tc>
          <w:tcPr>
            <w:tcW w:w="1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7"/>
              </w:rPr>
              <w:t>Income approach</w:t>
            </w: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unrealized depreciation of $0.2 million and zero, respectively. We use one or more nationally recognized independent valuation services firm to measure the fair value of the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are capitalized, and we then amortize such amounts as interest income or expense as applicable. We record prepayment penalties on loans and debt investments as income. Dividend income, if any, is recognized on an accrual basis on the ex-dividend date to the extent that we expect to collect such amounts.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intend to elect to be taxed as a RIC under Subchapter M of the Code. In order to qualify as a RIC and not be subject to corporate-level tax on income,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March 31, 2012, our portfolio totaled $146.2 million and consisted of $126.3 million of senior secured loans, $7.1 million of second lien secured debt, $12.8 million of subordinated debt and preferred and common equity investments. Our portfolio consisted of 85% variable-rate investments (including 80% with a LIBOR or prime floor) and 15% fixed-rate investments. Overall, the portfolio had net unrealized depreciation of less than $0.1 million. Our overall portfolio consisted of 51 companies with an average investment size of $2.9 million, a weighted average yield on debt investments of 8.6%, and was invested 86% in senior secured loans, 5% in second lien secured debt and 9% in subordinated debt,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$110.7 million and consisted of $94.3 million of senior secured loans, $9.3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 weighted average yield on debt investments of 8.0%, and was invested 85% in senior secured loans, 9% in second lien secured debt and 6% in subordinated debt, preferred and common equity investments.</w:t>
      </w:r>
    </w:p>
    <w:p>
      <w:pPr>
        <w:spacing w:after="0" w:line="1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$72.2 million in 25 new portfolio companies and 2 existing portfolio companies with a weighted average yield on debt investments of 9.2%. Sales and repayments of investments for the six months ended March 31, 2012 totaled $41.6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Investment income for the three and six months ended March 31, 2012 was $2.9 million and $5.4 million, respectively, and was primarily attributable to $2.3 million and $4.3 million from senior secured loans, $0.3 million and $0.6 million from second lien secured debt investments and $0.3 million and $0.5 million from subordinated debt investments, respectively. We continue to find attractive investment opportunities and intend to continue to rotate out of lower yielding investments to higher yielding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Expenses for the three and six months ended March 31, 2012 totaled $1.4 million and $2.5 million, respectively. Base management fees for the same period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totaled $0.4 million and $0.7 million, performance-based incentive fees totaled $0.2 million and $0.2 million, Credit Facility expenses totaled $0.3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$0.6 million and general and administrative expenses totaled $0.5 million and $1.0 million, respectively. We expect our Credit Facility expenses and management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fees to continue to increase as a result of growth in our portfolio.</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Net investment income totaled $1.5 million and $2.9 million, or $0.23 and $0.43 per share, for the three and six months ended March 31, 2012,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Sales and repayments of investments for the three and six months ended March 31, 2012 totaled $19.3 million and $41.6 million and realized gains totaled $0.1 million and $0.4 million, respectively, due to sales and repayments of our debt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the three and six months ended March 31, 2012, we reported unrealized appreciation on investments of $3.0 million and $4.1 million, respectively. As of March 31, 2012 and September 30, 2011, net unrealized depreciation on investments totaled less than $0.1 million and $4.1 million, respectively.</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and six months ended March 31, 2012, our long-term Credit Facility had a change in unrealized (appreciation) depreciation of $(0.1) million and $0.2 million, respectively. As of March 31, 2012 and September 30, 2011, net unrealized depreciation on our long-term Credit Facility totaled $0.2 million and zero,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$4.5 million and $7.6 million, or $0.66 and $1.12 per share, respectively, for the three and six months ended March 31, 2012. This increase in net assets from operations was due to the continued growth in net investment income as a result of growth in our portfolio and appreciation on our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period from March 4, 2011 (commencement of operations) to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Investment income for the period March 4, 2011 (commencement of operations) to September 30, 2011, was $2.9 million, and was attributable to $2.4 million from senior secured loan investments, $0.4 million from second lien secured debt investments and $0.1 million from subordinated debt investments. We continue to deploy capital from our new Credit Facility to grow both our portfolio and investment income over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investment income totaled $0.3 million or $0.05 per share for the period March 4, 2011 (commencement of operations) to September 30,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Sales and repayments of long-term investments for the period March 4, 2011 (commencement of operations) to September 30, 2011 totaled $33.2 million and net realized gains totaled $0.3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on Investments and Credit Facility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Net unrealized depreciation on investments totaled $4.1 million for the period March 4, 2011 (commencement of operations) to September 30, 2011. There was no change in unrealized (appreciation) depreciation on credit facility for the same period. Credit market conditions have weakened and while lowering our net asset value could increase our risk adjusted returns on new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Net decrease in net assets resulting from operations totaled $3.5 million, or $0.51 per share for the period March 4, 2011 (commencement of operations) to September 30, 2011. The decrease in net assets is primarily the result of unrealized losses on our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liquidity and capital resources are derived from our initial public offering, Credit Facility, cash flows from operations, including investment sales and repayments, and income earned. Our primary use of funds from operations includes investments in portfolio companies and payments of dividends and operating expenses, including management fees. We have used, and expect to continue to use, our Credit Facility proceeds, the rotation of our portfolio and proceeds from public and private offerings of securities to finance our investment objectives.</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On June 23, 2011, we entered into the Credit Facility with affiliates of SunTrust Bank, or the Lender, an asset-backed commercial paper conduit administered by STRH. The Credit Facility allows us to borrow up to $100.0 million and contains an accordion feature whereby the Credit Facility can be expanded to $600.0 million,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subject to satisfaction of certain conditions. As of March 31, 2012 and September 30, 2011, we had $47.8 million and $24.7 million of outstanding borrowings under the Credit Facility, had an interest rate of 2.54% and 2.53%, excluding the 0.50% undrawn commitment fee.</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U.S. GAAP (for example, fair value, as defined under ASC 820, is not required to be used for assets or liabilities for such compliance reporting). For a complete list of such covenants, see our report on Form 8-K, filed June 29, 2011. As of March 31, 2012, we were in compliance with our covenants relating to our Credit Facility.</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raise equity or debt capital through both registered offerings and by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purposes.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At March 31, 2012, we had cash equivalents of $3.8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operating activities used cash of $23.3 million for the six months ended March 31, 2012, and our financing activities provided net cash proceeds of $20.2 million for the same period. Our operating activities used cash primarily for net investing that was provided from net draws under the Credit Facility.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September 30, 2011, we had cash equivalents of $7.0 million available for investing and general corporate purposes. We believe our liquidity and capital resources are sufficient to take advantage of market opportunities.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but not limited to, borrowings under our Credit Facility maturing in June 2016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0" w:type="dxa"/>
            <w:vAlign w:val="bottom"/>
            <w:gridSpan w:val="11"/>
          </w:tcPr>
          <w:p>
            <w:pPr>
              <w:ind w:left="60"/>
              <w:spacing w:after="0"/>
              <w:rPr>
                <w:sz w:val="20"/>
                <w:szCs w:val="20"/>
                <w:color w:val="auto"/>
              </w:rPr>
            </w:pPr>
            <w:r>
              <w:rPr>
                <w:rFonts w:ascii="Arial" w:cs="Arial" w:eastAsia="Arial" w:hAnsi="Arial"/>
                <w:sz w:val="14"/>
                <w:szCs w:val="14"/>
                <w:b w:val="1"/>
                <w:bCs w:val="1"/>
                <w:color w:val="auto"/>
              </w:rPr>
              <w:t>Payments due by period (in millions)</w:t>
            </w: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80" w:type="dxa"/>
            <w:vAlign w:val="bottom"/>
            <w:tcBorders>
              <w:top w:val="single" w:sz="8" w:color="auto"/>
            </w:tcBorders>
            <w:gridSpan w:val="2"/>
          </w:tcPr>
          <w:p>
            <w:pPr>
              <w:jc w:val="right"/>
              <w:ind w:right="19"/>
              <w:spacing w:after="0" w:line="129" w:lineRule="exact"/>
              <w:rPr>
                <w:sz w:val="20"/>
                <w:szCs w:val="20"/>
                <w:color w:val="auto"/>
              </w:rPr>
            </w:pPr>
            <w:r>
              <w:rPr>
                <w:rFonts w:ascii="Arial" w:cs="Arial" w:eastAsia="Arial" w:hAnsi="Arial"/>
                <w:sz w:val="14"/>
                <w:szCs w:val="14"/>
                <w:b w:val="1"/>
                <w:bCs w:val="1"/>
                <w:color w:val="auto"/>
              </w:rPr>
              <w:t>1-3</w:t>
            </w:r>
          </w:p>
        </w:tc>
        <w:tc>
          <w:tcPr>
            <w:tcW w:w="600" w:type="dxa"/>
            <w:vAlign w:val="bottom"/>
            <w:tcBorders>
              <w:top w:val="single" w:sz="8" w:color="auto"/>
            </w:tcBorders>
            <w:gridSpan w:val="2"/>
          </w:tcPr>
          <w:p>
            <w:pPr>
              <w:jc w:val="center"/>
              <w:ind w:left="102"/>
              <w:spacing w:after="0" w:line="129" w:lineRule="exact"/>
              <w:rPr>
                <w:sz w:val="20"/>
                <w:szCs w:val="20"/>
                <w:color w:val="auto"/>
              </w:rPr>
            </w:pPr>
            <w:r>
              <w:rPr>
                <w:rFonts w:ascii="Arial" w:cs="Arial" w:eastAsia="Arial" w:hAnsi="Arial"/>
                <w:sz w:val="14"/>
                <w:szCs w:val="14"/>
                <w:b w:val="1"/>
                <w:bCs w:val="1"/>
                <w:color w:val="auto"/>
                <w:w w:val="88"/>
              </w:rPr>
              <w:t>3-5</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2"/>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50.0</w:t>
            </w:r>
          </w:p>
        </w:tc>
        <w:tc>
          <w:tcPr>
            <w:tcW w:w="3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center"/>
              <w:ind w:left="12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subordinated debt investments.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approved by the board of directors, including a majority of our independent directors, in March 2011, PennantPark Investment Advisers serves as our Investment Adviser in accordance with the terms of the Investment Management Agreement. Payments under our Investment Management Agreement in each reporting period are equal to: (1) a management fee equal to a percentage of the value of our gross assets and (2) an incentive fee based on our performance.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our Administration Agreement approved by the board of directors, including a majority of our independent directors, in March 2011,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six months ended March 31, 2012, we declared distributions of $0.225 and $0.435 per share, respectively, for total distributions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 million and $3.0 million, respectively. During the period March 4, 2011 (commencement of operations) to September 30, 2011, we declared to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of $ 0.25 per share for total distributions of $1.7 million. We monitor available net investment income to determine if a tax return of capital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for the fiscal year. To the extent our taxable earnings fall below the total amount of our distributions for any given fiscal year, a portion of those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may be deemed to be a tax return of capital to our common stockholders. Tax characteristics of all distributions will be reported to stockholders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1099-DIV after the end of the calendar year and in our periodic reports filed with the SEC.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 directors.</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subject to financial market risks, including changes in interest rates. As of March 31, 2012, our portfolio consisted of 85% variable-rate investments (including 80% with a LIBOR or prime floor) and 15% fixed-rate investments. The variable-rate loans are usually based on a floating LIBOR rate and typically have durations of three months after which they reset to current market interest rates. Variable-rate investments subject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 a floor generally reset by reference to the current market index after one to six months only if the index exceeds the floor. In regards to variable-rate instruments with a floor, we do not benefit from increases in interest rates until such rates exceed the floor and thereafter benefit from market rates above any such floor.</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Assuming that the most recent balance sheet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declining interest rates, our cost of funds would decrease,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March 31, 2012 and September 30, 2011. The information as of September 30,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3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3"/>
              </w:rPr>
              <w:t>Asset</w:t>
            </w: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940"/>
              <w:spacing w:after="0" w:line="135" w:lineRule="exact"/>
              <w:rPr>
                <w:sz w:val="20"/>
                <w:szCs w:val="20"/>
                <w:color w:val="auto"/>
              </w:rPr>
            </w:pPr>
            <w:r>
              <w:rPr>
                <w:rFonts w:ascii="Arial" w:cs="Arial" w:eastAsia="Arial" w:hAnsi="Arial"/>
                <w:sz w:val="14"/>
                <w:szCs w:val="14"/>
                <w:b w:val="1"/>
                <w:bCs w:val="1"/>
                <w:color w:val="auto"/>
                <w:w w:val="87"/>
              </w:rPr>
              <w:t>Coverage</w:t>
            </w:r>
          </w:p>
        </w:tc>
        <w:tc>
          <w:tcPr>
            <w:tcW w:w="1580" w:type="dxa"/>
            <w:vAlign w:val="bottom"/>
            <w:gridSpan w:val="2"/>
          </w:tcPr>
          <w:p>
            <w:pPr>
              <w:jc w:val="right"/>
              <w:ind w:right="88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Total Amount</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94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58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88"/>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800" w:type="dxa"/>
            <w:vAlign w:val="bottom"/>
          </w:tcPr>
          <w:p>
            <w:pPr>
              <w:spacing w:after="0"/>
              <w:rPr>
                <w:sz w:val="15"/>
                <w:szCs w:val="15"/>
                <w:color w:val="auto"/>
              </w:rPr>
            </w:pPr>
          </w:p>
        </w:tc>
        <w:tc>
          <w:tcPr>
            <w:tcW w:w="940" w:type="dxa"/>
            <w:vAlign w:val="bottom"/>
            <w:gridSpan w:val="2"/>
          </w:tcPr>
          <w:p>
            <w:pPr>
              <w:jc w:val="right"/>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860" w:type="dxa"/>
            <w:vAlign w:val="bottom"/>
          </w:tcPr>
          <w:p>
            <w:pPr>
              <w:spacing w:after="0"/>
              <w:rPr>
                <w:sz w:val="15"/>
                <w:szCs w:val="15"/>
                <w:color w:val="auto"/>
              </w:rPr>
            </w:pPr>
          </w:p>
        </w:tc>
        <w:tc>
          <w:tcPr>
            <w:tcW w:w="166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9"/>
              </w:rPr>
              <w:t>(unaudited)</w:t>
            </w:r>
          </w:p>
        </w:tc>
        <w:tc>
          <w:tcPr>
            <w:tcW w:w="1580" w:type="dxa"/>
            <w:vAlign w:val="bottom"/>
            <w:gridSpan w:val="2"/>
          </w:tcPr>
          <w:p>
            <w:pPr>
              <w:jc w:val="right"/>
              <w:ind w:right="900"/>
              <w:spacing w:after="0" w:line="162" w:lineRule="exact"/>
              <w:rPr>
                <w:sz w:val="20"/>
                <w:szCs w:val="20"/>
                <w:color w:val="auto"/>
              </w:rPr>
            </w:pPr>
            <w:r>
              <w:rPr>
                <w:rFonts w:ascii="Arial" w:cs="Arial" w:eastAsia="Arial" w:hAnsi="Arial"/>
                <w:sz w:val="12"/>
                <w:szCs w:val="12"/>
                <w:b w:val="1"/>
                <w:bCs w:val="1"/>
                <w:color w:val="auto"/>
              </w:rPr>
              <w:t xml:space="preserve">Per Unit </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 xml:space="preserve">Unit </w:t>
            </w:r>
            <w:r>
              <w:rPr>
                <w:rFonts w:ascii="Arial" w:cs="Arial" w:eastAsia="Arial" w:hAnsi="Arial"/>
                <w:sz w:val="18"/>
                <w:szCs w:val="18"/>
                <w:b w:val="1"/>
                <w:bCs w:val="1"/>
                <w:color w:val="auto"/>
                <w:vertAlign w:val="superscript"/>
              </w:rPr>
              <w:t>(4)</w:t>
            </w:r>
          </w:p>
        </w:tc>
      </w:tr>
      <w:tr>
        <w:trPr>
          <w:trHeight w:val="190"/>
        </w:trPr>
        <w:tc>
          <w:tcPr>
            <w:tcW w:w="4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Fiscal 2012 (as of March 31, 2012)</w:t>
            </w:r>
          </w:p>
        </w:tc>
        <w:tc>
          <w:tcPr>
            <w:tcW w:w="280" w:type="dxa"/>
            <w:vAlign w:val="bottom"/>
          </w:tcPr>
          <w:p>
            <w:pPr>
              <w:jc w:val="right"/>
              <w:ind w:right="10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47,800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3,018</w:t>
            </w:r>
          </w:p>
        </w:tc>
        <w:tc>
          <w:tcPr>
            <w:tcW w:w="840" w:type="dxa"/>
            <w:vAlign w:val="bottom"/>
          </w:tcPr>
          <w:p>
            <w:pPr>
              <w:spacing w:after="0"/>
              <w:rPr>
                <w:sz w:val="18"/>
                <w:szCs w:val="18"/>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 (as of September 30, 2011)</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c>
          <w:tcPr>
            <w:tcW w:w="8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OBLIGATIONS AND INDEBTEDNESS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initial public offering of our common stock, the Investment Adviser paid to the underwriters 2% of the sales load, or $2.1 million in the aggregate.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common stock is traded on the NASDAQ Global Select Market under the symbol “PFLT.” The following table lists the high and low closing sale price for our common stock, the closing sale price as a percentage of NAV, and quarterly dividends per share since shares of our common stock began being regularly quoted on the NASDAQ Global Select Market. On July 24, 2012, the last reported closing price of our common stock was $12.14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2"/>
              </w:rPr>
              <w:t>Closing Sales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3"/>
              </w:rPr>
              <w:t>Discount of</w:t>
            </w:r>
          </w:p>
        </w:tc>
        <w:tc>
          <w:tcPr>
            <w:tcW w:w="980" w:type="dxa"/>
            <w:vAlign w:val="bottom"/>
          </w:tcPr>
          <w:p>
            <w:pPr>
              <w:jc w:val="center"/>
              <w:ind w:right="241"/>
              <w:spacing w:after="0"/>
              <w:rPr>
                <w:sz w:val="20"/>
                <w:szCs w:val="20"/>
                <w:color w:val="auto"/>
              </w:rPr>
            </w:pPr>
            <w:r>
              <w:rPr>
                <w:rFonts w:ascii="Arial" w:cs="Arial" w:eastAsia="Arial" w:hAnsi="Arial"/>
                <w:sz w:val="14"/>
                <w:szCs w:val="14"/>
                <w:b w:val="1"/>
                <w:bCs w:val="1"/>
                <w:color w:val="auto"/>
                <w:w w:val="85"/>
              </w:rPr>
              <w:t>Discount of</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116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High Sales</w:t>
            </w:r>
          </w:p>
        </w:tc>
        <w:tc>
          <w:tcPr>
            <w:tcW w:w="980" w:type="dxa"/>
            <w:vAlign w:val="bottom"/>
            <w:vMerge w:val="restart"/>
          </w:tcPr>
          <w:p>
            <w:pPr>
              <w:jc w:val="center"/>
              <w:ind w:right="241"/>
              <w:spacing w:after="0" w:line="149" w:lineRule="exact"/>
              <w:rPr>
                <w:sz w:val="20"/>
                <w:szCs w:val="20"/>
                <w:color w:val="auto"/>
              </w:rPr>
            </w:pPr>
            <w:r>
              <w:rPr>
                <w:rFonts w:ascii="Arial" w:cs="Arial" w:eastAsia="Arial" w:hAnsi="Arial"/>
                <w:sz w:val="14"/>
                <w:szCs w:val="14"/>
                <w:b w:val="1"/>
                <w:bCs w:val="1"/>
                <w:color w:val="auto"/>
                <w:w w:val="84"/>
              </w:rPr>
              <w:t>Low Sales</w:t>
            </w: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480"/>
              <w:spacing w:after="0" w:line="135" w:lineRule="exact"/>
              <w:rPr>
                <w:sz w:val="20"/>
                <w:szCs w:val="20"/>
                <w:color w:val="auto"/>
              </w:rPr>
            </w:pPr>
            <w:r>
              <w:rPr>
                <w:rFonts w:ascii="Arial" w:cs="Arial" w:eastAsia="Arial" w:hAnsi="Arial"/>
                <w:sz w:val="14"/>
                <w:szCs w:val="14"/>
                <w:b w:val="1"/>
                <w:bCs w:val="1"/>
                <w:color w:val="auto"/>
                <w:w w:val="85"/>
              </w:rPr>
              <w:t>Price to</w:t>
            </w:r>
          </w:p>
        </w:tc>
        <w:tc>
          <w:tcPr>
            <w:tcW w:w="980" w:type="dxa"/>
            <w:vAlign w:val="bottom"/>
            <w:vMerge w:val="restart"/>
          </w:tcPr>
          <w:p>
            <w:pPr>
              <w:jc w:val="center"/>
              <w:ind w:right="261"/>
              <w:spacing w:after="0" w:line="135" w:lineRule="exact"/>
              <w:rPr>
                <w:sz w:val="20"/>
                <w:szCs w:val="20"/>
                <w:color w:val="auto"/>
              </w:rPr>
            </w:pPr>
            <w:r>
              <w:rPr>
                <w:rFonts w:ascii="Arial" w:cs="Arial" w:eastAsia="Arial" w:hAnsi="Arial"/>
                <w:sz w:val="14"/>
                <w:szCs w:val="14"/>
                <w:b w:val="1"/>
                <w:bCs w:val="1"/>
                <w:color w:val="auto"/>
                <w:w w:val="85"/>
              </w:rPr>
              <w:t>Price to</w:t>
            </w:r>
          </w:p>
        </w:tc>
        <w:tc>
          <w:tcPr>
            <w:tcW w:w="920" w:type="dxa"/>
            <w:vAlign w:val="bottom"/>
            <w:gridSpan w:val="2"/>
            <w:vMerge w:val="restart"/>
          </w:tcPr>
          <w:p>
            <w:pPr>
              <w:jc w:val="right"/>
              <w:ind w:right="200"/>
              <w:spacing w:after="0" w:line="13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vMerge w:val="restart"/>
          </w:tcPr>
          <w:p>
            <w:pPr>
              <w:jc w:val="right"/>
              <w:ind w:right="335"/>
              <w:spacing w:after="0" w:line="197" w:lineRule="exact"/>
              <w:rPr>
                <w:sz w:val="20"/>
                <w:szCs w:val="20"/>
                <w:color w:val="auto"/>
              </w:rPr>
            </w:pPr>
            <w:r>
              <w:rPr>
                <w:rFonts w:ascii="Arial" w:cs="Arial" w:eastAsia="Arial" w:hAnsi="Arial"/>
                <w:sz w:val="14"/>
                <w:szCs w:val="14"/>
                <w:b w:val="1"/>
                <w:bCs w:val="1"/>
                <w:color w:val="auto"/>
                <w:w w:val="84"/>
              </w:rPr>
              <w:t>NAV</w:t>
            </w:r>
            <w:r>
              <w:rPr>
                <w:rFonts w:ascii="Arial" w:cs="Arial" w:eastAsia="Arial" w:hAnsi="Arial"/>
                <w:sz w:val="22"/>
                <w:szCs w:val="22"/>
                <w:b w:val="1"/>
                <w:bCs w:val="1"/>
                <w:color w:val="auto"/>
                <w:w w:val="84"/>
                <w:vertAlign w:val="superscript"/>
              </w:rPr>
              <w:t>(1)</w:t>
            </w:r>
          </w:p>
        </w:tc>
        <w:tc>
          <w:tcPr>
            <w:tcW w:w="4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840" w:type="dxa"/>
            <w:vAlign w:val="bottom"/>
            <w:vMerge w:val="continue"/>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High</w:t>
            </w:r>
          </w:p>
        </w:tc>
        <w:tc>
          <w:tcPr>
            <w:tcW w:w="1220" w:type="dxa"/>
            <w:vAlign w:val="bottom"/>
            <w:gridSpan w:val="2"/>
          </w:tcPr>
          <w:p>
            <w:pPr>
              <w:ind w:left="480"/>
              <w:spacing w:after="0"/>
              <w:rPr>
                <w:sz w:val="20"/>
                <w:szCs w:val="20"/>
                <w:color w:val="auto"/>
              </w:rPr>
            </w:pPr>
            <w:r>
              <w:rPr>
                <w:rFonts w:ascii="Arial" w:cs="Arial" w:eastAsia="Arial" w:hAnsi="Arial"/>
                <w:sz w:val="14"/>
                <w:szCs w:val="14"/>
                <w:b w:val="1"/>
                <w:bCs w:val="1"/>
                <w:color w:val="auto"/>
              </w:rPr>
              <w:t>Low</w:t>
            </w:r>
          </w:p>
        </w:tc>
        <w:tc>
          <w:tcPr>
            <w:tcW w:w="1160" w:type="dxa"/>
            <w:vAlign w:val="bottom"/>
            <w:gridSpan w:val="2"/>
          </w:tcPr>
          <w:p>
            <w:pPr>
              <w:jc w:val="center"/>
              <w:ind w:right="480"/>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980" w:type="dxa"/>
            <w:vAlign w:val="bottom"/>
          </w:tcPr>
          <w:p>
            <w:pPr>
              <w:jc w:val="center"/>
              <w:ind w:right="261"/>
              <w:spacing w:after="0" w:line="176" w:lineRule="exact"/>
              <w:rPr>
                <w:sz w:val="20"/>
                <w:szCs w:val="20"/>
                <w:color w:val="auto"/>
              </w:rPr>
            </w:pPr>
            <w:r>
              <w:rPr>
                <w:rFonts w:ascii="Arial" w:cs="Arial" w:eastAsia="Arial" w:hAnsi="Arial"/>
                <w:sz w:val="13"/>
                <w:szCs w:val="13"/>
                <w:b w:val="1"/>
                <w:bCs w:val="1"/>
                <w:color w:val="auto"/>
                <w:w w:val="92"/>
              </w:rPr>
              <w:t xml:space="preserve">NAV </w:t>
            </w:r>
            <w:r>
              <w:rPr>
                <w:rFonts w:ascii="Arial" w:cs="Arial" w:eastAsia="Arial" w:hAnsi="Arial"/>
                <w:sz w:val="20"/>
                <w:szCs w:val="20"/>
                <w:b w:val="1"/>
                <w:bCs w:val="1"/>
                <w:color w:val="auto"/>
                <w:w w:val="92"/>
                <w:vertAlign w:val="superscript"/>
              </w:rPr>
              <w:t>(2)</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2012</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Fourth Fiscal Quarter (July 24, 2012)</w:t>
            </w:r>
          </w:p>
        </w:tc>
        <w:tc>
          <w:tcPr>
            <w:tcW w:w="840" w:type="dxa"/>
            <w:vAlign w:val="bottom"/>
          </w:tcPr>
          <w:p>
            <w:pPr>
              <w:jc w:val="right"/>
              <w:ind w:right="295"/>
              <w:spacing w:after="0"/>
              <w:rPr>
                <w:sz w:val="20"/>
                <w:szCs w:val="20"/>
                <w:color w:val="auto"/>
              </w:rPr>
            </w:pPr>
            <w:r>
              <w:rPr>
                <w:rFonts w:ascii="Arial" w:cs="Arial" w:eastAsia="Arial" w:hAnsi="Arial"/>
                <w:sz w:val="18"/>
                <w:szCs w:val="18"/>
                <w:color w:val="auto"/>
              </w:rPr>
              <w:t>N/A</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12.18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980" w:type="dxa"/>
            <w:vAlign w:val="bottom"/>
          </w:tcPr>
          <w:p>
            <w:pPr>
              <w:jc w:val="center"/>
              <w:ind w:left="101"/>
              <w:spacing w:after="0"/>
              <w:rPr>
                <w:sz w:val="20"/>
                <w:szCs w:val="20"/>
                <w:color w:val="auto"/>
              </w:rPr>
            </w:pPr>
            <w:r>
              <w:rPr>
                <w:rFonts w:ascii="Arial" w:cs="Arial" w:eastAsia="Arial" w:hAnsi="Arial"/>
                <w:sz w:val="18"/>
                <w:szCs w:val="18"/>
                <w:color w:val="auto"/>
                <w:w w:val="95"/>
              </w:rPr>
              <w:t>N/A%</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$ 0.080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Fiscal Quarter</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11.93</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11.46</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0.235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Second Fiscal Quarter</w:t>
            </w:r>
          </w:p>
        </w:tc>
        <w:tc>
          <w:tcPr>
            <w:tcW w:w="840" w:type="dxa"/>
            <w:vAlign w:val="bottom"/>
          </w:tcPr>
          <w:p>
            <w:pPr>
              <w:jc w:val="right"/>
              <w:ind w:right="295"/>
              <w:spacing w:after="0"/>
              <w:rPr>
                <w:sz w:val="20"/>
                <w:szCs w:val="20"/>
                <w:color w:val="auto"/>
              </w:rPr>
            </w:pPr>
            <w:r>
              <w:rPr>
                <w:rFonts w:ascii="Arial" w:cs="Arial" w:eastAsia="Arial" w:hAnsi="Arial"/>
                <w:sz w:val="18"/>
                <w:szCs w:val="18"/>
                <w:color w:val="auto"/>
                <w:w w:val="97"/>
              </w:rPr>
              <w:t>14.12</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12.10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10.52</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980" w:type="dxa"/>
            <w:vAlign w:val="bottom"/>
          </w:tcPr>
          <w:p>
            <w:pPr>
              <w:jc w:val="center"/>
              <w:ind w:left="81"/>
              <w:spacing w:after="0"/>
              <w:rPr>
                <w:sz w:val="20"/>
                <w:szCs w:val="20"/>
                <w:color w:val="auto"/>
              </w:rPr>
            </w:pPr>
            <w:r>
              <w:rPr>
                <w:rFonts w:ascii="Arial" w:cs="Arial" w:eastAsia="Arial" w:hAnsi="Arial"/>
                <w:sz w:val="18"/>
                <w:szCs w:val="18"/>
                <w:color w:val="auto"/>
                <w:w w:val="93"/>
              </w:rPr>
              <w:t>(25)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0.225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Fiscal Quarter</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7"/>
              </w:rPr>
              <w:t>13.68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11.03</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10.01</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w:t>
            </w:r>
          </w:p>
        </w:tc>
        <w:tc>
          <w:tcPr>
            <w:tcW w:w="980" w:type="dxa"/>
            <w:vAlign w:val="bottom"/>
            <w:shd w:val="clear" w:color="auto" w:fill="CCEEFF"/>
          </w:tcPr>
          <w:p>
            <w:pPr>
              <w:jc w:val="center"/>
              <w:ind w:left="81"/>
              <w:spacing w:after="0"/>
              <w:rPr>
                <w:sz w:val="20"/>
                <w:szCs w:val="20"/>
                <w:color w:val="auto"/>
              </w:rPr>
            </w:pPr>
            <w:r>
              <w:rPr>
                <w:rFonts w:ascii="Arial" w:cs="Arial" w:eastAsia="Arial" w:hAnsi="Arial"/>
                <w:sz w:val="18"/>
                <w:szCs w:val="18"/>
                <w:color w:val="auto"/>
                <w:w w:val="93"/>
              </w:rPr>
              <w:t>(27)</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0.210</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Fiscal Quarter</w:t>
            </w:r>
          </w:p>
        </w:tc>
        <w:tc>
          <w:tcPr>
            <w:tcW w:w="8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7"/>
              </w:rPr>
              <w:t>13.44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12.85</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10.34</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980" w:type="dxa"/>
            <w:vAlign w:val="bottom"/>
            <w:shd w:val="clear" w:color="auto" w:fill="CCEEFF"/>
          </w:tcPr>
          <w:p>
            <w:pPr>
              <w:jc w:val="center"/>
              <w:ind w:left="81"/>
              <w:spacing w:after="0"/>
              <w:rPr>
                <w:sz w:val="20"/>
                <w:szCs w:val="20"/>
                <w:color w:val="auto"/>
              </w:rPr>
            </w:pPr>
            <w:r>
              <w:rPr>
                <w:rFonts w:ascii="Arial" w:cs="Arial" w:eastAsia="Arial" w:hAnsi="Arial"/>
                <w:sz w:val="18"/>
                <w:szCs w:val="18"/>
                <w:color w:val="auto"/>
                <w:w w:val="93"/>
              </w:rPr>
              <w:t>(23)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Third Fiscal Quarter</w:t>
            </w:r>
            <w:r>
              <w:rPr>
                <w:rFonts w:ascii="Arial" w:cs="Arial" w:eastAsia="Arial" w:hAnsi="Arial"/>
                <w:sz w:val="11"/>
                <w:szCs w:val="11"/>
                <w:color w:val="auto"/>
              </w:rPr>
              <w:t>(4)</w:t>
            </w:r>
          </w:p>
        </w:tc>
        <w:tc>
          <w:tcPr>
            <w:tcW w:w="840" w:type="dxa"/>
            <w:vAlign w:val="bottom"/>
          </w:tcPr>
          <w:p>
            <w:pPr>
              <w:jc w:val="right"/>
              <w:ind w:right="295"/>
              <w:spacing w:after="0"/>
              <w:rPr>
                <w:sz w:val="20"/>
                <w:szCs w:val="20"/>
                <w:color w:val="auto"/>
              </w:rPr>
            </w:pPr>
            <w:r>
              <w:rPr>
                <w:rFonts w:ascii="Arial" w:cs="Arial" w:eastAsia="Arial" w:hAnsi="Arial"/>
                <w:sz w:val="18"/>
                <w:szCs w:val="18"/>
                <w:color w:val="auto"/>
                <w:w w:val="97"/>
              </w:rPr>
              <w:t>14.06</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13.70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12.27</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980" w:type="dxa"/>
            <w:vAlign w:val="bottom"/>
          </w:tcPr>
          <w:p>
            <w:pPr>
              <w:jc w:val="center"/>
              <w:ind w:left="81"/>
              <w:spacing w:after="0"/>
              <w:rPr>
                <w:sz w:val="20"/>
                <w:szCs w:val="20"/>
                <w:color w:val="auto"/>
              </w:rPr>
            </w:pPr>
            <w:r>
              <w:rPr>
                <w:rFonts w:ascii="Arial" w:cs="Arial" w:eastAsia="Arial" w:hAnsi="Arial"/>
                <w:sz w:val="18"/>
                <w:szCs w:val="18"/>
                <w:color w:val="auto"/>
                <w:w w:val="93"/>
              </w:rPr>
              <w:t>(13)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53"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Calculated as the discount (difference between NAV and relevant closing price) to the high or low closing sales price divided by the quarter end NAV.</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Dividend of $0.080 is payable on August 1, 2012 to stockholders of record as of July 20,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From April 9, 2011 (commencement of trading) to June 30, 2011.</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NAV that is attributable to those shares. Our shares have traded and may continue to trade below our NAV. Our shares traded on the NASDAQ Global Select Market at $11.75 and $10.55 as of March 31, 2012 and September 30, 2011, respectively. Our NAV was $14.12 and $13.44, as of March 31, 2012 and September 30, 2011, respectively. The possibility that our shares of common stock will trade at a discount from net asset value or at a premium that is unsustainable over the long term is separate and distinct from the risk that our net asset value will decrease. It is not possible to predict whether our shares will trade at, above or below net asset value in the future.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900" w:right="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premium to NAV per share.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6"/>
              </w:rPr>
              <w:t>Example 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2</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9"/>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1"/>
              </w:rPr>
              <w:t>5% Offering</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301"/>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3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9"/>
              </w:rPr>
              <w:t>Prior to Sale</w:t>
            </w:r>
          </w:p>
        </w:tc>
        <w:tc>
          <w:tcPr>
            <w:tcW w:w="80" w:type="dxa"/>
            <w:vAlign w:val="bottom"/>
          </w:tcPr>
          <w:p>
            <w:pPr>
              <w:spacing w:after="0"/>
              <w:rPr>
                <w:sz w:val="14"/>
                <w:szCs w:val="14"/>
                <w:color w:val="auto"/>
              </w:rPr>
            </w:pPr>
          </w:p>
        </w:tc>
        <w:tc>
          <w:tcPr>
            <w:tcW w:w="2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6"/>
              </w:rPr>
              <w:t>Below NAV</w:t>
            </w:r>
          </w:p>
        </w:tc>
        <w:tc>
          <w:tcPr>
            <w:tcW w:w="80" w:type="dxa"/>
            <w:vAlign w:val="bottom"/>
          </w:tcPr>
          <w:p>
            <w:pPr>
              <w:spacing w:after="0"/>
              <w:rPr>
                <w:sz w:val="14"/>
                <w:szCs w:val="14"/>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5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5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1,000,000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1,050,000</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NAV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9.98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5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8"/>
        </w:trPr>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5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363"/>
        </w:trPr>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Example 1</w:t>
            </w:r>
          </w:p>
        </w:tc>
        <w:tc>
          <w:tcPr>
            <w:tcW w:w="10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7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5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7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98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99,800</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99,100</w:t>
            </w:r>
          </w:p>
        </w:tc>
        <w:tc>
          <w:tcPr>
            <w:tcW w:w="30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96,700</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Total investment by stockholder A (assumed to be $10.00 per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100,000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100,000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8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Investment per share held by stockholder A (assumed to be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 on shares held prior to sale)</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880" w:type="dxa"/>
            <w:vAlign w:val="bottom"/>
          </w:tcPr>
          <w:p>
            <w:pPr>
              <w:ind w:left="440"/>
              <w:spacing w:after="0"/>
              <w:rPr>
                <w:sz w:val="20"/>
                <w:szCs w:val="20"/>
                <w:color w:val="auto"/>
              </w:rPr>
            </w:pPr>
            <w:r>
              <w:rPr>
                <w:rFonts w:ascii="Arial" w:cs="Arial" w:eastAsia="Arial" w:hAnsi="Arial"/>
                <w:sz w:val="18"/>
                <w:szCs w:val="18"/>
                <w:color w:val="auto"/>
                <w:w w:val="91"/>
              </w:rPr>
              <w:t>Dilution per share held by stockholder A (NAV per share less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(0.09)</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divided by investment per share)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16"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6"/>
              </w:rPr>
              <w:t>Example 2</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left="318"/>
              <w:spacing w:after="0"/>
              <w:rPr>
                <w:sz w:val="20"/>
                <w:szCs w:val="20"/>
                <w:color w:val="auto"/>
              </w:rPr>
            </w:pPr>
            <w:r>
              <w:rPr>
                <w:rFonts w:ascii="Arial" w:cs="Arial" w:eastAsia="Arial" w:hAnsi="Arial"/>
                <w:sz w:val="14"/>
                <w:szCs w:val="14"/>
                <w:b w:val="1"/>
                <w:bCs w:val="1"/>
                <w:color w:val="auto"/>
                <w:w w:val="86"/>
              </w:rPr>
              <w:t>Example 3</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jc w:val="center"/>
              <w:ind w:left="31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7"/>
              </w:rPr>
              <w:t>Prior to Sale</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9"/>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7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8"/>
              </w:rPr>
              <w:t>Following</w:t>
            </w:r>
          </w:p>
        </w:tc>
        <w:tc>
          <w:tcPr>
            <w:tcW w:w="48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w w:val="90"/>
              </w:rPr>
              <w:t>Below NAV</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3"/>
              </w:rPr>
              <w:t>Sale</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5.00 %</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10.00 %</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1,200,000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NAV per share</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46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0.05%</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19,340</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5,025</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16,940</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 NAV</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less total investment)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w w:val="95"/>
              </w:rPr>
              <w:t>Investment per share held by stockholder A</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9.52</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8.47</w:t>
            </w:r>
          </w:p>
        </w:tc>
        <w:tc>
          <w:tcPr>
            <w:tcW w:w="2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 per share held by stockholder A</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per share less investment per</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(0.07)</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760" w:type="dxa"/>
            <w:vAlign w:val="bottom"/>
          </w:tcPr>
          <w:p>
            <w:pPr>
              <w:ind w:left="440"/>
              <w:spacing w:after="0"/>
              <w:rPr>
                <w:sz w:val="20"/>
                <w:szCs w:val="20"/>
                <w:color w:val="auto"/>
              </w:rPr>
            </w:pPr>
            <w:r>
              <w:rPr>
                <w:rFonts w:ascii="Arial" w:cs="Arial" w:eastAsia="Arial" w:hAnsi="Arial"/>
                <w:sz w:val="18"/>
                <w:szCs w:val="18"/>
                <w:color w:val="auto"/>
              </w:rPr>
              <w:t>Percentage dilution to stockholder A</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660"/>
              <w:spacing w:after="0"/>
              <w:rPr>
                <w:sz w:val="20"/>
                <w:szCs w:val="20"/>
                <w:color w:val="auto"/>
              </w:rPr>
            </w:pPr>
            <w:r>
              <w:rPr>
                <w:rFonts w:ascii="Arial" w:cs="Arial" w:eastAsia="Arial" w:hAnsi="Arial"/>
                <w:sz w:val="18"/>
                <w:szCs w:val="18"/>
                <w:color w:val="auto"/>
              </w:rPr>
              <w:t>(dilution per share divided by</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4.10 %</w:t>
            </w:r>
          </w:p>
        </w:tc>
        <w:tc>
          <w:tcPr>
            <w:tcW w:w="80" w:type="dxa"/>
            <w:vAlign w:val="bottom"/>
          </w:tcPr>
          <w:p>
            <w:pPr>
              <w:spacing w:after="0"/>
              <w:rPr>
                <w:sz w:val="19"/>
                <w:szCs w:val="19"/>
                <w:color w:val="auto"/>
              </w:rPr>
            </w:pPr>
          </w:p>
        </w:tc>
        <w:tc>
          <w:tcPr>
            <w:tcW w:w="12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14.17 %</w:t>
            </w:r>
          </w:p>
        </w:tc>
        <w:tc>
          <w:tcPr>
            <w:tcW w:w="0" w:type="dxa"/>
            <w:vAlign w:val="bottom"/>
          </w:tcPr>
          <w:p>
            <w:pPr>
              <w:spacing w:after="0"/>
              <w:rPr>
                <w:sz w:val="1"/>
                <w:szCs w:val="1"/>
                <w:color w:val="auto"/>
              </w:rPr>
            </w:pPr>
          </w:p>
        </w:tc>
      </w:tr>
      <w:tr>
        <w:trPr>
          <w:trHeight w:val="365"/>
        </w:trPr>
        <w:tc>
          <w:tcPr>
            <w:tcW w:w="3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left="278"/>
              <w:spacing w:after="0"/>
              <w:rPr>
                <w:sz w:val="20"/>
                <w:szCs w:val="20"/>
                <w:color w:val="auto"/>
              </w:rPr>
            </w:pPr>
            <w:r>
              <w:rPr>
                <w:rFonts w:ascii="Arial" w:cs="Arial" w:eastAsia="Arial" w:hAnsi="Arial"/>
                <w:sz w:val="18"/>
                <w:szCs w:val="18"/>
                <w:color w:val="auto"/>
                <w:w w:val="89"/>
              </w:rPr>
              <w:t>57</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398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060" w:type="dxa"/>
            <w:vAlign w:val="bottom"/>
            <w:gridSpan w:val="2"/>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80" w:type="dxa"/>
            <w:vAlign w:val="bottom"/>
          </w:tcPr>
          <w:p>
            <w:pPr>
              <w:spacing w:after="0"/>
              <w:rPr>
                <w:sz w:val="14"/>
                <w:szCs w:val="14"/>
                <w:color w:val="auto"/>
              </w:rPr>
            </w:pPr>
          </w:p>
        </w:tc>
        <w:tc>
          <w:tcPr>
            <w:tcW w:w="7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Declared</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88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July 20,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August 1, 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2012</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July 2, 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May 22,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June 1, 2012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2012</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May 1, 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March 22,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April 1, 2012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20, 2012</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March 1,2012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January 20, 2012</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February 1, 2012</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January 3, 2012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November 21, 2011</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December 1, 2011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November 1, 2011</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October 3, 2011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22,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September 1, 2011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440"/>
              <w:spacing w:after="0"/>
              <w:rPr>
                <w:sz w:val="20"/>
                <w:szCs w:val="20"/>
                <w:color w:val="auto"/>
              </w:rPr>
            </w:pPr>
            <w:r>
              <w:rPr>
                <w:rFonts w:ascii="Arial" w:cs="Arial" w:eastAsia="Arial" w:hAnsi="Arial"/>
                <w:sz w:val="18"/>
                <w:szCs w:val="18"/>
                <w:color w:val="auto"/>
              </w:rPr>
              <w:t>July 22, 2011</w:t>
            </w:r>
          </w:p>
        </w:tc>
        <w:tc>
          <w:tcPr>
            <w:tcW w:w="3940" w:type="dxa"/>
            <w:vAlign w:val="bottom"/>
            <w:gridSpan w:val="3"/>
          </w:tcPr>
          <w:p>
            <w:pPr>
              <w:ind w:left="1880"/>
              <w:spacing w:after="0"/>
              <w:rPr>
                <w:sz w:val="20"/>
                <w:szCs w:val="20"/>
                <w:color w:val="auto"/>
              </w:rPr>
            </w:pPr>
            <w:r>
              <w:rPr>
                <w:rFonts w:ascii="Arial" w:cs="Arial" w:eastAsia="Arial" w:hAnsi="Arial"/>
                <w:sz w:val="18"/>
                <w:szCs w:val="18"/>
                <w:color w:val="auto"/>
              </w:rPr>
              <w:t>August 1, 2011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2011</w:t>
            </w:r>
          </w:p>
        </w:tc>
        <w:tc>
          <w:tcPr>
            <w:tcW w:w="3940" w:type="dxa"/>
            <w:vAlign w:val="bottom"/>
            <w:gridSpan w:val="3"/>
            <w:shd w:val="clear" w:color="auto" w:fill="CCEEFF"/>
          </w:tcPr>
          <w:p>
            <w:pPr>
              <w:ind w:left="1880"/>
              <w:spacing w:after="0"/>
              <w:rPr>
                <w:sz w:val="20"/>
                <w:szCs w:val="20"/>
                <w:color w:val="auto"/>
              </w:rPr>
            </w:pPr>
            <w:r>
              <w:rPr>
                <w:rFonts w:ascii="Arial" w:cs="Arial" w:eastAsia="Arial" w:hAnsi="Arial"/>
                <w:sz w:val="18"/>
                <w:szCs w:val="18"/>
                <w:color w:val="auto"/>
              </w:rPr>
              <w:t>July 1, 2011</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7 to our Consolidated Financial Statements as of September 30,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monthly distributions to our stockholders. Our monthly distributions, if any, are determined by our board of directors.</w:t>
      </w:r>
    </w:p>
    <w:p>
      <w:pPr>
        <w:spacing w:after="0" w:line="19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private middle-market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 loans” or “high yield” securities or “junk bonds” and are often higher risk compared to debt instruments that are rated above investment grade and have speculative characteristics. However, when compared to junk bonds and other non-investment grade debt, Floating Rate Loans typically have more robust capital-preserving qualities, such as reduced credit risk, and have historically had lower default rates than junk bonds. Floating Rate Loans are typically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The turmoil in the credit markets in recent years has adversely affected each of these factors and has resulted in a broad-based reduction in the demand for middle-market debt instruments. These conditions may present us with attractive investment opportunities, as we believe that there are many middle-market companies that need senior secured and mezzanine debt financing. We have used, and expect to continue to use, our Credit Facility, proceeds from the rotation of our portfolio and proceeds from public and private offerings of securities to finance our investment objectives.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Floating Rate Capital Ltd., a Maryland corporation organized on October 28, 2010, is a closed-end, externally managed, non-diversified investment company that has elected to be treated as BDC under the 1940 Act. In addition, for tax purposes we have elected to be treated, and intend to qualify annually, as a RIC under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utilize the investing experience and contacts of PennantPark Investment Advisers in developing an attractive and diversified portfolio. The senior investment professionals of the Investment Adviser have worked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$1.4 billion in debt and equity capital and has invested over $1.8 billion in 182 companies with over 100 different financial sponsors through its managed funds.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900" w:hanging="446"/>
        <w:spacing w:after="0" w:line="25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bonds.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come due in the next few years. We believe this supply of opportunities coupled with a lack of demand offers attractive risk-adjusted returns to investors.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60" w:right="2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Adviser has extensive experience in a wide variety of securities for leveraged companies throughout economic and market cycles.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firms,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a five-year, $100.0 million Credit Facility, which matures on June 23, 2016, with SunTrust Robinson Humphrey, Inc., or STRH. 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all of the assets held by Funding I, under which we had drawn $47.8 million outstanding with a weighted average interest rate of 2.54%, excluding the unused commitment fee of 0.50%, as of March 31, 2012.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60"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to structure an investment. We negotiate among these parties to agree on how our investment is structured relative to the other capital in the portfolio company’s capital structure.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5620" w:right="3140" w:hanging="5166"/>
        <w:spacing w:after="0" w:line="440" w:lineRule="auto"/>
        <w:tabs>
          <w:tab w:leader="none" w:pos="8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 67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360"/>
          </w:cols>
          <w:pgMar w:left="240" w:top="459" w:right="299" w:bottom="1440" w:gutter="0" w:footer="0" w:header="0"/>
        </w:sectPr>
      </w:pPr>
    </w:p>
    <w:p>
      <w:pPr>
        <w:spacing w:after="0" w:line="181" w:lineRule="exact"/>
        <w:rPr>
          <w:sz w:val="20"/>
          <w:szCs w:val="20"/>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Consumer Goods: 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Consumer Goods: Non-Durable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90" w:lineRule="exact"/>
        <w:rPr>
          <w:rFonts w:ascii="Arial" w:cs="Arial" w:eastAsia="Arial" w:hAnsi="Arial"/>
          <w:sz w:val="18"/>
          <w:szCs w:val="18"/>
          <w:color w:val="auto"/>
        </w:rPr>
      </w:pPr>
    </w:p>
    <w:p>
      <w:pPr>
        <w:ind w:left="1300" w:right="120" w:hanging="429"/>
        <w:spacing w:after="0" w:line="268" w:lineRule="auto"/>
        <w:tabs>
          <w:tab w:leader="none" w:pos="11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Retail Stores</w:t>
      </w:r>
    </w:p>
    <w:p>
      <w:pPr>
        <w:spacing w:after="0" w:line="90" w:lineRule="exact"/>
        <w:rPr>
          <w:rFonts w:ascii="Arial" w:cs="Arial" w:eastAsia="Arial" w:hAnsi="Arial"/>
          <w:sz w:val="18"/>
          <w:szCs w:val="18"/>
          <w:color w:val="auto"/>
        </w:rPr>
      </w:pPr>
    </w:p>
    <w:p>
      <w:pPr>
        <w:ind w:left="1140" w:hanging="269"/>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40"/>
          </w:cols>
          <w:pgMar w:left="240" w:top="459" w:right="29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20" w:type="dxa"/>
            <w:vAlign w:val="bottom"/>
            <w:vMerge w:val="restart"/>
          </w:tcPr>
          <w:p>
            <w:pPr>
              <w:spacing w:after="0"/>
              <w:rPr>
                <w:sz w:val="14"/>
                <w:szCs w:val="1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60" w:type="dxa"/>
            <w:vAlign w:val="bottom"/>
            <w:vMerge w:val="restart"/>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gridSpan w:val="2"/>
            <w:vMerge w:val="continue"/>
          </w:tcPr>
          <w:p>
            <w:pPr>
              <w:spacing w:after="0"/>
              <w:rPr>
                <w:sz w:val="12"/>
                <w:szCs w:val="12"/>
                <w:color w:val="auto"/>
              </w:rPr>
            </w:pPr>
          </w:p>
        </w:tc>
        <w:tc>
          <w:tcPr>
            <w:tcW w:w="3420" w:type="dxa"/>
            <w:vAlign w:val="bottom"/>
            <w:vMerge w:val="continue"/>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760" w:type="dxa"/>
            <w:vAlign w:val="bottom"/>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3260" w:type="dxa"/>
            <w:vAlign w:val="bottom"/>
            <w:vMerge w:val="continue"/>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Instant Web, Inc.</w:t>
            </w: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Ernest Health, Inc.</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3"/>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4%</w:t>
            </w:r>
          </w:p>
        </w:tc>
        <w:tc>
          <w:tcPr>
            <w:tcW w:w="4440" w:type="dxa"/>
            <w:vAlign w:val="bottom"/>
            <w:gridSpan w:val="3"/>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Mood Media Corporation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K2 Pure Solutions NoCal, L.P.</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Trusthouse Services Group, Inc.</w:t>
            </w: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Mood Media Corporation</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Trusthouse Services Group, Inc.</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Penton Media Inc.</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C.H.I. Overhead Doors, Inc.</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National Healing Corporation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600" w:type="dxa"/>
            <w:vAlign w:val="bottom"/>
            <w:gridSpan w:val="3"/>
          </w:tcPr>
          <w:p>
            <w:pPr>
              <w:spacing w:after="0"/>
              <w:rPr>
                <w:sz w:val="20"/>
                <w:szCs w:val="20"/>
                <w:color w:val="auto"/>
              </w:rPr>
            </w:pPr>
            <w:r>
              <w:rPr>
                <w:rFonts w:ascii="Arial" w:cs="Arial" w:eastAsia="Arial" w:hAnsi="Arial"/>
                <w:sz w:val="18"/>
                <w:szCs w:val="18"/>
                <w:color w:val="auto"/>
              </w:rPr>
              <w:t>Rocket Software, Inc.</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Triple Point Technology, Inc.</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Viamedia Services Corp.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Viamedia Services Corp.</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Yonkers Racing Corporation</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Yonkers Racing Corporation</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60" w:type="dxa"/>
            <w:vAlign w:val="bottom"/>
            <w:gridSpan w:val="2"/>
            <w:vMerge w:val="restart"/>
          </w:tcPr>
          <w:p>
            <w:pPr>
              <w:spacing w:after="0"/>
              <w:rPr>
                <w:sz w:val="24"/>
                <w:szCs w:val="24"/>
                <w:color w:val="auto"/>
              </w:rPr>
            </w:pPr>
          </w:p>
        </w:tc>
        <w:tc>
          <w:tcPr>
            <w:tcW w:w="13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March 31,</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0"/>
              </w:rPr>
              <w:t>Industry</w:t>
            </w:r>
          </w:p>
        </w:tc>
        <w:tc>
          <w:tcPr>
            <w:tcW w:w="3920" w:type="dxa"/>
            <w:vAlign w:val="bottom"/>
            <w:gridSpan w:val="2"/>
            <w:vMerge w:val="restart"/>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53"/>
        </w:trPr>
        <w:tc>
          <w:tcPr>
            <w:tcW w:w="540" w:type="dxa"/>
            <w:vAlign w:val="bottom"/>
            <w:tcBorders>
              <w:bottom w:val="single" w:sz="8" w:color="auto"/>
            </w:tcBorders>
            <w:vMerge w:val="continue"/>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760" w:type="dxa"/>
            <w:vAlign w:val="bottom"/>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6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4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3"/>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10%</w:t>
            </w:r>
          </w:p>
        </w:tc>
        <w:tc>
          <w:tcPr>
            <w:tcW w:w="4440" w:type="dxa"/>
            <w:vAlign w:val="bottom"/>
            <w:gridSpan w:val="3"/>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Beverage, Food and Tobacco</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Media: Advertising, Printing and Publishing</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46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76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Automotive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Accordingly, they may have obligations to investors in PennantPark Investment Corporation,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2012, our portfolio consisted of 51 companies and was invested 86% in senior secured loans, 5% in second lien secured debt and 9% in subordinated debt and preferred and common equity investments.</w:t>
      </w:r>
    </w:p>
    <w:p>
      <w:pPr>
        <w:spacing w:after="0" w:line="132" w:lineRule="exact"/>
        <w:rPr>
          <w:sz w:val="20"/>
          <w:szCs w:val="20"/>
          <w:color w:val="auto"/>
        </w:rPr>
      </w:pPr>
    </w:p>
    <w:p>
      <w:pPr>
        <w:jc w:val="center"/>
        <w:ind w:right="120"/>
        <w:spacing w:after="0" w:line="440" w:lineRule="auto"/>
        <w:rPr>
          <w:sz w:val="20"/>
          <w:szCs w:val="20"/>
          <w:color w:val="auto"/>
        </w:rPr>
      </w:pPr>
      <w:r>
        <w:rPr>
          <w:rFonts w:ascii="Arial" w:cs="Arial" w:eastAsia="Arial" w:hAnsi="Arial"/>
          <w:sz w:val="18"/>
          <w:szCs w:val="18"/>
          <w:color w:val="auto"/>
        </w:rPr>
        <w:t>As of March 31, 2012, there was no portfolio company in which we have made an investment that represents greater than 5% of our total assets. 70</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March 31, 2012.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or accretion. For additional information see our “Consolidated Schedule of Investments” in our Consolidated Financial Statements included elsewhere in this prospectus.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All of Funding I’s investments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20" w:type="dxa"/>
            <w:vAlign w:val="bottom"/>
          </w:tcPr>
          <w:p>
            <w:pPr>
              <w:spacing w:after="0"/>
              <w:rPr>
                <w:sz w:val="15"/>
                <w:szCs w:val="15"/>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5% or Less Owned</w:t>
            </w:r>
          </w:p>
        </w:tc>
        <w:tc>
          <w:tcPr>
            <w:tcW w:w="1720" w:type="dxa"/>
            <w:vAlign w:val="bottom"/>
            <w:tcBorders>
              <w:top w:val="single" w:sz="8" w:color="CCEEFF"/>
            </w:tcBorders>
            <w:shd w:val="clear" w:color="auto" w:fill="CCEEFF"/>
          </w:tcPr>
          <w:p>
            <w:pPr>
              <w:spacing w:after="0"/>
              <w:rPr>
                <w:sz w:val="10"/>
                <w:szCs w:val="10"/>
                <w:color w:val="auto"/>
              </w:rPr>
            </w:pPr>
          </w:p>
        </w:tc>
        <w:tc>
          <w:tcPr>
            <w:tcW w:w="35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Affinion Group Holdings,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Consumer Goods: Non-Durable</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Subordinated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 Connecticut Avenue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Norwalk, CT 06850</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Airvana Network Solutions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Telecommunications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 Alpha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Chelmsford, MA 01824</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Aspen Dental Management,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281 Sanders Creek Parkway</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East Syracuse, NY 13057</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91"/>
              </w:rPr>
              <w:t>Automotive</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Blue Coat Systems,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High Tech Industries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420 North Mary Ave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Sunnyvale, CA 94085</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 Overhead Doors,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6"/>
              </w:rPr>
              <w:t>Consumer Goods: Durable</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1485 Sunrise Drive</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Arthur, IL 61911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DCS Business Services,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Business Services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Livermore, CA 94551</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85"/>
              </w:rPr>
              <w:t>Subordinated Debt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DS Waters Of America,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Beverage, Food and Tobacco</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20" w:type="dxa"/>
            <w:vAlign w:val="bottom"/>
          </w:tcPr>
          <w:p>
            <w:pPr>
              <w:spacing w:after="0"/>
              <w:rPr>
                <w:sz w:val="15"/>
                <w:szCs w:val="15"/>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20" w:type="dxa"/>
            <w:vAlign w:val="bottom"/>
          </w:tcPr>
          <w:p>
            <w:pPr>
              <w:spacing w:after="0"/>
              <w:rPr>
                <w:sz w:val="3"/>
                <w:szCs w:val="3"/>
                <w:color w:val="auto"/>
              </w:rPr>
            </w:pPr>
          </w:p>
        </w:tc>
        <w:tc>
          <w:tcPr>
            <w:tcW w:w="352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Fundtech (US FT HOLDCO,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30 Montgomery St., Suite 501</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Jersey City, NJ 07302</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Global Tel*Link Corporation</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12021 Sunset Hills Road, Suite 100</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Reston, VA 20190</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Gundle/SLT Environmental,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Environmental Industries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Harmony Foods Corporation</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Beverage, Food and Tobacco</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2200 Delaware Avenue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Santa Cruz, CA 95060</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HMK Intermediate Holding LLC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9"/>
              </w:rPr>
              <w:t>Retail</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1000 South Oyster Bay Road</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Hicksville, NY 11801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IDQ Holdings,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91"/>
              </w:rPr>
              <w:t>Automotive</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2901 West Kingsley Road</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Garland, TX 75041</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Insight Global, Inc.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Business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4170 Ashford Dunwoody Road Suite 580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Atlanta, GA 30319</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Media: Advertising, Printing and Publishing</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7951 Powers Boulevard</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Chanhassen, MN 55317</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KIK Custom Products Inc.</w:t>
            </w:r>
          </w:p>
        </w:tc>
        <w:tc>
          <w:tcPr>
            <w:tcW w:w="1720" w:type="dxa"/>
            <w:vAlign w:val="bottom"/>
          </w:tcPr>
          <w:p>
            <w:pPr>
              <w:spacing w:after="0"/>
              <w:rPr>
                <w:sz w:val="17"/>
                <w:szCs w:val="17"/>
                <w:color w:val="auto"/>
              </w:rPr>
            </w:pPr>
          </w:p>
        </w:tc>
        <w:tc>
          <w:tcPr>
            <w:tcW w:w="394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Consumer Goods: Non-Durable</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101 Macintosh Boulevard</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Concord, ON L4K 4L5</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Lonestar Intermediate Super Holdings, LLC</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Consumer Services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Subordinated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648 Grassmere Park, Suite 300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Nasville, TN 37211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Medpace Intermediateco, Inc.</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Business Services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4620 Wesley Avenue</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Cincinnati, OH 45212</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Mood Media Corporation</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00"/>
              <w:spacing w:after="0" w:line="149"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Toronto, ON M2P 2C2</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MOSAID Technologies Incorporated</w:t>
            </w:r>
          </w:p>
        </w:tc>
        <w:tc>
          <w:tcPr>
            <w:tcW w:w="1720" w:type="dxa"/>
            <w:vAlign w:val="bottom"/>
          </w:tcPr>
          <w:p>
            <w:pPr>
              <w:spacing w:after="0"/>
              <w:rPr>
                <w:sz w:val="17"/>
                <w:szCs w:val="17"/>
                <w:color w:val="auto"/>
              </w:rPr>
            </w:pPr>
          </w:p>
        </w:tc>
        <w:tc>
          <w:tcPr>
            <w:tcW w:w="394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High Tech Industries</w:t>
            </w:r>
          </w:p>
        </w:tc>
        <w:tc>
          <w:tcPr>
            <w:tcW w:w="24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 Hines Road, Suite 203</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Ottawa, Ontario, Canada</w:t>
            </w:r>
          </w:p>
        </w:tc>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K2K 2X1</w:t>
            </w: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Wound Care (National Healing Corporation)</w:t>
            </w:r>
          </w:p>
        </w:tc>
        <w:tc>
          <w:tcPr>
            <w:tcW w:w="1720" w:type="dxa"/>
            <w:vAlign w:val="bottom"/>
            <w:shd w:val="clear" w:color="auto" w:fill="CCEEFF"/>
          </w:tcPr>
          <w:p>
            <w:pPr>
              <w:spacing w:after="0"/>
              <w:rPr>
                <w:sz w:val="11"/>
                <w:szCs w:val="11"/>
                <w:color w:val="auto"/>
              </w:rPr>
            </w:pPr>
          </w:p>
        </w:tc>
        <w:tc>
          <w:tcPr>
            <w:tcW w:w="394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4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4850 T-Rex Avenue, Suite 300</w:t>
            </w:r>
          </w:p>
        </w:tc>
        <w:tc>
          <w:tcPr>
            <w:tcW w:w="17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Boca Raton, FL 33431</w:t>
            </w:r>
          </w:p>
        </w:tc>
        <w:tc>
          <w:tcPr>
            <w:tcW w:w="17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800" w:type="dxa"/>
            <w:vAlign w:val="bottom"/>
          </w:tcPr>
          <w:p>
            <w:pPr>
              <w:spacing w:after="0"/>
              <w:rPr>
                <w:sz w:val="15"/>
                <w:szCs w:val="15"/>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34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1800" w:type="dxa"/>
            <w:vAlign w:val="bottom"/>
            <w:shd w:val="clear" w:color="auto" w:fill="CCEEFF"/>
          </w:tcPr>
          <w:p>
            <w:pPr>
              <w:spacing w:after="0"/>
              <w:rPr>
                <w:sz w:val="10"/>
                <w:szCs w:val="10"/>
                <w:color w:val="auto"/>
              </w:rPr>
            </w:pPr>
          </w:p>
        </w:tc>
        <w:tc>
          <w:tcPr>
            <w:tcW w:w="3900" w:type="dxa"/>
            <w:vAlign w:val="bottom"/>
            <w:gridSpan w:val="2"/>
            <w:shd w:val="clear" w:color="auto" w:fill="CCEEFF"/>
          </w:tcPr>
          <w:p>
            <w:pPr>
              <w:jc w:val="center"/>
              <w:ind w:right="420"/>
              <w:spacing w:after="0" w:line="122" w:lineRule="exact"/>
              <w:rPr>
                <w:sz w:val="20"/>
                <w:szCs w:val="20"/>
                <w:color w:val="auto"/>
              </w:rPr>
            </w:pPr>
            <w:r>
              <w:rPr>
                <w:rFonts w:ascii="Arial" w:cs="Arial" w:eastAsia="Arial" w:hAnsi="Arial"/>
                <w:sz w:val="14"/>
                <w:szCs w:val="14"/>
                <w:color w:val="auto"/>
                <w:w w:val="89"/>
              </w:rPr>
              <w:t>Media: Diversified and Production</w:t>
            </w:r>
          </w:p>
        </w:tc>
        <w:tc>
          <w:tcPr>
            <w:tcW w:w="2360" w:type="dxa"/>
            <w:vAlign w:val="bottom"/>
            <w:gridSpan w:val="2"/>
            <w:shd w:val="clear" w:color="auto" w:fill="CCEEFF"/>
          </w:tcPr>
          <w:p>
            <w:pPr>
              <w:jc w:val="center"/>
              <w:ind w:right="420"/>
              <w:spacing w:after="0" w:line="122"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18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Potter’s Holdings II, L.P.</w:t>
            </w:r>
          </w:p>
        </w:tc>
        <w:tc>
          <w:tcPr>
            <w:tcW w:w="1800" w:type="dxa"/>
            <w:vAlign w:val="bottom"/>
          </w:tcPr>
          <w:p>
            <w:pPr>
              <w:spacing w:after="0"/>
              <w:rPr>
                <w:sz w:val="17"/>
                <w:szCs w:val="17"/>
                <w:color w:val="auto"/>
              </w:rPr>
            </w:pPr>
          </w:p>
        </w:tc>
        <w:tc>
          <w:tcPr>
            <w:tcW w:w="390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Containers, Packaging and Glass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300 Lindenwood Drive</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Valleybrooke Corporate Center</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Malvern, PA 19355-1740</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Pro Mach, Inc.</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Capital Equipment</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6279 Tri-Ridge Boulevard Suite 410</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Loveland, OH 45140</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Renaissance Learning,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Media: Broadcasting and Subscription</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2911 Peach Street, PO Box 8036</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Wisconsin Rapids, WI</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54495-8036</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ROC Finance LLC and ROC Finance 1 Corp.</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Hotels, Gaming and Leisure</w:t>
            </w:r>
          </w:p>
        </w:tc>
        <w:tc>
          <w:tcPr>
            <w:tcW w:w="23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Maritus, 1086</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Woodward Avenue, Detroit, MI 48226</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Rocket Software,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High Tech Industries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Securus Technologies, Inc.</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Telecommunications</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14651 Dallas Parkway, Suite 600</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Dallas, TX 75254</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Sensus USA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Utilities: Water</w:t>
            </w:r>
          </w:p>
        </w:tc>
        <w:tc>
          <w:tcPr>
            <w:tcW w:w="236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Second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8609 Six Forks Road</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Raleigh, NC 27615</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5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Seven Seas Cruises</w:t>
            </w:r>
          </w:p>
        </w:tc>
        <w:tc>
          <w:tcPr>
            <w:tcW w:w="1800" w:type="dxa"/>
            <w:vAlign w:val="bottom"/>
            <w:shd w:val="clear" w:color="auto" w:fill="CCEEFF"/>
          </w:tcPr>
          <w:p>
            <w:pPr>
              <w:spacing w:after="0"/>
              <w:rPr>
                <w:sz w:val="10"/>
                <w:szCs w:val="10"/>
                <w:color w:val="auto"/>
              </w:rPr>
            </w:pPr>
          </w:p>
        </w:tc>
        <w:tc>
          <w:tcPr>
            <w:tcW w:w="3900" w:type="dxa"/>
            <w:vAlign w:val="bottom"/>
            <w:gridSpan w:val="2"/>
            <w:shd w:val="clear" w:color="auto" w:fill="CCEEFF"/>
          </w:tcPr>
          <w:p>
            <w:pPr>
              <w:jc w:val="center"/>
              <w:ind w:right="420"/>
              <w:spacing w:after="0" w:line="122" w:lineRule="exact"/>
              <w:rPr>
                <w:sz w:val="20"/>
                <w:szCs w:val="20"/>
                <w:color w:val="auto"/>
              </w:rPr>
            </w:pPr>
            <w:r>
              <w:rPr>
                <w:rFonts w:ascii="Arial" w:cs="Arial" w:eastAsia="Arial" w:hAnsi="Arial"/>
                <w:sz w:val="14"/>
                <w:szCs w:val="14"/>
                <w:color w:val="auto"/>
                <w:w w:val="88"/>
              </w:rPr>
              <w:t>Hotel, Gaming and Leisure</w:t>
            </w:r>
          </w:p>
        </w:tc>
        <w:tc>
          <w:tcPr>
            <w:tcW w:w="2360" w:type="dxa"/>
            <w:vAlign w:val="bottom"/>
            <w:gridSpan w:val="2"/>
            <w:shd w:val="clear" w:color="auto" w:fill="CCEEFF"/>
          </w:tcPr>
          <w:p>
            <w:pPr>
              <w:jc w:val="center"/>
              <w:ind w:right="400"/>
              <w:spacing w:after="0" w:line="122" w:lineRule="exact"/>
              <w:rPr>
                <w:sz w:val="20"/>
                <w:szCs w:val="20"/>
                <w:color w:val="auto"/>
              </w:rPr>
            </w:pPr>
            <w:r>
              <w:rPr>
                <w:rFonts w:ascii="Arial" w:cs="Arial" w:eastAsia="Arial" w:hAnsi="Arial"/>
                <w:sz w:val="14"/>
                <w:szCs w:val="14"/>
                <w:color w:val="auto"/>
                <w:w w:val="86"/>
              </w:rPr>
              <w:t>Second Lien Secured Debt</w:t>
            </w:r>
          </w:p>
        </w:tc>
        <w:tc>
          <w:tcPr>
            <w:tcW w:w="820" w:type="dxa"/>
            <w:vAlign w:val="bottom"/>
            <w:shd w:val="clear" w:color="auto" w:fill="CCEEFF"/>
          </w:tcPr>
          <w:p>
            <w:pPr>
              <w:jc w:val="right"/>
              <w:ind w:right="313"/>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R.L., 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1800" w:type="dxa"/>
            <w:vAlign w:val="bottom"/>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Miami, FL 33122</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Sotera Defense Solutions,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Aerospace and Defense</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McLean, VA 22102</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4365 Steiner Stret</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St. Bonifacius, MN 55375</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Tekelec Global,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5200 Paramount Parkway</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Common Equity</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Morrisville, NC 27560</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Terex Corporation</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Capital Equipment</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 Nyala Farm Road</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Westport, CT 06880</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Triple Point Technology, Inc.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High Tech Industries</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301 Riverside Avenue</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Westport, CT 06880</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800" w:type="dxa"/>
            <w:vAlign w:val="bottom"/>
            <w:shd w:val="clear" w:color="auto" w:fill="CCEEFF"/>
          </w:tcPr>
          <w:p>
            <w:pPr>
              <w:spacing w:after="0"/>
              <w:rPr>
                <w:sz w:val="11"/>
                <w:szCs w:val="11"/>
                <w:color w:val="auto"/>
              </w:rPr>
            </w:pP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4"/>
              </w:rPr>
              <w:t>Beverage, Food and Tobacco</w:t>
            </w:r>
          </w:p>
        </w:tc>
        <w:tc>
          <w:tcPr>
            <w:tcW w:w="23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Subordinated Debt</w:t>
            </w:r>
          </w:p>
        </w:tc>
        <w:tc>
          <w:tcPr>
            <w:tcW w:w="82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180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88"/>
              </w:rPr>
              <w:t>Preferred Equity</w:t>
            </w: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Charlotte, NC 28217</w:t>
            </w:r>
          </w:p>
        </w:tc>
        <w:tc>
          <w:tcPr>
            <w:tcW w:w="18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Unifrax I LLC</w:t>
            </w:r>
          </w:p>
        </w:tc>
        <w:tc>
          <w:tcPr>
            <w:tcW w:w="1800" w:type="dxa"/>
            <w:vAlign w:val="bottom"/>
          </w:tcPr>
          <w:p>
            <w:pPr>
              <w:spacing w:after="0"/>
              <w:rPr>
                <w:sz w:val="17"/>
                <w:szCs w:val="17"/>
                <w:color w:val="auto"/>
              </w:rPr>
            </w:pP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Capital Equipment</w:t>
            </w:r>
          </w:p>
        </w:tc>
        <w:tc>
          <w:tcPr>
            <w:tcW w:w="236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2351 Whirlpool Street,</w:t>
            </w:r>
          </w:p>
        </w:tc>
        <w:tc>
          <w:tcPr>
            <w:tcW w:w="1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Niagara Falls, NY 14305-2413</w:t>
            </w:r>
          </w:p>
        </w:tc>
        <w:tc>
          <w:tcPr>
            <w:tcW w:w="18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00" w:type="dxa"/>
            <w:vAlign w:val="bottom"/>
          </w:tcPr>
          <w:p>
            <w:pPr>
              <w:spacing w:after="0"/>
              <w:rPr>
                <w:sz w:val="15"/>
                <w:szCs w:val="15"/>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Type of Investment</w:t>
            </w:r>
          </w:p>
        </w:tc>
        <w:tc>
          <w:tcPr>
            <w:tcW w:w="8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 xml:space="preserve">Ownership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360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Consumer Services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w w:val="98"/>
              </w:rPr>
              <w:t>U.S. HealthWorks Holding Company, Inc.</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4"/>
              </w:rPr>
              <w:t>Healthcare and Pharmaceuticals</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25124 Springfield Ct., Suite 200,</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Valencia, CA 91355</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12647 Olive Boulevard</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St. Louis, MO 63141</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Vantage Specialties, Inc.</w:t>
            </w:r>
          </w:p>
        </w:tc>
        <w:tc>
          <w:tcPr>
            <w:tcW w:w="1700" w:type="dxa"/>
            <w:vAlign w:val="bottom"/>
          </w:tcPr>
          <w:p>
            <w:pPr>
              <w:spacing w:after="0"/>
              <w:rPr>
                <w:sz w:val="17"/>
                <w:szCs w:val="17"/>
                <w:color w:val="auto"/>
              </w:rPr>
            </w:pPr>
          </w:p>
        </w:tc>
        <w:tc>
          <w:tcPr>
            <w:tcW w:w="400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Chemicals, Plastic and Rubber</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3938 Porett Drive</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Gurnee, IL 60031</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Lexington, KY 40503</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3"/>
              </w:rPr>
              <w:t>Business Services</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W3 CO.</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Energy: Oil and Gas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11111 Wilcrest Green Drive, Suite 300</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77042</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Water Pik, Inc.</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Consumer Goods: Durable</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1730 East Prospect Road</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Fort Collins, CO 80553</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WCA Waste Corporation</w:t>
            </w:r>
          </w:p>
        </w:tc>
        <w:tc>
          <w:tcPr>
            <w:tcW w:w="1700" w:type="dxa"/>
            <w:vAlign w:val="bottom"/>
            <w:shd w:val="clear" w:color="auto" w:fill="CCEEFF"/>
          </w:tcPr>
          <w:p>
            <w:pPr>
              <w:spacing w:after="0"/>
              <w:rPr>
                <w:sz w:val="11"/>
                <w:szCs w:val="11"/>
                <w:color w:val="auto"/>
              </w:rPr>
            </w:pPr>
          </w:p>
        </w:tc>
        <w:tc>
          <w:tcPr>
            <w:tcW w:w="400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Environmental Industries</w:t>
            </w:r>
          </w:p>
        </w:tc>
        <w:tc>
          <w:tcPr>
            <w:tcW w:w="2360" w:type="dxa"/>
            <w:vAlign w:val="bottom"/>
            <w:gridSpan w:val="2"/>
            <w:shd w:val="clear" w:color="auto" w:fill="CCEEFF"/>
          </w:tcPr>
          <w:p>
            <w:pPr>
              <w:jc w:val="center"/>
              <w:ind w:right="380"/>
              <w:spacing w:after="0" w:line="138" w:lineRule="exact"/>
              <w:rPr>
                <w:sz w:val="20"/>
                <w:szCs w:val="20"/>
                <w:color w:val="auto"/>
              </w:rPr>
            </w:pPr>
            <w:r>
              <w:rPr>
                <w:rFonts w:ascii="Arial" w:cs="Arial" w:eastAsia="Arial" w:hAnsi="Arial"/>
                <w:sz w:val="14"/>
                <w:szCs w:val="14"/>
                <w:color w:val="auto"/>
                <w:w w:val="88"/>
              </w:rPr>
              <w:t>First Lien Secured Debt</w:t>
            </w:r>
          </w:p>
        </w:tc>
        <w:tc>
          <w:tcPr>
            <w:tcW w:w="82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1330 Post Oak Blvd, 30th Floor</w:t>
            </w:r>
          </w:p>
        </w:tc>
        <w:tc>
          <w:tcPr>
            <w:tcW w:w="1700" w:type="dxa"/>
            <w:vAlign w:val="bottom"/>
            <w:shd w:val="clear" w:color="auto" w:fill="CCEEFF"/>
          </w:tcPr>
          <w:p>
            <w:pPr>
              <w:spacing w:after="0"/>
              <w:rPr>
                <w:sz w:val="12"/>
                <w:szCs w:val="12"/>
                <w:color w:val="auto"/>
              </w:rPr>
            </w:pPr>
          </w:p>
        </w:tc>
        <w:tc>
          <w:tcPr>
            <w:tcW w:w="3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70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Yonkers Racing Corporation</w:t>
            </w:r>
          </w:p>
        </w:tc>
        <w:tc>
          <w:tcPr>
            <w:tcW w:w="1700" w:type="dxa"/>
            <w:vAlign w:val="bottom"/>
          </w:tcPr>
          <w:p>
            <w:pPr>
              <w:spacing w:after="0"/>
              <w:rPr>
                <w:sz w:val="17"/>
                <w:szCs w:val="17"/>
                <w:color w:val="auto"/>
              </w:rPr>
            </w:pPr>
          </w:p>
        </w:tc>
        <w:tc>
          <w:tcPr>
            <w:tcW w:w="400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Hotels, Gaming and Leisure</w:t>
            </w:r>
          </w:p>
        </w:tc>
        <w:tc>
          <w:tcPr>
            <w:tcW w:w="2360" w:type="dxa"/>
            <w:vAlign w:val="bottom"/>
            <w:gridSpan w:val="2"/>
          </w:tcPr>
          <w:p>
            <w:pPr>
              <w:jc w:val="center"/>
              <w:ind w:right="380"/>
              <w:spacing w:after="0"/>
              <w:rPr>
                <w:sz w:val="20"/>
                <w:szCs w:val="20"/>
                <w:color w:val="auto"/>
              </w:rPr>
            </w:pPr>
            <w:r>
              <w:rPr>
                <w:rFonts w:ascii="Arial" w:cs="Arial" w:eastAsia="Arial" w:hAnsi="Arial"/>
                <w:sz w:val="14"/>
                <w:szCs w:val="14"/>
                <w:color w:val="auto"/>
                <w:w w:val="88"/>
              </w:rPr>
              <w:t>First Lien Secured Debt</w:t>
            </w:r>
          </w:p>
        </w:tc>
        <w:tc>
          <w:tcPr>
            <w:tcW w:w="820" w:type="dxa"/>
            <w:vAlign w:val="bottom"/>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810 Yonkers Avenue</w:t>
            </w:r>
          </w:p>
        </w:tc>
        <w:tc>
          <w:tcPr>
            <w:tcW w:w="17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Yonkers, NY 10704</w:t>
            </w:r>
          </w:p>
        </w:tc>
        <w:tc>
          <w:tcPr>
            <w:tcW w:w="1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60" w:type="dxa"/>
            <w:vAlign w:val="bottom"/>
          </w:tcPr>
          <w:p>
            <w:pPr>
              <w:spacing w:after="0"/>
              <w:rPr>
                <w:sz w:val="14"/>
                <w:szCs w:val="14"/>
                <w:color w:val="auto"/>
              </w:rPr>
            </w:pPr>
          </w:p>
        </w:tc>
        <w:tc>
          <w:tcPr>
            <w:tcW w:w="22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March 31, 2012</w:t>
            </w: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September 30, 2011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2980" w:type="dxa"/>
            <w:vAlign w:val="bottom"/>
            <w:vMerge w:val="restart"/>
            <w:shd w:val="clear" w:color="auto" w:fill="CCEEFF"/>
          </w:tcPr>
          <w:p>
            <w:pPr>
              <w:spacing w:after="0" w:line="20" w:lineRule="exact"/>
              <w:rPr>
                <w:sz w:val="1"/>
                <w:szCs w:val="1"/>
                <w:color w:val="auto"/>
              </w:rPr>
            </w:pPr>
          </w:p>
        </w:tc>
        <w:tc>
          <w:tcPr>
            <w:tcW w:w="34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2980" w:type="dxa"/>
            <w:vAlign w:val="bottom"/>
            <w:vMerge w:val="continue"/>
            <w:shd w:val="clear" w:color="auto" w:fill="CCEEFF"/>
          </w:tcPr>
          <w:p>
            <w:pPr>
              <w:spacing w:after="0"/>
              <w:rPr>
                <w:sz w:val="17"/>
                <w:szCs w:val="17"/>
                <w:color w:val="auto"/>
              </w:rPr>
            </w:pPr>
          </w:p>
        </w:tc>
        <w:tc>
          <w:tcPr>
            <w:tcW w:w="3460" w:type="dxa"/>
            <w:vAlign w:val="bottom"/>
            <w:vMerge w:val="continue"/>
            <w:shd w:val="clear" w:color="auto" w:fill="CCEEFF"/>
          </w:tcPr>
          <w:p>
            <w:pPr>
              <w:spacing w:after="0"/>
              <w:rPr>
                <w:sz w:val="17"/>
                <w:szCs w:val="17"/>
                <w:color w:val="auto"/>
              </w:rPr>
            </w:pPr>
          </w:p>
        </w:tc>
        <w:tc>
          <w:tcPr>
            <w:tcW w:w="2260" w:type="dxa"/>
            <w:vAlign w:val="bottom"/>
            <w:gridSpan w:val="2"/>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5720" w:type="dxa"/>
            <w:vAlign w:val="bottom"/>
            <w:gridSpan w:val="3"/>
          </w:tcPr>
          <w:p>
            <w:pPr>
              <w:jc w:val="right"/>
              <w:ind w:right="1360"/>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5720" w:type="dxa"/>
            <w:vAlign w:val="bottom"/>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3460" w:type="dxa"/>
            <w:vAlign w:val="bottom"/>
          </w:tcPr>
          <w:p>
            <w:pPr>
              <w:spacing w:after="0"/>
              <w:rPr>
                <w:sz w:val="18"/>
                <w:szCs w:val="18"/>
                <w:color w:val="auto"/>
              </w:rPr>
            </w:pPr>
          </w:p>
        </w:tc>
        <w:tc>
          <w:tcPr>
            <w:tcW w:w="2260" w:type="dxa"/>
            <w:vAlign w:val="bottom"/>
            <w:gridSpan w:val="2"/>
          </w:tcPr>
          <w:p>
            <w:pPr>
              <w:jc w:val="right"/>
              <w:ind w:right="1360"/>
              <w:spacing w:after="0"/>
              <w:rPr>
                <w:sz w:val="20"/>
                <w:szCs w:val="20"/>
                <w:color w:val="auto"/>
              </w:rPr>
            </w:pPr>
            <w:r>
              <w:rPr>
                <w:rFonts w:ascii="Arial" w:cs="Arial" w:eastAsia="Arial" w:hAnsi="Arial"/>
                <w:sz w:val="18"/>
                <w:szCs w:val="18"/>
                <w:color w:val="auto"/>
              </w:rPr>
              <w:t>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3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60" w:type="dxa"/>
            <w:vAlign w:val="bottom"/>
            <w:vMerge w:val="restart"/>
          </w:tcPr>
          <w:p>
            <w:pPr>
              <w:jc w:val="right"/>
              <w:ind w:right="1952"/>
              <w:spacing w:after="0"/>
              <w:rPr>
                <w:sz w:val="20"/>
                <w:szCs w:val="20"/>
                <w:color w:val="auto"/>
              </w:rPr>
            </w:pPr>
            <w:r>
              <w:rPr>
                <w:rFonts w:ascii="Arial" w:cs="Arial" w:eastAsia="Arial" w:hAnsi="Arial"/>
                <w:sz w:val="18"/>
                <w:szCs w:val="18"/>
                <w:color w:val="auto"/>
              </w:rPr>
              <w:t>75</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Director</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Since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of Term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5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45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Chairman of the Board and Chief Executive Officer</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4"/>
                <w:szCs w:val="14"/>
                <w:color w:val="auto"/>
              </w:rPr>
            </w:pPr>
          </w:p>
        </w:tc>
        <w:tc>
          <w:tcPr>
            <w:tcW w:w="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Age</w:t>
            </w: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p>
        </w:tc>
        <w:tc>
          <w:tcPr>
            <w:tcW w:w="4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48</w:t>
            </w: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3"/>
          </w:tcPr>
          <w:p>
            <w:pPr>
              <w:spacing w:after="0"/>
              <w:rPr>
                <w:sz w:val="20"/>
                <w:szCs w:val="20"/>
                <w:color w:val="auto"/>
              </w:rPr>
            </w:pPr>
            <w:r>
              <w:rPr>
                <w:rFonts w:ascii="Arial" w:cs="Arial" w:eastAsia="Arial" w:hAnsi="Arial"/>
                <w:sz w:val="14"/>
                <w:szCs w:val="14"/>
                <w:b w:val="1"/>
                <w:bCs w:val="1"/>
                <w:color w:val="auto"/>
              </w:rPr>
              <w:t>Name Address</w:t>
            </w:r>
          </w:p>
        </w:tc>
        <w:tc>
          <w:tcPr>
            <w:tcW w:w="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Age</w:t>
            </w:r>
          </w:p>
        </w:tc>
        <w:tc>
          <w:tcPr>
            <w:tcW w:w="57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56</w:t>
            </w: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board of directors results in greater efficiencies in managing us by eliminating the need to transfer substantial information quickly and repeatedly between the Chief Executive Officer and the Chairman and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on a periodic basis, generally quarterly.</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we are already subject ro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Executive Officer, the Independent Directors have similarly established direct communication and oversight channels that the board of directors believes foster open communication and early detection of issues of concern.</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to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section 2(a)(19) of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Floating Rate Capital Ltd. and PennantPark Investment Corporation in October 2010 and February 2007, respectively. Mr. Brozost is a Partner at Schulte Roth &amp; Zabel, LLP, where he practices in the real estate and private equity groups. Prior to Schulte Roth &amp; Zabel, which began in 2012,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Floating Rate Capital Ltd. and PennantPark Investment Corporation in October 2010 and February 2007,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Floating Rate Capital Ltd. and PennantPark Investment Corporation in October 2010 and February 2007,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Floating Rate Capital Ltd. and PennantPark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Aviv Efrat (48),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4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Guy F. Talarico (56), Chief Compliance Officer. Mr. Talarico became the Chief Compliance Officer of PennantPark Floating Rate Capital Ltd. and PennantPark Investment Corporation in 2011 and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the partial fiscal year ended September 30, 2011, we held four board of directors’ meetings and two Audit Committee meetings.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meeting of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information regarding the compensation paid by the Company, to our directors for the partial fiscal year ended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No compensation is paid directly by the Company to any interested director or executive officer of the Company.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PennantPark Floating Rate Capital Ltd.</w:t>
            </w: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6"/>
              </w:rPr>
              <w:t>Aggregate</w:t>
            </w: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940" w:type="dxa"/>
            <w:vAlign w:val="bottom"/>
          </w:tcPr>
          <w:p>
            <w:pPr>
              <w:spacing w:after="0"/>
              <w:rPr>
                <w:sz w:val="12"/>
                <w:szCs w:val="12"/>
                <w:color w:val="auto"/>
              </w:rPr>
            </w:pPr>
          </w:p>
        </w:tc>
        <w:tc>
          <w:tcPr>
            <w:tcW w:w="220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5"/>
              </w:rPr>
              <w:t>Pension or retirement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from the</w:t>
            </w:r>
          </w:p>
        </w:tc>
        <w:tc>
          <w:tcPr>
            <w:tcW w:w="940" w:type="dxa"/>
            <w:vAlign w:val="bottom"/>
          </w:tcPr>
          <w:p>
            <w:pPr>
              <w:spacing w:after="0"/>
              <w:rPr>
                <w:sz w:val="11"/>
                <w:szCs w:val="11"/>
                <w:color w:val="auto"/>
              </w:rPr>
            </w:pPr>
          </w:p>
        </w:tc>
        <w:tc>
          <w:tcPr>
            <w:tcW w:w="2200" w:type="dxa"/>
            <w:vAlign w:val="bottom"/>
            <w:gridSpan w:val="2"/>
          </w:tcPr>
          <w:p>
            <w:pPr>
              <w:jc w:val="right"/>
              <w:ind w:right="1060"/>
              <w:spacing w:after="0" w:line="135" w:lineRule="exact"/>
              <w:rPr>
                <w:sz w:val="20"/>
                <w:szCs w:val="20"/>
                <w:color w:val="auto"/>
              </w:rPr>
            </w:pPr>
            <w:r>
              <w:rPr>
                <w:rFonts w:ascii="Arial" w:cs="Arial" w:eastAsia="Arial" w:hAnsi="Arial"/>
                <w:sz w:val="14"/>
                <w:szCs w:val="14"/>
                <w:b w:val="1"/>
                <w:bCs w:val="1"/>
                <w:color w:val="auto"/>
                <w:w w:val="94"/>
              </w:rPr>
              <w:t>benefitaccrued as</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7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9"/>
              <w:spacing w:after="0"/>
              <w:rPr>
                <w:sz w:val="20"/>
                <w:szCs w:val="20"/>
                <w:color w:val="auto"/>
              </w:rPr>
            </w:pPr>
            <w:r>
              <w:rPr>
                <w:rFonts w:ascii="Arial" w:cs="Arial" w:eastAsia="Arial" w:hAnsi="Arial"/>
                <w:sz w:val="14"/>
                <w:szCs w:val="14"/>
                <w:b w:val="1"/>
                <w:bCs w:val="1"/>
                <w:color w:val="auto"/>
                <w:w w:val="87"/>
              </w:rPr>
              <w:t>Company</w:t>
            </w:r>
          </w:p>
        </w:tc>
        <w:tc>
          <w:tcPr>
            <w:tcW w:w="940" w:type="dxa"/>
            <w:vAlign w:val="bottom"/>
          </w:tcPr>
          <w:p>
            <w:pPr>
              <w:spacing w:after="0"/>
              <w:rPr>
                <w:sz w:val="15"/>
                <w:szCs w:val="15"/>
                <w:color w:val="auto"/>
              </w:rPr>
            </w:pPr>
          </w:p>
        </w:tc>
        <w:tc>
          <w:tcPr>
            <w:tcW w:w="2200" w:type="dxa"/>
            <w:vAlign w:val="bottom"/>
            <w:gridSpan w:val="2"/>
          </w:tcPr>
          <w:p>
            <w:pPr>
              <w:jc w:val="right"/>
              <w:ind w:right="94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40" w:type="dxa"/>
            <w:vAlign w:val="bottom"/>
            <w:gridSpan w:val="2"/>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30,625</w:t>
            </w:r>
          </w:p>
        </w:tc>
        <w:tc>
          <w:tcPr>
            <w:tcW w:w="940" w:type="dxa"/>
            <w:vAlign w:val="bottom"/>
          </w:tcPr>
          <w:p>
            <w:pPr>
              <w:spacing w:after="0"/>
              <w:rPr>
                <w:sz w:val="18"/>
                <w:szCs w:val="18"/>
                <w:color w:val="auto"/>
              </w:rPr>
            </w:pPr>
          </w:p>
        </w:tc>
        <w:tc>
          <w:tcPr>
            <w:tcW w:w="2200" w:type="dxa"/>
            <w:vAlign w:val="bottom"/>
            <w:gridSpan w:val="2"/>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40" w:type="dxa"/>
            <w:vAlign w:val="bottom"/>
            <w:gridSpan w:val="2"/>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31,875</w:t>
            </w:r>
          </w:p>
        </w:tc>
        <w:tc>
          <w:tcPr>
            <w:tcW w:w="940" w:type="dxa"/>
            <w:vAlign w:val="bottom"/>
          </w:tcPr>
          <w:p>
            <w:pPr>
              <w:spacing w:after="0"/>
              <w:rPr>
                <w:sz w:val="18"/>
                <w:szCs w:val="18"/>
                <w:color w:val="auto"/>
              </w:rPr>
            </w:pPr>
          </w:p>
        </w:tc>
        <w:tc>
          <w:tcPr>
            <w:tcW w:w="2200" w:type="dxa"/>
            <w:vAlign w:val="bottom"/>
            <w:gridSpan w:val="2"/>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31,875</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4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3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9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None</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March 31, 2012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4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254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Entity</w:t>
            </w:r>
          </w:p>
        </w:tc>
        <w:tc>
          <w:tcPr>
            <w:tcW w:w="376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Investment Focus</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w w:val="81"/>
              </w:rPr>
              <w:t>Gross Assets</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1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800" w:type="dxa"/>
            <w:vAlign w:val="bottom"/>
          </w:tcPr>
          <w:p>
            <w:pPr>
              <w:spacing w:after="0" w:line="148"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 in millions)</w:t>
            </w:r>
          </w:p>
        </w:tc>
        <w:tc>
          <w:tcPr>
            <w:tcW w:w="0" w:type="dxa"/>
            <w:vAlign w:val="bottom"/>
          </w:tcPr>
          <w:p>
            <w:pPr>
              <w:spacing w:after="0"/>
              <w:rPr>
                <w:sz w:val="1"/>
                <w:szCs w:val="1"/>
                <w:color w:val="auto"/>
              </w:rPr>
            </w:pPr>
          </w:p>
        </w:tc>
      </w:tr>
      <w:tr>
        <w:trPr>
          <w:trHeight w:val="20"/>
        </w:trPr>
        <w:tc>
          <w:tcPr>
            <w:tcW w:w="3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Investment Corporation</w:t>
            </w:r>
            <w:r>
              <w:rPr>
                <w:rFonts w:ascii="Arial" w:cs="Arial" w:eastAsia="Arial" w:hAnsi="Arial"/>
                <w:sz w:val="11"/>
                <w:szCs w:val="11"/>
                <w:color w:val="auto"/>
              </w:rPr>
              <w:t>(1)</w:t>
            </w:r>
          </w:p>
        </w:tc>
        <w:tc>
          <w:tcPr>
            <w:tcW w:w="800" w:type="dxa"/>
            <w:vAlign w:val="bottom"/>
            <w:shd w:val="clear" w:color="auto" w:fill="CCEEFF"/>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2"/>
            <w:vMerge w:val="continue"/>
            <w:shd w:val="clear" w:color="auto" w:fill="CCEEFF"/>
          </w:tcPr>
          <w:p>
            <w:pPr>
              <w:spacing w:after="0"/>
              <w:rPr>
                <w:sz w:val="17"/>
                <w:szCs w:val="17"/>
                <w:color w:val="auto"/>
              </w:rPr>
            </w:pPr>
          </w:p>
        </w:tc>
        <w:tc>
          <w:tcPr>
            <w:tcW w:w="3340" w:type="dxa"/>
            <w:vAlign w:val="bottom"/>
            <w:gridSpan w:val="3"/>
            <w:vMerge w:val="restart"/>
            <w:shd w:val="clear" w:color="auto" w:fill="CCEEFF"/>
          </w:tcPr>
          <w:p>
            <w:pPr>
              <w:ind w:left="800"/>
              <w:spacing w:after="0"/>
              <w:rPr>
                <w:sz w:val="20"/>
                <w:szCs w:val="20"/>
                <w:color w:val="auto"/>
              </w:rPr>
            </w:pPr>
            <w:r>
              <w:rPr>
                <w:rFonts w:ascii="Arial" w:cs="Arial" w:eastAsia="Arial" w:hAnsi="Arial"/>
                <w:sz w:val="18"/>
                <w:szCs w:val="18"/>
                <w:color w:val="auto"/>
              </w:rPr>
              <w:t>Business development</w:t>
            </w:r>
          </w:p>
        </w:tc>
        <w:tc>
          <w:tcPr>
            <w:tcW w:w="3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Primarily in U.S. middle-market companies in</w:t>
            </w: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340" w:type="dxa"/>
            <w:vAlign w:val="bottom"/>
            <w:gridSpan w:val="3"/>
            <w:vMerge w:val="continue"/>
            <w:shd w:val="clear" w:color="auto" w:fill="CCEEFF"/>
          </w:tcPr>
          <w:p>
            <w:pPr>
              <w:spacing w:after="0"/>
              <w:rPr>
                <w:sz w:val="17"/>
                <w:szCs w:val="17"/>
                <w:color w:val="auto"/>
              </w:rPr>
            </w:pPr>
          </w:p>
        </w:tc>
        <w:tc>
          <w:tcPr>
            <w:tcW w:w="376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3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company</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form of senior</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loans, mezzanine debt and equity</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32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management and incentive fees for PennantPark Investment Corporation are based on the gross assets and performance of PennantPark Investment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following table sets forth, as of July 24, 2012,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740" w:type="dxa"/>
            <w:vAlign w:val="bottom"/>
            <w:vMerge w:val="restart"/>
          </w:tcPr>
          <w:p>
            <w:pPr>
              <w:spacing w:after="0"/>
              <w:rPr>
                <w:sz w:val="12"/>
                <w:szCs w:val="12"/>
                <w:color w:val="auto"/>
              </w:rPr>
            </w:pPr>
          </w:p>
        </w:tc>
        <w:tc>
          <w:tcPr>
            <w:tcW w:w="2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740" w:type="dxa"/>
            <w:vAlign w:val="bottom"/>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2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1"/>
        </w:trPr>
        <w:tc>
          <w:tcPr>
            <w:tcW w:w="70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Morgan Stanley and Co. Inc.</w:t>
            </w:r>
          </w:p>
        </w:tc>
        <w:tc>
          <w:tcPr>
            <w:tcW w:w="1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1585 Broadway</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10036-8293</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447,729</w:t>
            </w:r>
          </w:p>
        </w:tc>
        <w:tc>
          <w:tcPr>
            <w:tcW w:w="6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8"/>
        </w:trPr>
        <w:tc>
          <w:tcPr>
            <w:tcW w:w="7000" w:type="dxa"/>
            <w:vAlign w:val="bottom"/>
            <w:gridSpan w:val="2"/>
          </w:tcPr>
          <w:p>
            <w:pPr>
              <w:spacing w:after="0"/>
              <w:rPr>
                <w:sz w:val="20"/>
                <w:szCs w:val="20"/>
                <w:color w:val="auto"/>
              </w:rPr>
            </w:pPr>
            <w:r>
              <w:rPr>
                <w:rFonts w:ascii="Arial" w:cs="Arial" w:eastAsia="Arial" w:hAnsi="Arial"/>
                <w:sz w:val="18"/>
                <w:szCs w:val="18"/>
                <w:color w:val="auto"/>
              </w:rPr>
              <w:t>Sherleigh Associates</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00" w:type="dxa"/>
            <w:vAlign w:val="bottom"/>
            <w:gridSpan w:val="2"/>
          </w:tcPr>
          <w:p>
            <w:pPr>
              <w:spacing w:after="0"/>
              <w:rPr>
                <w:sz w:val="20"/>
                <w:szCs w:val="20"/>
                <w:color w:val="auto"/>
              </w:rPr>
            </w:pPr>
            <w:r>
              <w:rPr>
                <w:rFonts w:ascii="Arial" w:cs="Arial" w:eastAsia="Arial" w:hAnsi="Arial"/>
                <w:sz w:val="18"/>
                <w:szCs w:val="18"/>
                <w:color w:val="auto"/>
              </w:rPr>
              <w:t>Profit Sharing Plan</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354,893</w:t>
            </w:r>
          </w:p>
        </w:tc>
        <w:tc>
          <w:tcPr>
            <w:tcW w:w="6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8"/>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6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2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8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640" w:type="dxa"/>
            <w:vAlign w:val="bottom"/>
          </w:tcPr>
          <w:p>
            <w:pPr>
              <w:jc w:val="right"/>
              <w:spacing w:after="0"/>
              <w:rPr>
                <w:sz w:val="20"/>
                <w:szCs w:val="20"/>
                <w:color w:val="auto"/>
              </w:rPr>
            </w:pPr>
            <w:r>
              <w:rPr>
                <w:rFonts w:ascii="Arial" w:cs="Arial" w:eastAsia="Arial" w:hAnsi="Arial"/>
                <w:sz w:val="18"/>
                <w:szCs w:val="18"/>
                <w:color w:val="auto"/>
              </w:rPr>
              <w:t>40,917</w:t>
            </w:r>
          </w:p>
        </w:tc>
        <w:tc>
          <w:tcPr>
            <w:tcW w:w="6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667 shares held by PennantPark Investment Advisers, LLC.</w:t>
      </w:r>
    </w:p>
    <w:p>
      <w:pPr>
        <w:ind w:left="460" w:right="20" w:hanging="452"/>
        <w:spacing w:after="0" w:line="281"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w:t>
      </w:r>
    </w:p>
    <w:p>
      <w:pPr>
        <w:spacing w:after="0" w:line="1" w:lineRule="exact"/>
        <w:rPr>
          <w:sz w:val="20"/>
          <w:szCs w:val="20"/>
          <w:color w:val="auto"/>
        </w:rPr>
      </w:pPr>
    </w:p>
    <w:p>
      <w:pPr>
        <w:ind w:left="460" w:right="100"/>
        <w:spacing w:after="0" w:line="250" w:lineRule="auto"/>
        <w:rPr>
          <w:sz w:val="20"/>
          <w:szCs w:val="20"/>
          <w:color w:val="auto"/>
        </w:rPr>
      </w:pPr>
      <w:r>
        <w:rPr>
          <w:rFonts w:ascii="Arial" w:cs="Arial" w:eastAsia="Arial" w:hAnsi="Arial"/>
          <w:sz w:val="18"/>
          <w:szCs w:val="18"/>
          <w:color w:val="auto"/>
        </w:rPr>
        <w:t>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July 24, 2012.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1840" w:type="dxa"/>
            <w:vAlign w:val="bottom"/>
          </w:tcPr>
          <w:p>
            <w:pPr>
              <w:spacing w:after="0"/>
              <w:rPr>
                <w:sz w:val="22"/>
                <w:szCs w:val="22"/>
                <w:color w:val="auto"/>
              </w:rPr>
            </w:pPr>
          </w:p>
        </w:tc>
        <w:tc>
          <w:tcPr>
            <w:tcW w:w="32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6"/>
              </w:rPr>
              <w:t>Dollar Range of the Common Stock of each Company</w:t>
            </w:r>
            <w:r>
              <w:rPr>
                <w:rFonts w:ascii="Arial" w:cs="Arial" w:eastAsia="Arial" w:hAnsi="Arial"/>
                <w:sz w:val="22"/>
                <w:szCs w:val="22"/>
                <w:b w:val="1"/>
                <w:bCs w:val="1"/>
                <w:color w:val="auto"/>
                <w:w w:val="86"/>
                <w:vertAlign w:val="superscript"/>
              </w:rPr>
              <w:t>(1)</w:t>
            </w: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840" w:type="dxa"/>
            <w:vAlign w:val="bottom"/>
            <w:tcBorders>
              <w:top w:val="single" w:sz="8" w:color="auto"/>
            </w:tcBorders>
          </w:tcPr>
          <w:p>
            <w:pPr>
              <w:jc w:val="center"/>
              <w:ind w:left="276"/>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3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700" w:type="dxa"/>
            <w:vAlign w:val="bottom"/>
            <w:tcBorders>
              <w:top w:val="single" w:sz="8" w:color="auto"/>
            </w:tcBorders>
            <w:gridSpan w:val="4"/>
          </w:tcPr>
          <w:p>
            <w:pPr>
              <w:jc w:val="center"/>
              <w:ind w:right="50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9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840" w:type="dxa"/>
            <w:vAlign w:val="bottom"/>
          </w:tcPr>
          <w:p>
            <w:pPr>
              <w:jc w:val="center"/>
              <w:ind w:left="256"/>
              <w:spacing w:after="0"/>
              <w:rPr>
                <w:sz w:val="20"/>
                <w:szCs w:val="20"/>
                <w:color w:val="auto"/>
              </w:rPr>
            </w:pPr>
            <w:r>
              <w:rPr>
                <w:rFonts w:ascii="Arial" w:cs="Arial" w:eastAsia="Arial" w:hAnsi="Arial"/>
                <w:sz w:val="14"/>
                <w:szCs w:val="14"/>
                <w:b w:val="1"/>
                <w:bCs w:val="1"/>
                <w:color w:val="auto"/>
                <w:w w:val="92"/>
              </w:rPr>
              <w:t>Rate Capital Ltd.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9"/>
              </w:rPr>
              <w:t>Corporation</w:t>
            </w:r>
          </w:p>
        </w:tc>
        <w:tc>
          <w:tcPr>
            <w:tcW w:w="960" w:type="dxa"/>
            <w:vAlign w:val="bottom"/>
          </w:tcPr>
          <w:p>
            <w:pPr>
              <w:ind w:left="640"/>
              <w:spacing w:after="0"/>
              <w:rPr>
                <w:sz w:val="20"/>
                <w:szCs w:val="20"/>
                <w:color w:val="auto"/>
              </w:rPr>
            </w:pPr>
            <w:r>
              <w:rPr>
                <w:rFonts w:ascii="Arial" w:cs="Arial" w:eastAsia="Arial" w:hAnsi="Arial"/>
                <w:sz w:val="14"/>
                <w:szCs w:val="14"/>
                <w:b w:val="1"/>
                <w:bCs w:val="1"/>
                <w:color w:val="auto"/>
                <w:w w:val="89"/>
              </w:rPr>
              <w:t>Total</w:t>
            </w:r>
          </w:p>
        </w:tc>
        <w:tc>
          <w:tcPr>
            <w:tcW w:w="9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3"/>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40" w:type="dxa"/>
            <w:vAlign w:val="bottom"/>
          </w:tcPr>
          <w:p>
            <w:pPr>
              <w:jc w:val="center"/>
              <w:ind w:left="256"/>
              <w:spacing w:after="0"/>
              <w:rPr>
                <w:sz w:val="20"/>
                <w:szCs w:val="20"/>
                <w:color w:val="auto"/>
              </w:rPr>
            </w:pPr>
            <w:r>
              <w:rPr>
                <w:rFonts w:ascii="Arial" w:cs="Arial" w:eastAsia="Arial" w:hAnsi="Arial"/>
                <w:sz w:val="18"/>
                <w:szCs w:val="18"/>
                <w:color w:val="auto"/>
                <w:w w:val="91"/>
              </w:rPr>
              <w:t>$ 50,001–$100,000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color w:val="auto"/>
              </w:rPr>
              <w:t>$500,001–$1,000,000</w:t>
            </w:r>
          </w:p>
        </w:tc>
        <w:tc>
          <w:tcPr>
            <w:tcW w:w="1860" w:type="dxa"/>
            <w:vAlign w:val="bottom"/>
            <w:gridSpan w:val="2"/>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None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$100,001–$</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500,000</w:t>
            </w:r>
          </w:p>
        </w:tc>
      </w:tr>
      <w:tr>
        <w:trPr>
          <w:trHeight w:val="216"/>
        </w:trPr>
        <w:tc>
          <w:tcPr>
            <w:tcW w:w="4460" w:type="dxa"/>
            <w:vAlign w:val="bottom"/>
            <w:gridSpan w:val="3"/>
          </w:tcPr>
          <w:p>
            <w:pPr>
              <w:ind w:left="440"/>
              <w:spacing w:after="0"/>
              <w:rPr>
                <w:sz w:val="20"/>
                <w:szCs w:val="20"/>
                <w:color w:val="auto"/>
              </w:rPr>
            </w:pPr>
            <w:r>
              <w:rPr>
                <w:rFonts w:ascii="Arial" w:cs="Arial" w:eastAsia="Arial" w:hAnsi="Arial"/>
                <w:sz w:val="18"/>
                <w:szCs w:val="18"/>
                <w:color w:val="auto"/>
              </w:rPr>
              <w:t>Jeffrey Flug</w:t>
            </w:r>
          </w:p>
        </w:tc>
        <w:tc>
          <w:tcPr>
            <w:tcW w:w="1840" w:type="dxa"/>
            <w:vAlign w:val="bottom"/>
          </w:tcPr>
          <w:p>
            <w:pPr>
              <w:jc w:val="center"/>
              <w:ind w:left="256"/>
              <w:spacing w:after="0"/>
              <w:rPr>
                <w:sz w:val="20"/>
                <w:szCs w:val="20"/>
                <w:color w:val="auto"/>
              </w:rPr>
            </w:pPr>
            <w:r>
              <w:rPr>
                <w:rFonts w:ascii="Arial" w:cs="Arial" w:eastAsia="Arial" w:hAnsi="Arial"/>
                <w:sz w:val="18"/>
                <w:szCs w:val="18"/>
                <w:color w:val="auto"/>
                <w:w w:val="88"/>
              </w:rPr>
              <w:t>None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center"/>
              <w:ind w:right="520"/>
              <w:spacing w:after="0"/>
              <w:rPr>
                <w:sz w:val="20"/>
                <w:szCs w:val="20"/>
                <w:color w:val="auto"/>
              </w:rPr>
            </w:pPr>
            <w:r>
              <w:rPr>
                <w:rFonts w:ascii="Arial" w:cs="Arial" w:eastAsia="Arial" w:hAnsi="Arial"/>
                <w:sz w:val="18"/>
                <w:szCs w:val="18"/>
                <w:color w:val="auto"/>
                <w:w w:val="87"/>
              </w:rPr>
              <w:t>Over $1,000,000</w:t>
            </w:r>
          </w:p>
        </w:tc>
        <w:tc>
          <w:tcPr>
            <w:tcW w:w="1860" w:type="dxa"/>
            <w:vAlign w:val="bottom"/>
            <w:gridSpan w:val="2"/>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$1,000,000</w:t>
            </w:r>
          </w:p>
        </w:tc>
        <w:tc>
          <w:tcPr>
            <w:tcW w:w="1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3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(3),(4)</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6"/>
              </w:rPr>
              <w:t>$1–$10,000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87"/>
              </w:rPr>
              <w:t>Over $1,000,000</w:t>
            </w:r>
          </w:p>
        </w:tc>
        <w:tc>
          <w:tcPr>
            <w:tcW w:w="18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Over $1,000,000</w:t>
            </w:r>
          </w:p>
        </w:tc>
      </w:tr>
      <w:tr>
        <w:trPr>
          <w:trHeight w:val="216"/>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91"/>
              </w:rPr>
              <w:t>$ 50,001–$100,000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$500,001–$1,000,000</w:t>
            </w:r>
          </w:p>
        </w:tc>
      </w:tr>
      <w:tr>
        <w:trPr>
          <w:trHeight w:val="323"/>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7"/>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$100,001–$</w:t>
            </w:r>
          </w:p>
        </w:tc>
        <w:tc>
          <w:tcPr>
            <w:tcW w:w="9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500,000</w:t>
            </w:r>
          </w:p>
        </w:tc>
      </w:tr>
      <w:tr>
        <w:trPr>
          <w:trHeight w:val="216"/>
        </w:trPr>
        <w:tc>
          <w:tcPr>
            <w:tcW w:w="4460" w:type="dxa"/>
            <w:vAlign w:val="bottom"/>
            <w:gridSpan w:val="3"/>
          </w:tcPr>
          <w:p>
            <w:pPr>
              <w:ind w:left="440"/>
              <w:spacing w:after="0"/>
              <w:rPr>
                <w:sz w:val="20"/>
                <w:szCs w:val="20"/>
                <w:color w:val="auto"/>
              </w:rPr>
            </w:pPr>
            <w:r>
              <w:rPr>
                <w:rFonts w:ascii="Arial" w:cs="Arial" w:eastAsia="Arial" w:hAnsi="Arial"/>
                <w:sz w:val="18"/>
                <w:szCs w:val="18"/>
                <w:color w:val="auto"/>
              </w:rPr>
              <w:t>Salvatore Giannetti III</w:t>
            </w:r>
          </w:p>
        </w:tc>
        <w:tc>
          <w:tcPr>
            <w:tcW w:w="1840" w:type="dxa"/>
            <w:vAlign w:val="bottom"/>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ind w:left="320"/>
              <w:spacing w:after="0"/>
              <w:rPr>
                <w:sz w:val="20"/>
                <w:szCs w:val="20"/>
                <w:color w:val="auto"/>
              </w:rPr>
            </w:pPr>
            <w:r>
              <w:rPr>
                <w:rFonts w:ascii="Arial" w:cs="Arial" w:eastAsia="Arial" w:hAnsi="Arial"/>
                <w:sz w:val="18"/>
                <w:szCs w:val="18"/>
                <w:color w:val="auto"/>
                <w:w w:val="92"/>
              </w:rPr>
              <w:t>$100,001–$</w:t>
            </w:r>
          </w:p>
        </w:tc>
        <w:tc>
          <w:tcPr>
            <w:tcW w:w="960" w:type="dxa"/>
            <w:vAlign w:val="bottom"/>
          </w:tcPr>
          <w:p>
            <w:pPr>
              <w:jc w:val="right"/>
              <w:ind w:right="232"/>
              <w:spacing w:after="0"/>
              <w:rPr>
                <w:sz w:val="20"/>
                <w:szCs w:val="20"/>
                <w:color w:val="auto"/>
              </w:rPr>
            </w:pPr>
            <w:r>
              <w:rPr>
                <w:rFonts w:ascii="Arial" w:cs="Arial" w:eastAsia="Arial" w:hAnsi="Arial"/>
                <w:sz w:val="18"/>
                <w:szCs w:val="18"/>
                <w:color w:val="auto"/>
                <w:w w:val="95"/>
              </w:rPr>
              <w:t>500,000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w w:val="96"/>
              </w:rPr>
              <w:t>$100,001–$</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w w:val="86"/>
              </w:rPr>
              <w:t>500,000</w:t>
            </w:r>
          </w:p>
        </w:tc>
      </w:tr>
      <w:tr>
        <w:trPr>
          <w:trHeight w:val="216"/>
        </w:trPr>
        <w:tc>
          <w:tcPr>
            <w:tcW w:w="4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840" w:type="dxa"/>
            <w:vAlign w:val="bottom"/>
            <w:shd w:val="clear" w:color="auto" w:fill="CCEEFF"/>
          </w:tcPr>
          <w:p>
            <w:pPr>
              <w:jc w:val="center"/>
              <w:ind w:left="256"/>
              <w:spacing w:after="0"/>
              <w:rPr>
                <w:sz w:val="20"/>
                <w:szCs w:val="20"/>
                <w:color w:val="auto"/>
              </w:rPr>
            </w:pPr>
            <w:r>
              <w:rPr>
                <w:rFonts w:ascii="Arial" w:cs="Arial" w:eastAsia="Arial" w:hAnsi="Arial"/>
                <w:sz w:val="18"/>
                <w:szCs w:val="18"/>
                <w:color w:val="auto"/>
                <w:w w:val="88"/>
              </w:rPr>
              <w:t>$100,001–$500,000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color w:val="auto"/>
              </w:rPr>
              <w:t>$500,001–$1,000,000</w:t>
            </w:r>
          </w:p>
        </w:tc>
        <w:tc>
          <w:tcPr>
            <w:tcW w:w="18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$500,001–$1,000,000</w:t>
            </w:r>
          </w:p>
        </w:tc>
      </w:tr>
      <w:tr>
        <w:trPr>
          <w:trHeight w:val="108"/>
        </w:trPr>
        <w:tc>
          <w:tcPr>
            <w:tcW w:w="5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32"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9" w:lineRule="exact"/>
        <w:rPr>
          <w:rFonts w:ascii="Arial" w:cs="Arial" w:eastAsia="Arial" w:hAnsi="Arial"/>
          <w:sz w:val="18"/>
          <w:szCs w:val="18"/>
          <w:color w:val="auto"/>
        </w:rPr>
      </w:pPr>
    </w:p>
    <w:p>
      <w:pPr>
        <w:ind w:left="460" w:right="20" w:hanging="452"/>
        <w:spacing w:after="0" w:line="292"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Investment Adviser paid to the Company’s underwriters 2% of the sales load, or $2.1 million in the aggregate, with respect to the initial public offering and exercise of the over-allotment option of shares of the Company’s common stock. PennantPark Floating Rate Capital, Ltd., and indirectly our stockholders, is obligated to repay this amount if certain conditions occur. If one or more of these conditions does not occur on or before April 7, 2014, we will not be obligated to repay this amount. We will repay such amount to the Investment Adviser in cash, and the Investment Adviser has agreed to use such payment to purchase shares of common stock of the Company in the secondary market.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66"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and for the period March 4, 2011 (commencement of operations) to September 30, 2011, the Investment Adviser earned base management fees of $0.4 million, $0.7 million and $0.4 million, respectively, from 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2011 = $160 million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2011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2011 = $150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2012 = $200 million</w:t>
      </w:r>
    </w:p>
    <w:p>
      <w:pPr>
        <w:spacing w:after="0" w:line="15" w:lineRule="exact"/>
        <w:rPr>
          <w:sz w:val="20"/>
          <w:szCs w:val="20"/>
          <w:color w:val="auto"/>
        </w:rPr>
      </w:pPr>
    </w:p>
    <w:p>
      <w:pPr>
        <w:ind w:left="460" w:right="424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2012 = $20 million Adjusted gross assets as of March 31, 2012 = $180 million</w:t>
      </w:r>
    </w:p>
    <w:p>
      <w:pPr>
        <w:spacing w:after="0" w:line="57"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Average value of adjusted gross assets as of March 31, 2012 at the end of the two most recently completed calendar quarters, and appropriately adjusted for any share issuances or repurchases during the current calendar quarter = ($150 million + $180 million) / 2 = $165 million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w:t>
      </w:r>
    </w:p>
    <w:p>
      <w:pPr>
        <w:spacing w:after="0" w:line="4" w:lineRule="exact"/>
        <w:rPr>
          <w:sz w:val="20"/>
          <w:szCs w:val="20"/>
          <w:color w:val="auto"/>
        </w:rPr>
      </w:pPr>
    </w:p>
    <w:p>
      <w:pPr>
        <w:ind w:right="100" w:firstLine="8"/>
        <w:spacing w:after="0" w:line="292" w:lineRule="auto"/>
        <w:tabs>
          <w:tab w:leader="none" w:pos="2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135890</wp:posOffset>
            </wp:positionV>
            <wp:extent cx="2470150" cy="4718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 You should be aware that a rise in the general level of interest rates can be expected to lead to higher interest rates applicable to our debt investments.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Accordingly, an increase in interest rates would make it easier for us to meet or exceed the incentive fee hurdle rate and may result in a substantial increase of the amount of incentive fees payable to the Investment Adviser with respect to Pre-Incentive Fee Net Investment Income.</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and for the period from March 4, 2011 (commencement of operations) to September 30, 2011 resulted in no accrual.</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 For the period from March 4, 2011 (commencement of operations) to September 30, 2011, our unrealized and realized capital gains did not exceed our cumulative realized and unrealized losses and resulted in no accrual under GAAP.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right="4220"/>
        <w:spacing w:after="0" w:line="402" w:lineRule="auto"/>
        <w:rPr>
          <w:sz w:val="20"/>
          <w:szCs w:val="20"/>
          <w:color w:val="auto"/>
        </w:rPr>
      </w:pPr>
      <w:r>
        <w:rPr>
          <w:rFonts w:ascii="Arial" w:cs="Arial" w:eastAsia="Arial" w:hAnsi="Arial"/>
          <w:sz w:val="16"/>
          <w:szCs w:val="16"/>
          <w:color w:val="auto"/>
        </w:rPr>
        <w:t>(investment income—(base management fee + other expenses)) = 0.80% Pre-incentive net investment income does not exceed hurdle; therefore there is no incentive fee.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ind w:left="920"/>
        <w:spacing w:after="0"/>
        <w:tabs>
          <w:tab w:leader="none" w:pos="25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15" w:lineRule="exact"/>
        <w:rPr>
          <w:sz w:val="20"/>
          <w:szCs w:val="20"/>
          <w:color w:val="auto"/>
        </w:rPr>
      </w:pPr>
    </w:p>
    <w:p>
      <w:pPr>
        <w:ind w:left="2700" w:hanging="139"/>
        <w:spacing w:after="0"/>
        <w:tabs>
          <w:tab w:leader="none" w:pos="2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9" w:lineRule="exact"/>
        <w:rPr>
          <w:rFonts w:ascii="Arial" w:cs="Arial" w:eastAsia="Arial" w:hAnsi="Arial"/>
          <w:sz w:val="18"/>
          <w:szCs w:val="18"/>
          <w:color w:val="auto"/>
        </w:rPr>
      </w:pPr>
    </w:p>
    <w:p>
      <w:pPr>
        <w:ind w:left="2700" w:hanging="139"/>
        <w:spacing w:after="0"/>
        <w:tabs>
          <w:tab w:leader="none" w:pos="2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0.25%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4.00%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3.55%</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20%</w:t>
            </w:r>
          </w:p>
        </w:tc>
        <w:tc>
          <w:tcPr>
            <w:tcW w:w="5580" w:type="dxa"/>
            <w:vAlign w:val="bottom"/>
          </w:tcPr>
          <w:p>
            <w:pPr>
              <w:ind w:left="20"/>
              <w:spacing w:after="0"/>
              <w:rPr>
                <w:sz w:val="20"/>
                <w:szCs w:val="20"/>
                <w:color w:val="auto"/>
              </w:rPr>
            </w:pPr>
            <w:r>
              <w:rPr>
                <w:rFonts w:ascii="Arial" w:cs="Arial" w:eastAsia="Arial" w:hAnsi="Arial"/>
                <w:sz w:val="18"/>
                <w:szCs w:val="18"/>
                <w:color w:val="auto"/>
              </w:rPr>
              <w:t>X Pre-Incentive Fee Net Investment Income, subject to “catch-up”</w:t>
            </w:r>
            <w:r>
              <w:rPr>
                <w:rFonts w:ascii="Arial" w:cs="Arial" w:eastAsia="Arial" w:hAnsi="Arial"/>
                <w:sz w:val="11"/>
                <w:szCs w:val="11"/>
                <w:color w:val="auto"/>
              </w:rPr>
              <w:t>(4)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50%</w:t>
            </w:r>
          </w:p>
        </w:tc>
        <w:tc>
          <w:tcPr>
            <w:tcW w:w="5580" w:type="dxa"/>
            <w:vAlign w:val="bottom"/>
          </w:tcPr>
          <w:p>
            <w:pPr>
              <w:ind w:left="20"/>
              <w:spacing w:after="0"/>
              <w:rPr>
                <w:sz w:val="20"/>
                <w:szCs w:val="20"/>
                <w:color w:val="auto"/>
              </w:rPr>
            </w:pPr>
            <w:r>
              <w:rPr>
                <w:rFonts w:ascii="Arial" w:cs="Arial" w:eastAsia="Arial" w:hAnsi="Arial"/>
                <w:sz w:val="18"/>
                <w:szCs w:val="18"/>
                <w:color w:val="auto"/>
                <w:w w:val="89"/>
              </w:rPr>
              <w:t>X “catch-up” + (20% x (Pre-Incentive Fee Net Investment Income - 2.9167%))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Catch-up</w:t>
            </w: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=2.9167%-1.75%</w:t>
            </w:r>
          </w:p>
        </w:tc>
      </w:tr>
      <w:tr>
        <w:trPr>
          <w:trHeight w:val="216"/>
        </w:trPr>
        <w:tc>
          <w:tcPr>
            <w:tcW w:w="128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=1.1667%</w:t>
            </w:r>
          </w:p>
        </w:tc>
      </w:tr>
      <w:tr>
        <w:trPr>
          <w:trHeight w:val="222"/>
        </w:trPr>
        <w:tc>
          <w:tcPr>
            <w:tcW w:w="1280" w:type="dxa"/>
            <w:vAlign w:val="bottom"/>
          </w:tcPr>
          <w:p>
            <w:pPr>
              <w:spacing w:after="0"/>
              <w:rPr>
                <w:sz w:val="19"/>
                <w:szCs w:val="19"/>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=(50% X 1.1667%) + (20% X (3.55% -2.9167%))</w:t>
            </w:r>
          </w:p>
        </w:tc>
      </w:tr>
    </w:tbl>
    <w:p>
      <w:pPr>
        <w:ind w:left="2560"/>
        <w:spacing w:after="0"/>
        <w:rPr>
          <w:sz w:val="20"/>
          <w:szCs w:val="20"/>
          <w:color w:val="auto"/>
        </w:rPr>
      </w:pPr>
      <w:r>
        <w:rPr>
          <w:rFonts w:ascii="Arial" w:cs="Arial" w:eastAsia="Arial" w:hAnsi="Arial"/>
          <w:sz w:val="18"/>
          <w:szCs w:val="18"/>
          <w:color w:val="auto"/>
        </w:rPr>
        <w:t>=0.5833% + (20% X 0.6333%)</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=0.5833% + 0.1267%</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15"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240" w:top="459" w:right="5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460" w:right="160"/>
        <w:spacing w:after="0" w:line="254"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w:t>
      </w:r>
    </w:p>
    <w:p>
      <w:pPr>
        <w:ind w:left="460"/>
        <w:spacing w:after="0"/>
        <w:rPr>
          <w:sz w:val="20"/>
          <w:szCs w:val="20"/>
          <w:color w:val="auto"/>
        </w:rPr>
      </w:pPr>
      <w:r>
        <w:rPr>
          <w:rFonts w:ascii="Arial" w:cs="Arial" w:eastAsia="Arial" w:hAnsi="Arial"/>
          <w:sz w:val="18"/>
          <w:szCs w:val="18"/>
          <w:color w:val="auto"/>
        </w:rPr>
        <w:t>(previous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multiplied by $25 million ($30 million realized capital gains on sale of Investment A less $5 million unrealized capital depreciation on Investment B)</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 million cumulative fee (20% multiplied by $32 million ($35 million cumulative realized capital gains less $3 million unrealized capital depreciation))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$5 million (previous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40"/>
          </w:cols>
          <w:pgMar w:left="240" w:top="460" w:right="3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120" w:hanging="452"/>
        <w:spacing w:after="0" w:line="252" w:lineRule="auto"/>
        <w:tabs>
          <w:tab w:leader="none" w:pos="460" w:val="left"/>
        </w:tabs>
        <w:numPr>
          <w:ilvl w:val="0"/>
          <w:numId w:val="90"/>
        </w:numPr>
        <w:rPr>
          <w:rFonts w:ascii="Arial" w:cs="Arial" w:eastAsia="Arial" w:hAnsi="Arial"/>
          <w:sz w:val="21"/>
          <w:szCs w:val="21"/>
          <w:color w:val="auto"/>
          <w:vertAlign w:val="superscript"/>
        </w:rPr>
      </w:pPr>
      <w:r>
        <w:rPr>
          <w:rFonts w:ascii="Arial" w:cs="Arial" w:eastAsia="Arial" w:hAnsi="Arial"/>
          <w:sz w:val="17"/>
          <w:szCs w:val="17"/>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Investment Management Agreement was approved by our board of directors, including a majority of our directors who are not interested persons of us, in March 2011. Unless terminated earlier as described below, the Investment Management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w:t>
      </w:r>
    </w:p>
    <w:p>
      <w:pPr>
        <w:spacing w:after="0" w:line="113"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2012 and for the period March 4, 2011 (commencement of operations) to September 30, 2011, the Investment Adviser and Administrator were reimbursed $0.1 million,$0.1 million and $0.1 million,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Administration Agreement was approved by our board of directors, including a majority of our independent directors who are not interested persons of us, in March 2011. Unless terminated earlier as described below, our Administration Agreement will continue in effect for a period of two years through March 2013.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Administration Agreement may be terminated by either party without penalty upon not more than 60 days’ written notice to the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advance</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has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1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To the extent we invest in derivative instruments in the future, such instruments would be valued at fair value in accordance with our valuation policy. 92</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76" w:lineRule="exact"/>
        <w:rPr>
          <w:rFonts w:ascii="Arial" w:cs="Arial" w:eastAsia="Arial" w:hAnsi="Arial"/>
          <w:sz w:val="18"/>
          <w:szCs w:val="18"/>
          <w:color w:val="auto"/>
        </w:rPr>
      </w:pPr>
    </w:p>
    <w:p>
      <w:pPr>
        <w:jc w:val="both"/>
        <w:ind w:left="900" w:right="160" w:hanging="446"/>
        <w:spacing w:after="0" w:line="306"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12"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60" w:right="3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P.O. Box 922, Wall Street Station, New York, New York 10269, or by the plan administrator’s Interactive Voice Response System at 1-877-322-4951.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July 24, 2012,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last reported closing market price of our common stock on July 24, 2012 was $12.14 per share. As of July 24, 2011, we had 4 stockholders of record.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July 24,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Amount Held by</w:t>
            </w:r>
          </w:p>
        </w:tc>
        <w:tc>
          <w:tcPr>
            <w:tcW w:w="102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664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Authorized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203"/>
        </w:trPr>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38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6,850,667</w:t>
            </w: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2013, 2013, and 2014, respectively, and in each case, those directors will serve until their successors are duly elected and qualify. Beginning in 2013, upon expiration of their current terms, directors of each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is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merger, consolidation, share exchange or, in circumstances specified in the statute, an asset transfer or issuance or reclassification of equity securities. An interested stockholder is defined as:</w:t>
      </w:r>
    </w:p>
    <w:p>
      <w:pPr>
        <w:spacing w:after="0" w:line="5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60" w:right="2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59"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indenture securities and issue additional indenture securities of that series unless the reopening was restricted when that series was created.</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have no responsibility for any aspect of the depositary’s actions or for its records of ownership interests in a global security. We and the trustee also do not supervise the depositary in any way;</w:t>
      </w:r>
    </w:p>
    <w:p>
      <w:pPr>
        <w:spacing w:after="0" w:line="51" w:lineRule="exact"/>
        <w:rPr>
          <w:sz w:val="20"/>
          <w:szCs w:val="20"/>
          <w:color w:val="auto"/>
        </w:rPr>
      </w:pPr>
    </w:p>
    <w:p>
      <w:pPr>
        <w:ind w:left="900" w:right="140" w:hanging="446"/>
        <w:spacing w:after="0" w:line="268"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7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20" w:hanging="446"/>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20" w:hanging="446"/>
        <w:spacing w:after="0" w:line="259"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18" w:lineRule="auto"/>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8" w:lineRule="exact"/>
        <w:rPr>
          <w:rFonts w:ascii="Arial" w:cs="Arial" w:eastAsia="Arial" w:hAnsi="Arial"/>
          <w:sz w:val="15"/>
          <w:szCs w:val="15"/>
          <w:color w:val="auto"/>
        </w:rPr>
      </w:pPr>
    </w:p>
    <w:p>
      <w:pPr>
        <w:ind w:left="900" w:right="120" w:hanging="446"/>
        <w:spacing w:after="0" w:line="370" w:lineRule="auto"/>
        <w:tabs>
          <w:tab w:leader="none" w:pos="90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77"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00"/>
          </w:cols>
          <w:pgMar w:left="240" w:top="460"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BDC will affect our ability to, and the way in which we, raise additional capital.”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814-00891 filed on November 17,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40" w:hanging="446"/>
        <w:spacing w:after="0" w:line="268"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60"/>
          </w:cols>
          <w:pgMar w:left="240" w:top="460" w:right="2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60" w:right="2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20"/>
          </w:cols>
          <w:pgMar w:left="240" w:top="460" w:right="3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over whose administration a court within the United States has primary supervision and all substantial decisions of which are under the control of one or more U.S. fiduciaries.</w:t>
      </w:r>
    </w:p>
    <w:p>
      <w:pPr>
        <w:spacing w:after="0" w:line="132"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60" w:right="2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80"/>
          </w:cols>
          <w:pgMar w:left="240" w:top="459" w:right="2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reported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report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15% on their net capital gain (through 2012), i.e., the excess of realized net long-term capital gain over realized net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short-term capital loss for a taxable year, including a long-term capital gain derived from an investment in our shares. Such rate is lower than the maximum rate of 35% on ordinary income currently payable by individuals through 2012. After 2012, these maximum individual tax rates currently are scheduled to increase to 20% (for long-term capital gain) and 39.6% (for ordinary income). Furthermore, for taxable years beginning after December 31, 2012, an additional 3.8% Medicare tax will be imposed on certain net investment income (including interest, dividends, annuities, royalties, rents and net capital gains) of a U.S. stockholder that is an individual, estate or trust, to the extent that such person’s “modified adjusted gross income” (in the case of an individual) or “adjusted gross income” (in the case of an estate or trust) exceeds a threshold amount.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and, in the case of a corporate Non-U.S. stockholder, an additional “branch profits” tax at a 30% rate (or a lower rate if provided for by an applicable treaty). In that case, a withholding agent will not be required to withhold federal tax if the Non-U.S. stockholder complies with applicable certification and disclosure requirements. A Non-U.S. stockholder will also be subject to backup withholding unless the stockholder complies with certain certification requirements. Special certification requirements apply to a Non-U.S. stockholder that is a foreign partnership or a foreign trust, and such entities are urged to consult their own tax advisors.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 or, in the case of an individual, the stockholder is present in the United States for 183 days or more during a taxable year.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2013, withholding at a rate of 30% on dividends in respect of, and (after 2014)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may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may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60" w:right="2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P.O. Box 922, Wall Street Station, New York, New York 10269, telephone number: (800) 937-5449. American Stock Transfer &amp; Trust Company, LLC may also serve as trustee for offerings of our debt securities.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of PennantPark Floating Rate Capital Ltd. as of September 30, 2011, including the consolidated schedule of investments, and for the period March 4, 2011 (commencement of operations) to September 30, 2011, have been included herein in reliance upon the report of KPMG LLP, independent registered public accounting firm, appearing elsewhere herein, and upon the authority of said firm as experts in accounting and auditing.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900" w:type="dxa"/>
            <w:vAlign w:val="bottom"/>
            <w:gridSpan w:val="13"/>
          </w:tcPr>
          <w:p>
            <w:pPr>
              <w:jc w:val="center"/>
              <w:ind w:right="21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080" w:type="dxa"/>
            <w:vAlign w:val="bottom"/>
          </w:tcPr>
          <w:p>
            <w:pPr>
              <w:spacing w:after="0"/>
              <w:rPr>
                <w:sz w:val="19"/>
                <w:szCs w:val="19"/>
                <w:color w:val="auto"/>
              </w:rPr>
            </w:pPr>
          </w:p>
        </w:tc>
      </w:tr>
      <w:tr>
        <w:trPr>
          <w:trHeight w:val="419"/>
        </w:trPr>
        <w:tc>
          <w:tcPr>
            <w:tcW w:w="10240" w:type="dxa"/>
            <w:vAlign w:val="bottom"/>
            <w:gridSpan w:val="14"/>
          </w:tcPr>
          <w:p>
            <w:pPr>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080" w:type="dxa"/>
            <w:vAlign w:val="bottom"/>
          </w:tcPr>
          <w:p>
            <w:pPr>
              <w:spacing w:after="0"/>
              <w:rPr>
                <w:sz w:val="24"/>
                <w:szCs w:val="24"/>
                <w:color w:val="auto"/>
              </w:rPr>
            </w:pPr>
          </w:p>
        </w:tc>
      </w:tr>
      <w:tr>
        <w:trPr>
          <w:trHeight w:val="324"/>
        </w:trPr>
        <w:tc>
          <w:tcPr>
            <w:tcW w:w="10240" w:type="dxa"/>
            <w:vAlign w:val="bottom"/>
            <w:gridSpan w:val="14"/>
          </w:tcPr>
          <w:p>
            <w:pPr>
              <w:spacing w:after="0"/>
              <w:rPr>
                <w:sz w:val="20"/>
                <w:szCs w:val="20"/>
                <w:color w:val="auto"/>
              </w:rPr>
            </w:pPr>
            <w:r>
              <w:rPr>
                <w:rFonts w:ascii="Arial" w:cs="Arial" w:eastAsia="Arial" w:hAnsi="Arial"/>
                <w:sz w:val="18"/>
                <w:szCs w:val="18"/>
                <w:b w:val="1"/>
                <w:bCs w:val="1"/>
                <w:color w:val="auto"/>
              </w:rPr>
              <w:t>Annual Financial Statements</w:t>
            </w:r>
          </w:p>
        </w:tc>
        <w:tc>
          <w:tcPr>
            <w:tcW w:w="1080" w:type="dxa"/>
            <w:vAlign w:val="bottom"/>
          </w:tcPr>
          <w:p>
            <w:pPr>
              <w:spacing w:after="0"/>
              <w:rPr>
                <w:sz w:val="24"/>
                <w:szCs w:val="24"/>
                <w:color w:val="auto"/>
              </w:rPr>
            </w:pPr>
          </w:p>
        </w:tc>
      </w:tr>
      <w:tr>
        <w:trPr>
          <w:trHeight w:val="286"/>
        </w:trPr>
        <w:tc>
          <w:tcPr>
            <w:tcW w:w="10240" w:type="dxa"/>
            <w:vAlign w:val="bottom"/>
            <w:gridSpan w:val="14"/>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Report of Independent Registered Public Accounting Firm</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0"/>
        </w:trPr>
        <w:tc>
          <w:tcPr>
            <w:tcW w:w="3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52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36">
              <w:r>
                <w:rPr>
                  <w:rFonts w:ascii="Arial" w:cs="Arial" w:eastAsia="Arial" w:hAnsi="Arial"/>
                  <w:sz w:val="18"/>
                  <w:szCs w:val="18"/>
                  <w:color w:val="0000EE"/>
                  <w:w w:val="87"/>
                </w:rPr>
                <w:t>Consolidated Statement of Assets and Liabilities as of September 30, 2011</w:t>
              </w:r>
            </w:hyperlink>
          </w:p>
        </w:tc>
        <w:tc>
          <w:tcPr>
            <w:tcW w:w="4980" w:type="dxa"/>
            <w:vAlign w:val="bottom"/>
            <w:gridSpan w:val="9"/>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304"/>
        </w:trPr>
        <w:tc>
          <w:tcPr>
            <w:tcW w:w="86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37">
              <w:r>
                <w:rPr>
                  <w:rFonts w:ascii="Arial" w:cs="Arial" w:eastAsia="Arial" w:hAnsi="Arial"/>
                  <w:sz w:val="18"/>
                  <w:szCs w:val="18"/>
                  <w:color w:val="0000EE"/>
                  <w:w w:val="88"/>
                </w:rPr>
                <w:t>Consolidated Statement of Operations for the period March 4, 2011 (commencement of operations) to September 30, 2011</w:t>
              </w:r>
            </w:hyperlink>
          </w:p>
        </w:tc>
        <w:tc>
          <w:tcPr>
            <w:tcW w:w="1580" w:type="dxa"/>
            <w:vAlign w:val="bottom"/>
            <w:gridSpan w:val="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94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38">
              <w:r>
                <w:rPr>
                  <w:rFonts w:ascii="Arial" w:cs="Arial" w:eastAsia="Arial" w:hAnsi="Arial"/>
                  <w:sz w:val="18"/>
                  <w:szCs w:val="18"/>
                  <w:color w:val="0000EE"/>
                  <w:w w:val="88"/>
                </w:rPr>
                <w:t>Consolidated Statement of Changes in Net Assets for the period March 4, 2011 (commencement of operations) to September 30, 2011</w:t>
              </w:r>
            </w:hyperlink>
          </w:p>
        </w:tc>
        <w:tc>
          <w:tcPr>
            <w:tcW w:w="7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87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239">
              <w:r>
                <w:rPr>
                  <w:rFonts w:ascii="Arial" w:cs="Arial" w:eastAsia="Arial" w:hAnsi="Arial"/>
                  <w:sz w:val="18"/>
                  <w:szCs w:val="18"/>
                  <w:color w:val="0000EE"/>
                  <w:w w:val="88"/>
                </w:rPr>
                <w:t>Consolidated Statement of Cash Flows for the period March 4, 2011 (commencement of operations) to September 30, 2011</w:t>
              </w:r>
            </w:hyperlink>
          </w:p>
        </w:tc>
        <w:tc>
          <w:tcPr>
            <w:tcW w:w="1520" w:type="dxa"/>
            <w:vAlign w:val="bottom"/>
            <w:gridSpan w:val="2"/>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45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240">
              <w:r>
                <w:rPr>
                  <w:rFonts w:ascii="Arial" w:cs="Arial" w:eastAsia="Arial" w:hAnsi="Arial"/>
                  <w:sz w:val="18"/>
                  <w:szCs w:val="18"/>
                  <w:color w:val="0000EE"/>
                  <w:w w:val="87"/>
                </w:rPr>
                <w:t>Consolidated Schedule of Investments as of September 30, 2011</w:t>
              </w:r>
            </w:hyperlink>
          </w:p>
        </w:tc>
        <w:tc>
          <w:tcPr>
            <w:tcW w:w="5700" w:type="dxa"/>
            <w:vAlign w:val="bottom"/>
            <w:gridSpan w:val="10"/>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3340" w:type="dxa"/>
            <w:vAlign w:val="bottom"/>
            <w:tcBorders>
              <w:bottom w:val="single" w:sz="8" w:color="0000EE"/>
            </w:tcBorders>
          </w:tcPr>
          <w:p>
            <w:pPr>
              <w:spacing w:after="0"/>
              <w:rPr>
                <w:rFonts w:ascii="Arial" w:cs="Arial" w:eastAsia="Arial" w:hAnsi="Arial"/>
                <w:sz w:val="18"/>
                <w:szCs w:val="18"/>
                <w:color w:val="0000EE"/>
                <w:w w:val="87"/>
              </w:rPr>
            </w:pPr>
            <w:hyperlink w:anchor="page243">
              <w:r>
                <w:rPr>
                  <w:rFonts w:ascii="Arial" w:cs="Arial" w:eastAsia="Arial" w:hAnsi="Arial"/>
                  <w:sz w:val="18"/>
                  <w:szCs w:val="18"/>
                  <w:color w:val="0000EE"/>
                  <w:w w:val="87"/>
                </w:rPr>
                <w:t>Notes to the Consolidated Financial Statements</w:t>
              </w:r>
            </w:hyperlink>
          </w:p>
        </w:tc>
        <w:tc>
          <w:tcPr>
            <w:tcW w:w="6900" w:type="dxa"/>
            <w:vAlign w:val="bottom"/>
            <w:gridSpan w:val="13"/>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43"/>
        </w:trPr>
        <w:tc>
          <w:tcPr>
            <w:tcW w:w="10240" w:type="dxa"/>
            <w:vAlign w:val="bottom"/>
            <w:gridSpan w:val="14"/>
          </w:tcPr>
          <w:p>
            <w:pPr>
              <w:spacing w:after="0"/>
              <w:rPr>
                <w:sz w:val="20"/>
                <w:szCs w:val="20"/>
                <w:color w:val="auto"/>
              </w:rPr>
            </w:pPr>
            <w:r>
              <w:rPr>
                <w:rFonts w:ascii="Arial" w:cs="Arial" w:eastAsia="Arial" w:hAnsi="Arial"/>
                <w:sz w:val="18"/>
                <w:szCs w:val="18"/>
                <w:b w:val="1"/>
                <w:bCs w:val="1"/>
                <w:color w:val="auto"/>
              </w:rPr>
              <w:t>Interim Financial Statements</w:t>
            </w:r>
          </w:p>
        </w:tc>
        <w:tc>
          <w:tcPr>
            <w:tcW w:w="1080" w:type="dxa"/>
            <w:vAlign w:val="bottom"/>
          </w:tcPr>
          <w:p>
            <w:pPr>
              <w:spacing w:after="0"/>
              <w:rPr>
                <w:sz w:val="24"/>
                <w:szCs w:val="24"/>
                <w:color w:val="auto"/>
              </w:rPr>
            </w:pPr>
          </w:p>
        </w:tc>
      </w:tr>
      <w:tr>
        <w:trPr>
          <w:trHeight w:val="286"/>
        </w:trPr>
        <w:tc>
          <w:tcPr>
            <w:tcW w:w="10240" w:type="dxa"/>
            <w:vAlign w:val="bottom"/>
            <w:gridSpan w:val="14"/>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Report of Independent Registered Public Accounting Firm</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F-25</w:t>
            </w:r>
          </w:p>
        </w:tc>
      </w:tr>
      <w:tr>
        <w:trPr>
          <w:trHeight w:val="20"/>
        </w:trPr>
        <w:tc>
          <w:tcPr>
            <w:tcW w:w="39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76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59">
              <w:r>
                <w:rPr>
                  <w:rFonts w:ascii="Arial" w:cs="Arial" w:eastAsia="Arial" w:hAnsi="Arial"/>
                  <w:sz w:val="18"/>
                  <w:szCs w:val="18"/>
                  <w:color w:val="0000EE"/>
                  <w:w w:val="88"/>
                </w:rPr>
                <w:t>Consolidated Statements of Assets and Liabilities as of March 31, 2012 (unaudited) and September 30, 2011</w:t>
              </w:r>
            </w:hyperlink>
          </w:p>
        </w:tc>
        <w:tc>
          <w:tcPr>
            <w:tcW w:w="2560" w:type="dxa"/>
            <w:vAlign w:val="bottom"/>
            <w:gridSpan w:val="4"/>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F-26</w:t>
            </w:r>
          </w:p>
        </w:tc>
      </w:tr>
      <w:tr>
        <w:trPr>
          <w:trHeight w:val="304"/>
        </w:trPr>
        <w:tc>
          <w:tcPr>
            <w:tcW w:w="71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260">
              <w:r>
                <w:rPr>
                  <w:rFonts w:ascii="Arial" w:cs="Arial" w:eastAsia="Arial" w:hAnsi="Arial"/>
                  <w:sz w:val="18"/>
                  <w:szCs w:val="18"/>
                  <w:color w:val="0000EE"/>
                  <w:w w:val="87"/>
                </w:rPr>
                <w:t>Consolidated Statement of Operations for the three and six months ended March 31, 2012 (unaudited)</w:t>
              </w:r>
            </w:hyperlink>
          </w:p>
        </w:tc>
        <w:tc>
          <w:tcPr>
            <w:tcW w:w="3060" w:type="dxa"/>
            <w:vAlign w:val="bottom"/>
            <w:gridSpan w:val="6"/>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F-27</w:t>
            </w:r>
          </w:p>
        </w:tc>
      </w:tr>
      <w:tr>
        <w:trPr>
          <w:trHeight w:val="304"/>
        </w:trPr>
        <w:tc>
          <w:tcPr>
            <w:tcW w:w="73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61">
              <w:r>
                <w:rPr>
                  <w:rFonts w:ascii="Arial" w:cs="Arial" w:eastAsia="Arial" w:hAnsi="Arial"/>
                  <w:sz w:val="18"/>
                  <w:szCs w:val="18"/>
                  <w:color w:val="0000EE"/>
                  <w:w w:val="87"/>
                </w:rPr>
                <w:t>Consolidated Statement of Changes in Net Assets for the six months ended March 31, 2012 (unaudited)</w:t>
              </w:r>
            </w:hyperlink>
          </w:p>
        </w:tc>
        <w:tc>
          <w:tcPr>
            <w:tcW w:w="294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304"/>
        </w:trPr>
        <w:tc>
          <w:tcPr>
            <w:tcW w:w="65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2">
              <w:r>
                <w:rPr>
                  <w:rFonts w:ascii="Arial" w:cs="Arial" w:eastAsia="Arial" w:hAnsi="Arial"/>
                  <w:sz w:val="18"/>
                  <w:szCs w:val="18"/>
                  <w:color w:val="0000EE"/>
                  <w:w w:val="88"/>
                </w:rPr>
                <w:t>Consolidated Statement of Cash Flows for the six months ended March 31, 2012 (unaudited)</w:t>
              </w:r>
            </w:hyperlink>
          </w:p>
        </w:tc>
        <w:tc>
          <w:tcPr>
            <w:tcW w:w="3700" w:type="dxa"/>
            <w:vAlign w:val="bottom"/>
            <w:gridSpan w:val="8"/>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304"/>
        </w:trPr>
        <w:tc>
          <w:tcPr>
            <w:tcW w:w="69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63">
              <w:r>
                <w:rPr>
                  <w:rFonts w:ascii="Arial" w:cs="Arial" w:eastAsia="Arial" w:hAnsi="Arial"/>
                  <w:sz w:val="18"/>
                  <w:szCs w:val="18"/>
                  <w:color w:val="0000EE"/>
                  <w:w w:val="87"/>
                </w:rPr>
                <w:t>Consolidated Schedules of Investments as of March 31, 2012 (unaudited) and September 30, 2011</w:t>
              </w:r>
            </w:hyperlink>
          </w:p>
        </w:tc>
        <w:tc>
          <w:tcPr>
            <w:tcW w:w="3320" w:type="dxa"/>
            <w:vAlign w:val="bottom"/>
            <w:gridSpan w:val="7"/>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304"/>
        </w:trPr>
        <w:tc>
          <w:tcPr>
            <w:tcW w:w="10240" w:type="dxa"/>
            <w:vAlign w:val="bottom"/>
            <w:gridSpan w:val="14"/>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Notes to Consolidated Financial Statements (unaudited)</w:t>
              </w:r>
            </w:hyperlink>
          </w:p>
        </w:tc>
        <w:tc>
          <w:tcPr>
            <w:tcW w:w="108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383"/>
        </w:trPr>
        <w:tc>
          <w:tcPr>
            <w:tcW w:w="3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80" w:type="dxa"/>
            <w:vAlign w:val="bottom"/>
            <w:gridSpan w:val="9"/>
          </w:tcPr>
          <w:p>
            <w:pPr>
              <w:jc w:val="center"/>
              <w:ind w:right="4060"/>
              <w:spacing w:after="0"/>
              <w:rPr>
                <w:sz w:val="20"/>
                <w:szCs w:val="20"/>
                <w:color w:val="auto"/>
              </w:rPr>
            </w:pPr>
            <w:r>
              <w:rPr>
                <w:rFonts w:ascii="Arial" w:cs="Arial" w:eastAsia="Arial" w:hAnsi="Arial"/>
                <w:sz w:val="18"/>
                <w:szCs w:val="18"/>
                <w:color w:val="auto"/>
                <w:w w:val="88"/>
              </w:rPr>
              <w:t>F-1</w:t>
            </w:r>
          </w:p>
        </w:tc>
        <w:tc>
          <w:tcPr>
            <w:tcW w:w="108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audited the accompanying consolidated statement of assets and liabilities of PennantPark Floating Rate Capital Ltd. and its Subsidiary (collectively referred to as the “Company”), including the consolidated schedule of investments as of September 30, 2011, and the related consolidated statements of operations, changes in net assets, and cash flows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Subsidiary as of September 30, 2011, and the results of their operations and their cash flows for the period March 4, 2011 (commencement of operations) to September 30, 2011, in conformity with U.S. generally accepted accounting principles.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17, 2011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0" w:type="dxa"/>
            <w:vAlign w:val="bottom"/>
          </w:tcPr>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200" w:type="dxa"/>
            <w:vAlign w:val="bottom"/>
          </w:tcPr>
          <w:p>
            <w:pPr>
              <w:ind w:left="3180"/>
              <w:spacing w:after="0"/>
              <w:rPr>
                <w:sz w:val="20"/>
                <w:szCs w:val="20"/>
                <w:color w:val="auto"/>
              </w:rPr>
            </w:pPr>
            <w:r>
              <w:rPr>
                <w:rFonts w:ascii="Arial" w:cs="Arial" w:eastAsia="Arial" w:hAnsi="Arial"/>
                <w:sz w:val="18"/>
                <w:szCs w:val="18"/>
                <w:b w:val="1"/>
                <w:bCs w:val="1"/>
                <w:color w:val="auto"/>
              </w:rPr>
              <w:t>CONSOLIDATED STATEMENT OF ASSETS AND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2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10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(cost—$114,829,621)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110,724,241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Cash equivalents (See Note 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(cost—$24,650,000), (See Notes 5 and 10)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0" w:type="dxa"/>
            <w:vAlign w:val="bottom"/>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29,003,155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100,000,000 shares authorized.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97,251,174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1020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22"/>
        </w:trPr>
        <w:tc>
          <w:tcPr>
            <w:tcW w:w="10200" w:type="dxa"/>
            <w:vAlign w:val="bottom"/>
          </w:tcPr>
          <w:p>
            <w:pPr>
              <w:ind w:left="88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20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60"/>
        <w:spacing w:after="0"/>
        <w:rPr>
          <w:sz w:val="20"/>
          <w:szCs w:val="20"/>
          <w:color w:val="auto"/>
        </w:rPr>
      </w:pPr>
      <w:r>
        <w:rPr>
          <w:rFonts w:ascii="Arial" w:cs="Arial" w:eastAsia="Arial" w:hAnsi="Arial"/>
          <w:sz w:val="16"/>
          <w:szCs w:val="16"/>
          <w:b w:val="1"/>
          <w:bCs w:val="1"/>
          <w:color w:val="auto"/>
        </w:rPr>
        <w:t>PENNANTPARK FLOATING RATE CAPITAL LTD. AND SUBSIDIARY</w:t>
      </w:r>
    </w:p>
    <w:p>
      <w:pPr>
        <w:spacing w:after="0" w:line="44" w:lineRule="exact"/>
        <w:rPr>
          <w:sz w:val="20"/>
          <w:szCs w:val="20"/>
          <w:color w:val="auto"/>
        </w:rPr>
      </w:pPr>
    </w:p>
    <w:p>
      <w:pPr>
        <w:jc w:val="center"/>
        <w:ind w:left="2660"/>
        <w:spacing w:after="0"/>
        <w:rPr>
          <w:sz w:val="20"/>
          <w:szCs w:val="20"/>
          <w:color w:val="auto"/>
        </w:rPr>
      </w:pPr>
      <w:r>
        <w:rPr>
          <w:rFonts w:ascii="Arial" w:cs="Arial" w:eastAsia="Arial" w:hAnsi="Arial"/>
          <w:sz w:val="18"/>
          <w:szCs w:val="18"/>
          <w:b w:val="1"/>
          <w:bCs w:val="1"/>
          <w:color w:val="auto"/>
        </w:rPr>
        <w:t>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non-controlled, non-affiliated investments: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 management fee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expenses on the credit facility (See Note 10)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Administrative services expenses (See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general and administrative expenses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Expenses before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issuance costs (See Note 5)</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Net investment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Realized and unrealized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realized gain on non-controlled, non-affiliated 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unrealized (depreciation)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Non-controlled, non-affiliated investments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and unrealized loss from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net assets resulting from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net assets resulting from operations per common share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per common share</w:t>
      </w:r>
    </w:p>
    <w:p>
      <w:pPr>
        <w:spacing w:after="0" w:line="171"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20" w:right="80"/>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60"/>
        <w:spacing w:after="0"/>
        <w:rPr>
          <w:sz w:val="20"/>
          <w:szCs w:val="20"/>
          <w:color w:val="auto"/>
        </w:rPr>
      </w:pPr>
      <w:r>
        <w:rPr>
          <w:rFonts w:ascii="Arial" w:cs="Arial" w:eastAsia="Arial" w:hAnsi="Arial"/>
          <w:sz w:val="14"/>
          <w:szCs w:val="14"/>
          <w:b w:val="1"/>
          <w:bCs w:val="1"/>
          <w:color w:val="auto"/>
        </w:rPr>
        <w:t>September 30, 2011</w:t>
      </w:r>
    </w:p>
    <w:p>
      <w:pPr>
        <w:spacing w:after="0" w:line="200" w:lineRule="exact"/>
        <w:rPr>
          <w:sz w:val="20"/>
          <w:szCs w:val="20"/>
          <w:color w:val="auto"/>
        </w:rPr>
      </w:pPr>
    </w:p>
    <w:p>
      <w:pPr>
        <w:spacing w:after="0" w:line="251" w:lineRule="exact"/>
        <w:rPr>
          <w:sz w:val="20"/>
          <w:szCs w:val="20"/>
          <w:color w:val="auto"/>
        </w:rPr>
      </w:pPr>
    </w:p>
    <w:p>
      <w:pPr>
        <w:ind w:left="1120" w:hanging="1111"/>
        <w:spacing w:after="0"/>
        <w:tabs>
          <w:tab w:leader="none" w:pos="11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2,946,599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8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365,433</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155,913</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182,995</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556,076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1,260,417</w:t>
      </w:r>
    </w:p>
    <w:p>
      <w:pPr>
        <w:spacing w:after="0" w:line="4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1,366,043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5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2,626,460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320,139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311,988</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(4,105,380)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(3,793,392)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ind w:left="1080" w:hanging="1071"/>
        <w:spacing w:after="0"/>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(3,473,253)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wp:posOffset>
            </wp:positionV>
            <wp:extent cx="11576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11576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30"/>
        </w:trPr>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r>
    </w:tbl>
    <w:p>
      <w:pPr>
        <w:sectPr>
          <w:pgSz w:w="11900" w:h="16838" w:orient="portrait"/>
          <w:cols w:equalWidth="0" w:num="2">
            <w:col w:w="8760" w:space="720"/>
            <w:col w:w="1900"/>
          </w:cols>
          <w:pgMar w:left="240" w:top="459" w:right="2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80" w:type="dxa"/>
            <w:vAlign w:val="bottom"/>
          </w:tcPr>
          <w:p>
            <w:pPr>
              <w:spacing w:after="0"/>
              <w:rPr>
                <w:sz w:val="12"/>
                <w:szCs w:val="12"/>
                <w:color w:val="auto"/>
              </w:rPr>
            </w:pPr>
          </w:p>
        </w:tc>
        <w:tc>
          <w:tcPr>
            <w:tcW w:w="1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49"/>
        </w:trPr>
        <w:tc>
          <w:tcPr>
            <w:tcW w:w="9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1"/>
        </w:trPr>
        <w:tc>
          <w:tcPr>
            <w:tcW w:w="9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96"/>
        </w:trPr>
        <w:tc>
          <w:tcPr>
            <w:tcW w:w="9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decrease in net assets from operations:</w:t>
            </w:r>
          </w:p>
        </w:tc>
        <w:tc>
          <w:tcPr>
            <w:tcW w:w="2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realized gain on investments and cash equivalents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Net unrealized depreciation on investments</w:t>
            </w:r>
          </w:p>
        </w:tc>
        <w:tc>
          <w:tcPr>
            <w:tcW w:w="26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decrease in net assets resulting from operations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b w:val="1"/>
                <w:bCs w:val="1"/>
                <w:color w:val="auto"/>
              </w:rPr>
              <w:t>Distributions to stockholders: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Distributions</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(1,712,667)</w:t>
            </w:r>
          </w:p>
        </w:tc>
        <w:tc>
          <w:tcPr>
            <w:tcW w:w="0" w:type="dxa"/>
            <w:vAlign w:val="bottom"/>
          </w:tcPr>
          <w:p>
            <w:pPr>
              <w:spacing w:after="0"/>
              <w:rPr>
                <w:sz w:val="1"/>
                <w:szCs w:val="1"/>
                <w:color w:val="auto"/>
              </w:rPr>
            </w:pPr>
          </w:p>
        </w:tc>
      </w:tr>
      <w:tr>
        <w:trPr>
          <w:trHeight w:val="222"/>
        </w:trPr>
        <w:tc>
          <w:tcPr>
            <w:tcW w:w="948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shares of common stock</w:t>
            </w: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102,760,000</w:t>
            </w:r>
          </w:p>
        </w:tc>
        <w:tc>
          <w:tcPr>
            <w:tcW w:w="0" w:type="dxa"/>
            <w:vAlign w:val="bottom"/>
          </w:tcPr>
          <w:p>
            <w:pPr>
              <w:spacing w:after="0"/>
              <w:rPr>
                <w:sz w:val="1"/>
                <w:szCs w:val="1"/>
                <w:color w:val="auto"/>
              </w:rPr>
            </w:pPr>
          </w:p>
        </w:tc>
      </w:tr>
      <w:tr>
        <w:trPr>
          <w:trHeight w:val="223"/>
        </w:trPr>
        <w:tc>
          <w:tcPr>
            <w:tcW w:w="9480" w:type="dxa"/>
            <w:vAlign w:val="bottom"/>
          </w:tcPr>
          <w:p>
            <w:pPr>
              <w:ind w:left="440"/>
              <w:spacing w:after="0"/>
              <w:rPr>
                <w:sz w:val="20"/>
                <w:szCs w:val="20"/>
                <w:color w:val="auto"/>
              </w:rPr>
            </w:pPr>
            <w:r>
              <w:rPr>
                <w:rFonts w:ascii="Arial" w:cs="Arial" w:eastAsia="Arial" w:hAnsi="Arial"/>
                <w:sz w:val="18"/>
                <w:szCs w:val="18"/>
                <w:color w:val="auto"/>
              </w:rPr>
              <w:t>Offering costs</w:t>
            </w:r>
          </w:p>
        </w:tc>
        <w:tc>
          <w:tcPr>
            <w:tcW w:w="26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(5,501,975)</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97,258,025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80" w:type="dxa"/>
            <w:vAlign w:val="bottom"/>
          </w:tcPr>
          <w:p>
            <w:pPr>
              <w:spacing w:after="0"/>
              <w:rPr>
                <w:sz w:val="20"/>
                <w:szCs w:val="20"/>
                <w:color w:val="auto"/>
              </w:rPr>
            </w:pPr>
            <w:r>
              <w:rPr>
                <w:rFonts w:ascii="Arial" w:cs="Arial" w:eastAsia="Arial" w:hAnsi="Arial"/>
                <w:sz w:val="18"/>
                <w:szCs w:val="18"/>
                <w:b w:val="1"/>
                <w:bCs w:val="1"/>
                <w:color w:val="auto"/>
              </w:rPr>
              <w:t>Total increase in net assets</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18"/>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440"/>
              <w:spacing w:after="0"/>
              <w:rPr>
                <w:sz w:val="20"/>
                <w:szCs w:val="20"/>
                <w:color w:val="auto"/>
              </w:rPr>
            </w:pPr>
            <w:r>
              <w:rPr>
                <w:rFonts w:ascii="Arial" w:cs="Arial" w:eastAsia="Arial" w:hAnsi="Arial"/>
                <w:sz w:val="18"/>
                <w:szCs w:val="18"/>
                <w:color w:val="auto"/>
              </w:rPr>
              <w:t>Beginning of period</w:t>
            </w:r>
          </w:p>
        </w:tc>
        <w:tc>
          <w:tcPr>
            <w:tcW w:w="2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ind w:left="440"/>
              <w:spacing w:after="0"/>
              <w:rPr>
                <w:sz w:val="20"/>
                <w:szCs w:val="20"/>
                <w:color w:val="auto"/>
              </w:rPr>
            </w:pPr>
            <w:r>
              <w:rPr>
                <w:rFonts w:ascii="Arial" w:cs="Arial" w:eastAsia="Arial" w:hAnsi="Arial"/>
                <w:sz w:val="18"/>
                <w:szCs w:val="18"/>
                <w:color w:val="auto"/>
              </w:rPr>
              <w:t>Distributions in excess of net investment income, at period end</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26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440"/>
              <w:spacing w:after="0"/>
              <w:rPr>
                <w:sz w:val="20"/>
                <w:szCs w:val="20"/>
                <w:color w:val="auto"/>
              </w:rPr>
            </w:pPr>
            <w:r>
              <w:rPr>
                <w:rFonts w:ascii="Arial" w:cs="Arial" w:eastAsia="Arial" w:hAnsi="Arial"/>
                <w:sz w:val="18"/>
                <w:szCs w:val="18"/>
                <w:color w:val="auto"/>
              </w:rPr>
              <w:t>Shares issued from public and private offerings</w:t>
            </w:r>
          </w:p>
        </w:tc>
        <w:tc>
          <w:tcPr>
            <w:tcW w:w="2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6,850,667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660"/>
        <w:spacing w:after="0"/>
        <w:rPr>
          <w:sz w:val="20"/>
          <w:szCs w:val="20"/>
          <w:color w:val="auto"/>
        </w:rPr>
      </w:pPr>
      <w:r>
        <w:rPr>
          <w:rFonts w:ascii="Arial" w:cs="Arial" w:eastAsia="Arial" w:hAnsi="Arial"/>
          <w:sz w:val="16"/>
          <w:szCs w:val="16"/>
          <w:b w:val="1"/>
          <w:bCs w:val="1"/>
          <w:color w:val="auto"/>
        </w:rPr>
        <w:t>PENNANTPARK FLOATING RATE CAPITAL LTD. AND SUBSIDIARY</w:t>
      </w:r>
    </w:p>
    <w:p>
      <w:pPr>
        <w:spacing w:after="0" w:line="44" w:lineRule="exact"/>
        <w:rPr>
          <w:sz w:val="20"/>
          <w:szCs w:val="20"/>
          <w:color w:val="auto"/>
        </w:rPr>
      </w:pPr>
    </w:p>
    <w:p>
      <w:pPr>
        <w:jc w:val="center"/>
        <w:ind w:left="266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decrease in net assets resulting from operations</w:t>
      </w:r>
    </w:p>
    <w:p>
      <w:pPr>
        <w:spacing w:after="0" w:line="23" w:lineRule="exact"/>
        <w:rPr>
          <w:sz w:val="20"/>
          <w:szCs w:val="20"/>
          <w:color w:val="auto"/>
        </w:rPr>
      </w:pPr>
    </w:p>
    <w:p>
      <w:pPr>
        <w:ind w:left="660" w:right="1540" w:hanging="215"/>
        <w:spacing w:after="0" w:line="258" w:lineRule="auto"/>
        <w:rPr>
          <w:sz w:val="20"/>
          <w:szCs w:val="20"/>
          <w:color w:val="auto"/>
        </w:rPr>
      </w:pPr>
      <w:r>
        <w:rPr>
          <w:rFonts w:ascii="Arial" w:cs="Arial" w:eastAsia="Arial" w:hAnsi="Arial"/>
          <w:sz w:val="18"/>
          <w:szCs w:val="18"/>
          <w:color w:val="auto"/>
        </w:rPr>
        <w:t>Adjustments to reconcile net decrease in net assets resulting from operations to net 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283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net unrealized depreciation on investments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Purchase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Proceeds from disposition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receivables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prepaid expenses and other assets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for operating activities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Proceeds from issuance of common stock</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Repayments under credit facility (See Note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20" w:right="120"/>
        <w:spacing w:after="0" w:line="228" w:lineRule="auto"/>
        <w:rPr>
          <w:sz w:val="20"/>
          <w:szCs w:val="20"/>
          <w:color w:val="auto"/>
        </w:rPr>
      </w:pPr>
      <w:r>
        <w:rPr>
          <w:rFonts w:ascii="Arial" w:cs="Arial" w:eastAsia="Arial" w:hAnsi="Arial"/>
          <w:sz w:val="14"/>
          <w:szCs w:val="14"/>
          <w:b w:val="1"/>
          <w:bCs w:val="1"/>
          <w:color w:val="auto"/>
        </w:rPr>
        <w:t>For the period March 4, 2011 (commencement of operations) to</w:t>
      </w:r>
    </w:p>
    <w:p>
      <w:pPr>
        <w:ind w:left="360"/>
        <w:spacing w:after="0"/>
        <w:rPr>
          <w:sz w:val="20"/>
          <w:szCs w:val="20"/>
          <w:color w:val="auto"/>
        </w:rPr>
      </w:pPr>
      <w:r>
        <w:rPr>
          <w:rFonts w:ascii="Arial" w:cs="Arial" w:eastAsia="Arial" w:hAnsi="Arial"/>
          <w:sz w:val="14"/>
          <w:szCs w:val="14"/>
          <w:b w:val="1"/>
          <w:bCs w:val="1"/>
          <w:color w:val="auto"/>
        </w:rPr>
        <w:t>September 30, 2011</w:t>
      </w:r>
    </w:p>
    <w:p>
      <w:pPr>
        <w:spacing w:after="0" w:line="222" w:lineRule="exact"/>
        <w:rPr>
          <w:sz w:val="20"/>
          <w:szCs w:val="20"/>
          <w:color w:val="auto"/>
        </w:rPr>
      </w:pPr>
    </w:p>
    <w:p>
      <w:pPr>
        <w:ind w:left="1080" w:hanging="1071"/>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(3,473,253)</w:t>
      </w:r>
    </w:p>
    <w:p>
      <w:pPr>
        <w:spacing w:after="0" w:line="200" w:lineRule="exact"/>
        <w:rPr>
          <w:sz w:val="20"/>
          <w:szCs w:val="20"/>
          <w:color w:val="auto"/>
        </w:rPr>
      </w:pPr>
    </w:p>
    <w:p>
      <w:pPr>
        <w:spacing w:after="0" w:line="29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4,105,380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(311,988)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(136,975)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(147,545,077)</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(42,074)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33,206,493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(732,695)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(2,467,500)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(163,374)</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2,323,250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990,000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150,246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266,432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143,680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(113,687,455)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115760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5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102,760,000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(5,501,975)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(1,233,120)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29,000,000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(4,350,000)</w:t>
      </w:r>
    </w:p>
    <w:p>
      <w:pPr>
        <w:spacing w:after="0" w:line="15" w:lineRule="exact"/>
        <w:rPr>
          <w:sz w:val="20"/>
          <w:szCs w:val="20"/>
          <w:color w:val="auto"/>
        </w:rPr>
      </w:pPr>
    </w:p>
    <w:p>
      <w:pPr>
        <w:sectPr>
          <w:pgSz w:w="11900" w:h="16838" w:orient="portrait"/>
          <w:cols w:equalWidth="0" w:num="2">
            <w:col w:w="8760" w:space="720"/>
            <w:col w:w="1940"/>
          </w:cols>
          <w:pgMar w:left="240" w:top="460" w:right="239" w:bottom="1440" w:gutter="0" w:footer="0" w:header="0"/>
        </w:sectPr>
      </w:pPr>
    </w:p>
    <w:tbl>
      <w:tblPr>
        <w:tblLayout w:type="fixed"/>
        <w:tblInd w:w="0" w:type="dxa"/>
        <w:tblCellMar>
          <w:top w:w="0" w:type="dxa"/>
          <w:left w:w="0" w:type="dxa"/>
          <w:bottom w:w="0" w:type="dxa"/>
          <w:right w:w="0" w:type="dxa"/>
        </w:tblCellMar>
      </w:tblPr>
      <w:tr>
        <w:trPr>
          <w:trHeight w:val="239"/>
        </w:trPr>
        <w:tc>
          <w:tcPr>
            <w:tcW w:w="94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120,674,905</w:t>
            </w:r>
          </w:p>
        </w:tc>
        <w:tc>
          <w:tcPr>
            <w:tcW w:w="100" w:type="dxa"/>
            <w:vAlign w:val="bottom"/>
            <w:shd w:val="clear" w:color="auto" w:fill="CCEEFF"/>
          </w:tcPr>
          <w:p>
            <w:pPr>
              <w:spacing w:after="0"/>
              <w:rPr>
                <w:sz w:val="20"/>
                <w:szCs w:val="20"/>
                <w:color w:val="auto"/>
              </w:rPr>
            </w:pPr>
          </w:p>
        </w:tc>
      </w:tr>
      <w:tr>
        <w:trPr>
          <w:trHeight w:val="235"/>
        </w:trPr>
        <w:tc>
          <w:tcPr>
            <w:tcW w:w="9480" w:type="dxa"/>
            <w:vAlign w:val="bottom"/>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52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32"/>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5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36"/>
        </w:trPr>
        <w:tc>
          <w:tcPr>
            <w:tcW w:w="9480" w:type="dxa"/>
            <w:vAlign w:val="bottom"/>
          </w:tcPr>
          <w:p>
            <w:pPr>
              <w:spacing w:after="0"/>
              <w:rPr>
                <w:sz w:val="20"/>
                <w:szCs w:val="20"/>
                <w:color w:val="auto"/>
              </w:rPr>
            </w:pPr>
            <w:r>
              <w:rPr>
                <w:rFonts w:ascii="Arial" w:cs="Arial" w:eastAsia="Arial" w:hAnsi="Arial"/>
                <w:sz w:val="18"/>
                <w:szCs w:val="18"/>
                <w:b w:val="1"/>
                <w:bCs w:val="1"/>
                <w:color w:val="auto"/>
              </w:rPr>
              <w:t>Cash equivalents, end of year</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0"/>
        </w:trPr>
        <w:tc>
          <w:tcPr>
            <w:tcW w:w="9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8"/>
        </w:trPr>
        <w:tc>
          <w:tcPr>
            <w:tcW w:w="9480" w:type="dxa"/>
            <w:vAlign w:val="bottom"/>
          </w:tcPr>
          <w:p>
            <w:pPr>
              <w:spacing w:after="0"/>
              <w:rPr>
                <w:sz w:val="20"/>
                <w:szCs w:val="20"/>
                <w:color w:val="auto"/>
              </w:rPr>
            </w:pPr>
            <w:r>
              <w:rPr>
                <w:rFonts w:ascii="Arial" w:cs="Arial" w:eastAsia="Arial" w:hAnsi="Arial"/>
                <w:sz w:val="18"/>
                <w:szCs w:val="18"/>
                <w:color w:val="auto"/>
              </w:rPr>
              <w:t>Interest paid</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5,556</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type w:val="continuous"/>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64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840" w:type="dxa"/>
            <w:vAlign w:val="bottom"/>
          </w:tcPr>
          <w:p>
            <w:pPr>
              <w:spacing w:after="0"/>
              <w:rPr>
                <w:sz w:val="15"/>
                <w:szCs w:val="15"/>
                <w:color w:val="auto"/>
              </w:rPr>
            </w:pPr>
          </w:p>
        </w:tc>
        <w:tc>
          <w:tcPr>
            <w:tcW w:w="14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94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76"/>
              </w:rPr>
              <w:t>Cost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jc w:val="center"/>
              <w:ind w:right="180"/>
              <w:spacing w:after="0" w:line="176" w:lineRule="exact"/>
              <w:rPr>
                <w:sz w:val="20"/>
                <w:szCs w:val="20"/>
                <w:color w:val="auto"/>
              </w:rPr>
            </w:pPr>
            <w:r>
              <w:rPr>
                <w:rFonts w:ascii="Arial" w:cs="Arial" w:eastAsia="Arial" w:hAnsi="Arial"/>
                <w:sz w:val="13"/>
                <w:szCs w:val="13"/>
                <w:b w:val="1"/>
                <w:bCs w:val="1"/>
                <w:color w:val="auto"/>
                <w:w w:val="90"/>
              </w:rPr>
              <w:t>Value</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24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w:t>
            </w:r>
          </w:p>
        </w:tc>
        <w:tc>
          <w:tcPr>
            <w:tcW w:w="5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Companies—120.2%</w:t>
            </w:r>
            <w:r>
              <w:rPr>
                <w:rFonts w:ascii="Arial" w:cs="Arial" w:eastAsia="Arial" w:hAnsi="Arial"/>
                <w:sz w:val="20"/>
                <w:szCs w:val="20"/>
                <w:b w:val="1"/>
                <w:bCs w:val="1"/>
                <w:color w:val="auto"/>
                <w:vertAlign w:val="superscript"/>
              </w:rPr>
              <w:t>(3),(4)</w:t>
            </w: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Airvana Network Solutions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3/25/2015</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87"/>
              </w:rPr>
              <w:t>Telecommunications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L+800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1,209,524</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1,213,365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1,215,571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Artel, LLC</w:t>
            </w:r>
            <w:r>
              <w:rPr>
                <w:rFonts w:ascii="Arial" w:cs="Arial" w:eastAsia="Arial" w:hAnsi="Arial"/>
                <w:sz w:val="18"/>
                <w:szCs w:val="18"/>
                <w:color w:val="auto"/>
                <w:vertAlign w:val="superscript"/>
              </w:rPr>
              <w:t>(11)</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6/1/2016</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87"/>
              </w:rPr>
              <w:t>Telecommunications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L+425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978,043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972,688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Autoparts Holdings Limited</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7/29/2017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91"/>
              </w:rPr>
              <w:t>Automotive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6.50%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995,085</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Chester Downs and Marina, LLC</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7/31/2016</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Hotel, Gaming and Leisure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12.38%</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L+988</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478,873</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488,220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C.H.I. Overhead Doors,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8/17/2017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7"/>
              </w:rPr>
              <w:t>Consumer Goods: Durable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L+575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4,000,000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3,921,236</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3,900,000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EAG,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7/28/2017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6.75%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P+350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987,500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982,590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967,750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Ernest Health, Inc.</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5/13/2016</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Healthcare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L+475</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2,966,250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2,939,107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2,936,587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4"/>
              </w:rPr>
              <w:t>Pharmaceuticals</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Frac Tech International, LLC</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5/6/2016</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Energy: Oil and Gas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2,073,930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2,054,330</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2,033,747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Gundle/SLT Environmental,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5/27/2016</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9"/>
              </w:rPr>
              <w:t>Environmental Industries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7.01%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L+550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2,964,467</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40" w:type="dxa"/>
            <w:vAlign w:val="bottom"/>
            <w:gridSpan w:val="2"/>
          </w:tcPr>
          <w:p>
            <w:pPr>
              <w:spacing w:after="0" w:line="133" w:lineRule="exact"/>
              <w:rPr>
                <w:sz w:val="20"/>
                <w:szCs w:val="20"/>
                <w:color w:val="auto"/>
              </w:rPr>
            </w:pPr>
            <w:r>
              <w:rPr>
                <w:rFonts w:ascii="Arial" w:cs="Arial" w:eastAsia="Arial" w:hAnsi="Arial"/>
                <w:sz w:val="10"/>
                <w:szCs w:val="10"/>
                <w:color w:val="auto"/>
              </w:rPr>
              <w:t>Harmony Foods Corporation</w:t>
            </w:r>
            <w:r>
              <w:rPr>
                <w:rFonts w:ascii="Arial" w:cs="Arial" w:eastAsia="Arial" w:hAnsi="Arial"/>
                <w:sz w:val="15"/>
                <w:szCs w:val="15"/>
                <w:color w:val="auto"/>
                <w:vertAlign w:val="superscript"/>
              </w:rPr>
              <w:t>(5) (6)</w:t>
            </w:r>
          </w:p>
        </w:tc>
        <w:tc>
          <w:tcPr>
            <w:tcW w:w="1160" w:type="dxa"/>
            <w:vAlign w:val="bottom"/>
            <w:gridSpan w:val="2"/>
          </w:tcPr>
          <w:p>
            <w:pPr>
              <w:jc w:val="center"/>
              <w:ind w:left="492"/>
              <w:spacing w:after="0" w:line="133" w:lineRule="exact"/>
              <w:rPr>
                <w:sz w:val="20"/>
                <w:szCs w:val="20"/>
                <w:color w:val="auto"/>
              </w:rPr>
            </w:pPr>
            <w:r>
              <w:rPr>
                <w:rFonts w:ascii="Arial" w:cs="Arial" w:eastAsia="Arial" w:hAnsi="Arial"/>
                <w:sz w:val="14"/>
                <w:szCs w:val="14"/>
                <w:color w:val="auto"/>
                <w:w w:val="88"/>
              </w:rPr>
              <w:t>5/1/2016</w:t>
            </w:r>
          </w:p>
        </w:tc>
        <w:tc>
          <w:tcPr>
            <w:tcW w:w="160" w:type="dxa"/>
            <w:vAlign w:val="bottom"/>
          </w:tcPr>
          <w:p>
            <w:pPr>
              <w:spacing w:after="0"/>
              <w:rPr>
                <w:sz w:val="11"/>
                <w:szCs w:val="11"/>
                <w:color w:val="auto"/>
              </w:rPr>
            </w:pPr>
          </w:p>
        </w:tc>
        <w:tc>
          <w:tcPr>
            <w:tcW w:w="2320" w:type="dxa"/>
            <w:vAlign w:val="bottom"/>
            <w:gridSpan w:val="3"/>
          </w:tcPr>
          <w:p>
            <w:pPr>
              <w:jc w:val="center"/>
              <w:ind w:right="140"/>
              <w:spacing w:after="0" w:line="133" w:lineRule="exact"/>
              <w:rPr>
                <w:sz w:val="20"/>
                <w:szCs w:val="20"/>
                <w:color w:val="auto"/>
              </w:rPr>
            </w:pPr>
            <w:r>
              <w:rPr>
                <w:rFonts w:ascii="Arial" w:cs="Arial" w:eastAsia="Arial" w:hAnsi="Arial"/>
                <w:sz w:val="14"/>
                <w:szCs w:val="14"/>
                <w:color w:val="auto"/>
                <w:w w:val="85"/>
              </w:rPr>
              <w:t>Beverage, Food and Tobacco</w:t>
            </w:r>
          </w:p>
        </w:tc>
        <w:tc>
          <w:tcPr>
            <w:tcW w:w="960" w:type="dxa"/>
            <w:vAlign w:val="bottom"/>
            <w:gridSpan w:val="2"/>
          </w:tcPr>
          <w:p>
            <w:pPr>
              <w:jc w:val="right"/>
              <w:ind w:right="340"/>
              <w:spacing w:after="0" w:line="133" w:lineRule="exact"/>
              <w:rPr>
                <w:sz w:val="20"/>
                <w:szCs w:val="20"/>
                <w:color w:val="auto"/>
              </w:rPr>
            </w:pPr>
            <w:r>
              <w:rPr>
                <w:rFonts w:ascii="Arial" w:cs="Arial" w:eastAsia="Arial" w:hAnsi="Arial"/>
                <w:sz w:val="14"/>
                <w:szCs w:val="14"/>
                <w:color w:val="auto"/>
              </w:rPr>
              <w:t>10.00%</w:t>
            </w:r>
          </w:p>
        </w:tc>
        <w:tc>
          <w:tcPr>
            <w:tcW w:w="940" w:type="dxa"/>
            <w:vAlign w:val="bottom"/>
            <w:gridSpan w:val="2"/>
          </w:tcPr>
          <w:p>
            <w:pPr>
              <w:jc w:val="right"/>
              <w:ind w:right="320"/>
              <w:spacing w:after="0" w:line="133"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40"/>
              <w:spacing w:after="0" w:line="133" w:lineRule="exact"/>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1"/>
                <w:szCs w:val="11"/>
                <w:color w:val="auto"/>
              </w:rPr>
            </w:pPr>
          </w:p>
        </w:tc>
        <w:tc>
          <w:tcPr>
            <w:tcW w:w="600" w:type="dxa"/>
            <w:vAlign w:val="bottom"/>
            <w:gridSpan w:val="3"/>
          </w:tcPr>
          <w:p>
            <w:pPr>
              <w:jc w:val="right"/>
              <w:spacing w:after="0" w:line="133" w:lineRule="exact"/>
              <w:rPr>
                <w:sz w:val="20"/>
                <w:szCs w:val="20"/>
                <w:color w:val="auto"/>
              </w:rPr>
            </w:pPr>
            <w:r>
              <w:rPr>
                <w:rFonts w:ascii="Arial" w:cs="Arial" w:eastAsia="Arial" w:hAnsi="Arial"/>
                <w:sz w:val="14"/>
                <w:szCs w:val="14"/>
                <w:color w:val="auto"/>
                <w:w w:val="93"/>
              </w:rPr>
              <w:t>2,000,000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jc w:val="right"/>
              <w:spacing w:after="0" w:line="133" w:lineRule="exact"/>
              <w:rPr>
                <w:sz w:val="20"/>
                <w:szCs w:val="20"/>
                <w:color w:val="auto"/>
              </w:rPr>
            </w:pPr>
            <w:r>
              <w:rPr>
                <w:rFonts w:ascii="Arial" w:cs="Arial" w:eastAsia="Arial" w:hAnsi="Arial"/>
                <w:sz w:val="14"/>
                <w:szCs w:val="14"/>
                <w:color w:val="auto"/>
                <w:w w:val="96"/>
              </w:rPr>
              <w:t>1,990,000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gridSpan w:val="2"/>
          </w:tcPr>
          <w:p>
            <w:pPr>
              <w:spacing w:after="0" w:line="151" w:lineRule="exact"/>
              <w:rPr>
                <w:sz w:val="20"/>
                <w:szCs w:val="20"/>
                <w:color w:val="auto"/>
              </w:rPr>
            </w:pPr>
            <w:r>
              <w:rPr>
                <w:rFonts w:ascii="Arial" w:cs="Arial" w:eastAsia="Arial" w:hAnsi="Arial"/>
                <w:sz w:val="11"/>
                <w:szCs w:val="11"/>
                <w:color w:val="auto"/>
              </w:rPr>
              <w:t>Insight Global, Inc.</w:t>
            </w:r>
            <w:r>
              <w:rPr>
                <w:rFonts w:ascii="Arial" w:cs="Arial" w:eastAsia="Arial" w:hAnsi="Arial"/>
                <w:sz w:val="17"/>
                <w:szCs w:val="17"/>
                <w:color w:val="auto"/>
                <w:vertAlign w:val="superscript"/>
              </w:rPr>
              <w:t>(11)</w:t>
            </w:r>
          </w:p>
        </w:tc>
        <w:tc>
          <w:tcPr>
            <w:tcW w:w="1160" w:type="dxa"/>
            <w:vAlign w:val="bottom"/>
            <w:gridSpan w:val="2"/>
          </w:tcPr>
          <w:p>
            <w:pPr>
              <w:jc w:val="center"/>
              <w:ind w:left="512"/>
              <w:spacing w:after="0" w:line="151" w:lineRule="exact"/>
              <w:rPr>
                <w:sz w:val="20"/>
                <w:szCs w:val="20"/>
                <w:color w:val="auto"/>
              </w:rPr>
            </w:pPr>
            <w:r>
              <w:rPr>
                <w:rFonts w:ascii="Arial" w:cs="Arial" w:eastAsia="Arial" w:hAnsi="Arial"/>
                <w:sz w:val="14"/>
                <w:szCs w:val="14"/>
                <w:color w:val="auto"/>
                <w:w w:val="86"/>
              </w:rPr>
              <w:t>8/16/2017</w:t>
            </w:r>
          </w:p>
        </w:tc>
        <w:tc>
          <w:tcPr>
            <w:tcW w:w="160" w:type="dxa"/>
            <w:vAlign w:val="bottom"/>
          </w:tcPr>
          <w:p>
            <w:pPr>
              <w:spacing w:after="0"/>
              <w:rPr>
                <w:sz w:val="13"/>
                <w:szCs w:val="13"/>
                <w:color w:val="auto"/>
              </w:rPr>
            </w:pPr>
          </w:p>
        </w:tc>
        <w:tc>
          <w:tcPr>
            <w:tcW w:w="2320" w:type="dxa"/>
            <w:vAlign w:val="bottom"/>
            <w:gridSpan w:val="3"/>
          </w:tcPr>
          <w:p>
            <w:pPr>
              <w:jc w:val="center"/>
              <w:ind w:right="140"/>
              <w:spacing w:after="0" w:line="151"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line="151" w:lineRule="exact"/>
              <w:rPr>
                <w:sz w:val="20"/>
                <w:szCs w:val="20"/>
                <w:color w:val="auto"/>
              </w:rPr>
            </w:pPr>
            <w:r>
              <w:rPr>
                <w:rFonts w:ascii="Arial" w:cs="Arial" w:eastAsia="Arial" w:hAnsi="Arial"/>
                <w:sz w:val="14"/>
                <w:szCs w:val="14"/>
                <w:color w:val="auto"/>
              </w:rPr>
              <w:t>6.50%</w:t>
            </w:r>
          </w:p>
        </w:tc>
        <w:tc>
          <w:tcPr>
            <w:tcW w:w="940" w:type="dxa"/>
            <w:vAlign w:val="bottom"/>
            <w:gridSpan w:val="2"/>
          </w:tcPr>
          <w:p>
            <w:pPr>
              <w:jc w:val="right"/>
              <w:ind w:right="260"/>
              <w:spacing w:after="0" w:line="151" w:lineRule="exact"/>
              <w:rPr>
                <w:sz w:val="20"/>
                <w:szCs w:val="20"/>
                <w:color w:val="auto"/>
              </w:rPr>
            </w:pPr>
            <w:r>
              <w:rPr>
                <w:rFonts w:ascii="Arial" w:cs="Arial" w:eastAsia="Arial" w:hAnsi="Arial"/>
                <w:sz w:val="14"/>
                <w:szCs w:val="14"/>
                <w:color w:val="auto"/>
              </w:rPr>
              <w:t>L+500</w:t>
            </w:r>
          </w:p>
        </w:tc>
        <w:tc>
          <w:tcPr>
            <w:tcW w:w="80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2,493,750</w:t>
            </w:r>
          </w:p>
        </w:tc>
        <w:tc>
          <w:tcPr>
            <w:tcW w:w="200" w:type="dxa"/>
            <w:vAlign w:val="bottom"/>
          </w:tcPr>
          <w:p>
            <w:pPr>
              <w:spacing w:after="0"/>
              <w:rPr>
                <w:sz w:val="13"/>
                <w:szCs w:val="13"/>
                <w:color w:val="auto"/>
              </w:rPr>
            </w:pPr>
          </w:p>
        </w:tc>
        <w:tc>
          <w:tcPr>
            <w:tcW w:w="600" w:type="dxa"/>
            <w:vAlign w:val="bottom"/>
            <w:gridSpan w:val="3"/>
          </w:tcPr>
          <w:p>
            <w:pPr>
              <w:jc w:val="right"/>
              <w:spacing w:after="0" w:line="151" w:lineRule="exact"/>
              <w:rPr>
                <w:sz w:val="20"/>
                <w:szCs w:val="20"/>
                <w:color w:val="auto"/>
              </w:rPr>
            </w:pPr>
            <w:r>
              <w:rPr>
                <w:rFonts w:ascii="Arial" w:cs="Arial" w:eastAsia="Arial" w:hAnsi="Arial"/>
                <w:sz w:val="14"/>
                <w:szCs w:val="14"/>
                <w:color w:val="auto"/>
                <w:w w:val="93"/>
              </w:rPr>
              <w:t>2,481,331</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1" w:lineRule="exact"/>
              <w:rPr>
                <w:sz w:val="20"/>
                <w:szCs w:val="20"/>
                <w:color w:val="auto"/>
              </w:rPr>
            </w:pPr>
            <w:r>
              <w:rPr>
                <w:rFonts w:ascii="Arial" w:cs="Arial" w:eastAsia="Arial" w:hAnsi="Arial"/>
                <w:sz w:val="14"/>
                <w:szCs w:val="14"/>
                <w:color w:val="auto"/>
                <w:w w:val="96"/>
              </w:rPr>
              <w:t>2,475,047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Instant Web, Inc.</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8/7/2014</w:t>
            </w:r>
          </w:p>
        </w:tc>
        <w:tc>
          <w:tcPr>
            <w:tcW w:w="160" w:type="dxa"/>
            <w:vAlign w:val="bottom"/>
          </w:tcPr>
          <w:p>
            <w:pPr>
              <w:spacing w:after="0"/>
              <w:rPr>
                <w:sz w:val="15"/>
                <w:szCs w:val="15"/>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92"/>
              </w:rPr>
              <w:t>Media: Advertising,</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3.61%</w:t>
            </w:r>
          </w:p>
        </w:tc>
        <w:tc>
          <w:tcPr>
            <w:tcW w:w="940" w:type="dxa"/>
            <w:vAlign w:val="bottom"/>
            <w:gridSpan w:val="2"/>
          </w:tcPr>
          <w:p>
            <w:pPr>
              <w:jc w:val="right"/>
              <w:ind w:right="120"/>
              <w:spacing w:after="0" w:line="179" w:lineRule="exact"/>
              <w:rPr>
                <w:sz w:val="20"/>
                <w:szCs w:val="20"/>
                <w:color w:val="auto"/>
              </w:rPr>
            </w:pPr>
            <w:r>
              <w:rPr>
                <w:rFonts w:ascii="Arial" w:cs="Arial" w:eastAsia="Arial" w:hAnsi="Arial"/>
                <w:sz w:val="13"/>
                <w:szCs w:val="13"/>
                <w:color w:val="auto"/>
              </w:rPr>
              <w:t>L+338</w:t>
            </w:r>
            <w:r>
              <w:rPr>
                <w:rFonts w:ascii="Arial" w:cs="Arial" w:eastAsia="Arial" w:hAnsi="Arial"/>
                <w:sz w:val="20"/>
                <w:szCs w:val="20"/>
                <w:color w:val="auto"/>
                <w:vertAlign w:val="superscript"/>
              </w:rPr>
              <w:t>(7)</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6,981,823</w:t>
            </w:r>
          </w:p>
        </w:tc>
        <w:tc>
          <w:tcPr>
            <w:tcW w:w="20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6,523,240</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6,283,641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9"/>
              </w:rPr>
              <w:t>Printing and Publishing</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K2 Pure Solutions NoCal, L.P.</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9/10/2015</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6"/>
              </w:rPr>
              <w:t>Chemicals, Plastics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10.00%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P+675</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5,476,250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5,525,637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5,202,437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1000"/>
              <w:spacing w:after="0" w:line="159" w:lineRule="exact"/>
              <w:rPr>
                <w:sz w:val="20"/>
                <w:szCs w:val="20"/>
                <w:color w:val="auto"/>
              </w:rPr>
            </w:pPr>
            <w:r>
              <w:rPr>
                <w:rFonts w:ascii="Arial" w:cs="Arial" w:eastAsia="Arial" w:hAnsi="Arial"/>
                <w:sz w:val="14"/>
                <w:szCs w:val="14"/>
                <w:color w:val="auto"/>
                <w:w w:val="87"/>
              </w:rPr>
              <w:t>Rubber</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KAR Auction Services, Inc.</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5/19/2017</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91"/>
              </w:rPr>
              <w:t>Automotive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L+375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2,978,487</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2,895,244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KIK Custom Products Inc.</w:t>
            </w:r>
            <w:r>
              <w:rPr>
                <w:rFonts w:ascii="Arial" w:cs="Arial" w:eastAsia="Arial" w:hAnsi="Arial"/>
                <w:sz w:val="15"/>
                <w:szCs w:val="15"/>
                <w:color w:val="auto"/>
                <w:vertAlign w:val="superscript"/>
              </w:rPr>
              <w:t>(7)</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5/31/2014</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Consumer Goods:</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8.50%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L+700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4,987,500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4,847,186</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4,713,187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8"/>
              </w:rPr>
              <w:t>Non-Durable</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Medpace Holdings,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6/17/2017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L+500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1,995,000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1,966,025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1,895,250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(7)(11)</w:t>
            </w:r>
          </w:p>
        </w:tc>
        <w:tc>
          <w:tcPr>
            <w:tcW w:w="11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8"/>
              </w:rPr>
              <w:t>5/6/2018</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0"/>
              </w:rPr>
              <w:t>Media: Diversified and</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7.00%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L+550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3,990,000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3,951,886</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3,670,800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6"/>
              </w:rPr>
              <w:t>Production</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8/1/2014</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Media: Diversified and Production</w:t>
            </w: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2"/>
                <w:szCs w:val="12"/>
                <w:color w:val="auto"/>
              </w:rPr>
              <w:t>5.00%</w:t>
            </w:r>
            <w:r>
              <w:rPr>
                <w:rFonts w:ascii="Arial" w:cs="Arial" w:eastAsia="Arial" w:hAnsi="Arial"/>
                <w:sz w:val="18"/>
                <w:szCs w:val="18"/>
                <w:color w:val="auto"/>
                <w:vertAlign w:val="superscript"/>
              </w:rPr>
              <w:t>(8)</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5,498,048</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4,675,936</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3,802,818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Potter’s Holdings II, L.P.</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492"/>
              <w:spacing w:after="0" w:line="138" w:lineRule="exact"/>
              <w:rPr>
                <w:sz w:val="20"/>
                <w:szCs w:val="20"/>
                <w:color w:val="auto"/>
              </w:rPr>
            </w:pPr>
            <w:r>
              <w:rPr>
                <w:rFonts w:ascii="Arial" w:cs="Arial" w:eastAsia="Arial" w:hAnsi="Arial"/>
                <w:sz w:val="14"/>
                <w:szCs w:val="14"/>
                <w:color w:val="auto"/>
                <w:w w:val="88"/>
              </w:rPr>
              <w:t>5/8/2017</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Containers, Packaging</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L+450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1,995,000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1,976,257</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1,900,237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and Glass</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Pro Mach, Inc.</w:t>
            </w:r>
            <w:r>
              <w:rPr>
                <w:rFonts w:ascii="Arial" w:cs="Arial" w:eastAsia="Arial" w:hAnsi="Arial"/>
                <w:sz w:val="18"/>
                <w:szCs w:val="18"/>
                <w:color w:val="auto"/>
                <w:vertAlign w:val="superscript"/>
              </w:rPr>
              <w:t>(11)</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7/6/2017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Capital Equipment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997,500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987,986</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982,537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Securus Technologies,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5/31/2017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60"/>
              <w:spacing w:after="0"/>
              <w:rPr>
                <w:sz w:val="20"/>
                <w:szCs w:val="20"/>
                <w:color w:val="auto"/>
              </w:rPr>
            </w:pPr>
            <w:r>
              <w:rPr>
                <w:rFonts w:ascii="Arial" w:cs="Arial" w:eastAsia="Arial" w:hAnsi="Arial"/>
                <w:sz w:val="14"/>
                <w:szCs w:val="14"/>
                <w:color w:val="auto"/>
                <w:w w:val="87"/>
              </w:rPr>
              <w:t>Telecommunications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L+400</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2,963,597</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2,891,503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color w:val="auto"/>
              </w:rPr>
              <w:t>Select Medical Corporation</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6/1/2018</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L+375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2,963,943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2,708,212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Seven Seas Cruises</w:t>
            </w:r>
            <w:r>
              <w:rPr>
                <w:rFonts w:ascii="Arial" w:cs="Arial" w:eastAsia="Arial" w:hAnsi="Arial"/>
                <w:sz w:val="18"/>
                <w:szCs w:val="18"/>
                <w:color w:val="auto"/>
                <w:vertAlign w:val="superscript"/>
              </w:rPr>
              <w:t>(5) (6) (7)</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5/15/2019</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7"/>
              </w:rPr>
              <w:t>Hotel, Gaming and Leisure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9.13%</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3,000,000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2,970,000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Sotera Defense Solutions,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4/22/2017</w:t>
            </w:r>
          </w:p>
        </w:tc>
        <w:tc>
          <w:tcPr>
            <w:tcW w:w="160" w:type="dxa"/>
            <w:vAlign w:val="bottom"/>
          </w:tcPr>
          <w:p>
            <w:pPr>
              <w:spacing w:after="0"/>
              <w:rPr>
                <w:sz w:val="14"/>
                <w:szCs w:val="14"/>
                <w:color w:val="auto"/>
              </w:rPr>
            </w:pPr>
          </w:p>
        </w:tc>
        <w:tc>
          <w:tcPr>
            <w:tcW w:w="2320" w:type="dxa"/>
            <w:vAlign w:val="bottom"/>
            <w:gridSpan w:val="3"/>
          </w:tcPr>
          <w:p>
            <w:pPr>
              <w:jc w:val="center"/>
              <w:ind w:right="160"/>
              <w:spacing w:after="0"/>
              <w:rPr>
                <w:sz w:val="20"/>
                <w:szCs w:val="20"/>
                <w:color w:val="auto"/>
              </w:rPr>
            </w:pPr>
            <w:r>
              <w:rPr>
                <w:rFonts w:ascii="Arial" w:cs="Arial" w:eastAsia="Arial" w:hAnsi="Arial"/>
                <w:sz w:val="14"/>
                <w:szCs w:val="14"/>
                <w:color w:val="auto"/>
                <w:w w:val="85"/>
              </w:rPr>
              <w:t>Aerospace and Defense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7.00%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L+550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2,964,848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2,917,688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Tank Intermediate Holding Corp.</w:t>
            </w:r>
            <w:r>
              <w:rPr>
                <w:rFonts w:ascii="Arial" w:cs="Arial" w:eastAsia="Arial" w:hAnsi="Arial"/>
                <w:sz w:val="15"/>
                <w:szCs w:val="15"/>
                <w:color w:val="auto"/>
                <w:vertAlign w:val="superscript"/>
              </w:rPr>
              <w:t>(11)</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4/15/2016</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86"/>
              </w:rPr>
              <w:t>Containers, Packaging</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5.00%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L+375</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1,835,472</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1,831,420</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1,807,940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5"/>
              </w:rPr>
              <w:t>and Glass</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Terex Corporation</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4/28/2017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9"/>
              </w:rPr>
              <w:t>Capital Equipment</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5.50%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L+400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1,980,598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1,962,500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Triple Point Technology,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4/14/2016</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8"/>
              </w:rPr>
              <w:t>High Tech Industries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4,968,750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4,923,769</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4,819,688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Univita Health Inc.</w:t>
            </w:r>
            <w:r>
              <w:rPr>
                <w:rFonts w:ascii="Arial" w:cs="Arial" w:eastAsia="Arial" w:hAnsi="Arial"/>
                <w:sz w:val="18"/>
                <w:szCs w:val="18"/>
                <w:color w:val="auto"/>
                <w:vertAlign w:val="superscript"/>
              </w:rPr>
              <w:t>(11)</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6/19/2017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6"/>
              </w:rPr>
              <w:t>Consumer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4"/>
                <w:szCs w:val="14"/>
                <w:color w:val="auto"/>
                <w:w w:val="93"/>
              </w:rPr>
              <w:t>2,964,110</w:t>
            </w: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2,827,913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U.S. Healthworks Holding Company, Inc.</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6/15/2016</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5"/>
              </w:rPr>
              <w:t>Healthcare and Pharmaceuticals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6.25%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L+475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2,964,480</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2,887,763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Valitas Health Services, Inc.</w:t>
            </w:r>
            <w:r>
              <w:rPr>
                <w:rFonts w:ascii="Arial" w:cs="Arial" w:eastAsia="Arial" w:hAnsi="Arial"/>
                <w:sz w:val="18"/>
                <w:szCs w:val="18"/>
                <w:color w:val="auto"/>
                <w:vertAlign w:val="superscript"/>
              </w:rPr>
              <w:t>(11)</w:t>
            </w:r>
          </w:p>
        </w:tc>
        <w:tc>
          <w:tcPr>
            <w:tcW w:w="1160" w:type="dxa"/>
            <w:vAlign w:val="bottom"/>
            <w:gridSpan w:val="2"/>
          </w:tcPr>
          <w:p>
            <w:pPr>
              <w:jc w:val="center"/>
              <w:ind w:left="492"/>
              <w:spacing w:after="0"/>
              <w:rPr>
                <w:sz w:val="20"/>
                <w:szCs w:val="20"/>
                <w:color w:val="auto"/>
              </w:rPr>
            </w:pPr>
            <w:r>
              <w:rPr>
                <w:rFonts w:ascii="Arial" w:cs="Arial" w:eastAsia="Arial" w:hAnsi="Arial"/>
                <w:sz w:val="14"/>
                <w:szCs w:val="14"/>
                <w:color w:val="auto"/>
                <w:w w:val="88"/>
              </w:rPr>
              <w:t>6/2/2017</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Healthcare and Pharmaceuticals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5.75%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L+450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1,496,250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1,489,223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1,406,475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160" w:type="dxa"/>
            <w:vAlign w:val="bottom"/>
            <w:gridSpan w:val="2"/>
            <w:shd w:val="clear" w:color="auto" w:fill="CCEEFF"/>
          </w:tcPr>
          <w:p>
            <w:pPr>
              <w:jc w:val="center"/>
              <w:ind w:left="512"/>
              <w:spacing w:after="0" w:line="138" w:lineRule="exact"/>
              <w:rPr>
                <w:sz w:val="20"/>
                <w:szCs w:val="20"/>
                <w:color w:val="auto"/>
              </w:rPr>
            </w:pPr>
            <w:r>
              <w:rPr>
                <w:rFonts w:ascii="Arial" w:cs="Arial" w:eastAsia="Arial" w:hAnsi="Arial"/>
                <w:sz w:val="14"/>
                <w:szCs w:val="14"/>
                <w:color w:val="auto"/>
                <w:w w:val="86"/>
              </w:rPr>
              <w:t>4/19/2016</w:t>
            </w:r>
          </w:p>
        </w:tc>
        <w:tc>
          <w:tcPr>
            <w:tcW w:w="160" w:type="dxa"/>
            <w:vAlign w:val="bottom"/>
            <w:shd w:val="clear" w:color="auto" w:fill="CCEEFF"/>
          </w:tcPr>
          <w:p>
            <w:pPr>
              <w:spacing w:after="0"/>
              <w:rPr>
                <w:sz w:val="11"/>
                <w:szCs w:val="11"/>
                <w:color w:val="auto"/>
              </w:rPr>
            </w:pPr>
          </w:p>
        </w:tc>
        <w:tc>
          <w:tcPr>
            <w:tcW w:w="232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2"/>
              </w:rPr>
              <w:t>Media: Advertising,</w:t>
            </w:r>
          </w:p>
        </w:tc>
        <w:tc>
          <w:tcPr>
            <w:tcW w:w="96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7.00%</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L+550</w:t>
            </w:r>
          </w:p>
        </w:tc>
        <w:tc>
          <w:tcPr>
            <w:tcW w:w="8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4,750,000</w:t>
            </w: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4,694,273</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4,690,625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9"/>
              </w:rPr>
              <w:t>Printing and Publishing</w:t>
            </w:r>
          </w:p>
        </w:tc>
        <w:tc>
          <w:tcPr>
            <w:tcW w:w="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Virtual Radiologic Corporation</w:t>
            </w:r>
            <w:r>
              <w:rPr>
                <w:rFonts w:ascii="Arial" w:cs="Arial" w:eastAsia="Arial" w:hAnsi="Arial"/>
                <w:sz w:val="18"/>
                <w:szCs w:val="18"/>
                <w:color w:val="auto"/>
                <w:vertAlign w:val="superscript"/>
              </w:rPr>
              <w:t>(11)</w:t>
            </w:r>
          </w:p>
        </w:tc>
        <w:tc>
          <w:tcPr>
            <w:tcW w:w="1320" w:type="dxa"/>
            <w:vAlign w:val="bottom"/>
            <w:gridSpan w:val="3"/>
          </w:tcPr>
          <w:p>
            <w:pPr>
              <w:jc w:val="center"/>
              <w:ind w:left="352"/>
              <w:spacing w:after="0"/>
              <w:rPr>
                <w:sz w:val="20"/>
                <w:szCs w:val="20"/>
                <w:color w:val="auto"/>
              </w:rPr>
            </w:pPr>
            <w:r>
              <w:rPr>
                <w:rFonts w:ascii="Arial" w:cs="Arial" w:eastAsia="Arial" w:hAnsi="Arial"/>
                <w:sz w:val="14"/>
                <w:szCs w:val="14"/>
                <w:color w:val="auto"/>
                <w:w w:val="88"/>
              </w:rPr>
              <w:t>12/22/2016</w:t>
            </w: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5"/>
              </w:rPr>
              <w:t>Business Services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7.75%</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P+450</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w w:val="93"/>
              </w:rPr>
              <w:t>2,963,172</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w w:val="96"/>
              </w:rPr>
              <w:t>2,812,950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2"/>
                <w:szCs w:val="12"/>
                <w:color w:val="auto"/>
              </w:rPr>
              <w:t xml:space="preserve">Water Pik, Inc. </w:t>
            </w:r>
            <w:r>
              <w:rPr>
                <w:rFonts w:ascii="Arial" w:cs="Arial" w:eastAsia="Arial" w:hAnsi="Arial"/>
                <w:sz w:val="18"/>
                <w:szCs w:val="18"/>
                <w:color w:val="auto"/>
                <w:vertAlign w:val="superscript"/>
              </w:rPr>
              <w:t>(11)</w:t>
            </w:r>
          </w:p>
        </w:tc>
        <w:tc>
          <w:tcPr>
            <w:tcW w:w="1160" w:type="dxa"/>
            <w:vAlign w:val="bottom"/>
            <w:gridSpan w:val="2"/>
            <w:shd w:val="clear" w:color="auto" w:fill="CCEEFF"/>
          </w:tcPr>
          <w:p>
            <w:pPr>
              <w:jc w:val="center"/>
              <w:ind w:left="512"/>
              <w:spacing w:after="0"/>
              <w:rPr>
                <w:sz w:val="20"/>
                <w:szCs w:val="20"/>
                <w:color w:val="auto"/>
              </w:rPr>
            </w:pPr>
            <w:r>
              <w:rPr>
                <w:rFonts w:ascii="Arial" w:cs="Arial" w:eastAsia="Arial" w:hAnsi="Arial"/>
                <w:sz w:val="14"/>
                <w:szCs w:val="14"/>
                <w:color w:val="auto"/>
                <w:w w:val="86"/>
              </w:rPr>
              <w:t>8/10/2017</w:t>
            </w:r>
          </w:p>
        </w:tc>
        <w:tc>
          <w:tcPr>
            <w:tcW w:w="16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87"/>
              </w:rPr>
              <w:t>Consumer Goods: Durable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6.75%</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L+525</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3,500,000</w:t>
            </w:r>
          </w:p>
        </w:tc>
        <w:tc>
          <w:tcPr>
            <w:tcW w:w="20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3"/>
              </w:rPr>
              <w:t>3,465,501</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6"/>
              </w:rPr>
              <w:t>3,430,000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2"/>
          </w:tcPr>
          <w:p>
            <w:pPr>
              <w:spacing w:after="0" w:line="162" w:lineRule="exact"/>
              <w:rPr>
                <w:sz w:val="20"/>
                <w:szCs w:val="20"/>
                <w:color w:val="auto"/>
              </w:rPr>
            </w:pPr>
            <w:r>
              <w:rPr>
                <w:rFonts w:ascii="Arial" w:cs="Arial" w:eastAsia="Arial" w:hAnsi="Arial"/>
                <w:sz w:val="12"/>
                <w:szCs w:val="12"/>
                <w:color w:val="auto"/>
              </w:rPr>
              <w:t>Yonkers Racing Corporation</w:t>
            </w:r>
            <w:r>
              <w:rPr>
                <w:rFonts w:ascii="Arial" w:cs="Arial" w:eastAsia="Arial" w:hAnsi="Arial"/>
                <w:sz w:val="18"/>
                <w:szCs w:val="18"/>
                <w:color w:val="auto"/>
                <w:vertAlign w:val="superscript"/>
              </w:rPr>
              <w:t>(5) (6)</w:t>
            </w:r>
          </w:p>
        </w:tc>
        <w:tc>
          <w:tcPr>
            <w:tcW w:w="1160" w:type="dxa"/>
            <w:vAlign w:val="bottom"/>
            <w:gridSpan w:val="2"/>
          </w:tcPr>
          <w:p>
            <w:pPr>
              <w:jc w:val="center"/>
              <w:ind w:left="512"/>
              <w:spacing w:after="0"/>
              <w:rPr>
                <w:sz w:val="20"/>
                <w:szCs w:val="20"/>
                <w:color w:val="auto"/>
              </w:rPr>
            </w:pPr>
            <w:r>
              <w:rPr>
                <w:rFonts w:ascii="Arial" w:cs="Arial" w:eastAsia="Arial" w:hAnsi="Arial"/>
                <w:sz w:val="14"/>
                <w:szCs w:val="14"/>
                <w:color w:val="auto"/>
                <w:w w:val="86"/>
              </w:rPr>
              <w:t>7/15/2016</w:t>
            </w:r>
          </w:p>
        </w:tc>
        <w:tc>
          <w:tcPr>
            <w:tcW w:w="160" w:type="dxa"/>
            <w:vAlign w:val="bottom"/>
          </w:tcPr>
          <w:p>
            <w:pPr>
              <w:spacing w:after="0"/>
              <w:rPr>
                <w:sz w:val="14"/>
                <w:szCs w:val="14"/>
                <w:color w:val="auto"/>
              </w:rPr>
            </w:pPr>
          </w:p>
        </w:tc>
        <w:tc>
          <w:tcPr>
            <w:tcW w:w="2320" w:type="dxa"/>
            <w:vAlign w:val="bottom"/>
            <w:gridSpan w:val="3"/>
          </w:tcPr>
          <w:p>
            <w:pPr>
              <w:jc w:val="center"/>
              <w:ind w:right="140"/>
              <w:spacing w:after="0"/>
              <w:rPr>
                <w:sz w:val="20"/>
                <w:szCs w:val="20"/>
                <w:color w:val="auto"/>
              </w:rPr>
            </w:pPr>
            <w:r>
              <w:rPr>
                <w:rFonts w:ascii="Arial" w:cs="Arial" w:eastAsia="Arial" w:hAnsi="Arial"/>
                <w:sz w:val="14"/>
                <w:szCs w:val="14"/>
                <w:color w:val="auto"/>
                <w:w w:val="87"/>
              </w:rPr>
              <w:t>Hotel, Gaming and Leisure</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11.38%</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4,000,000</w:t>
            </w:r>
          </w:p>
        </w:tc>
        <w:tc>
          <w:tcPr>
            <w:tcW w:w="200" w:type="dxa"/>
            <w:vAlign w:val="bottom"/>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4,355,966</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6"/>
              </w:rPr>
              <w:t>4,080,000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First Lien Secured Debt</w:t>
            </w:r>
          </w:p>
        </w:tc>
        <w:tc>
          <w:tcPr>
            <w:tcW w:w="5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2"/>
              </w:rPr>
              <w:t>97,975,314</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5"/>
              </w:rPr>
              <w:t>94,333,126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-3197860</wp:posOffset>
            </wp:positionV>
            <wp:extent cx="7246620" cy="1028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4"/>
              </w:rPr>
              <w:t>Current</w:t>
            </w:r>
          </w:p>
        </w:tc>
        <w:tc>
          <w:tcPr>
            <w:tcW w:w="8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2"/>
                <w:szCs w:val="12"/>
                <w:color w:val="auto"/>
              </w:rPr>
            </w:pPr>
          </w:p>
        </w:tc>
        <w:tc>
          <w:tcPr>
            <w:tcW w:w="6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1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360" w:type="dxa"/>
            <w:vAlign w:val="bottom"/>
          </w:tcPr>
          <w:p>
            <w:pPr>
              <w:spacing w:after="0"/>
              <w:rPr>
                <w:sz w:val="14"/>
                <w:szCs w:val="14"/>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Industry</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Coupon</w:t>
            </w:r>
          </w:p>
        </w:tc>
        <w:tc>
          <w:tcPr>
            <w:tcW w:w="840" w:type="dxa"/>
            <w:vAlign w:val="bottom"/>
            <w:gridSpan w:val="2"/>
          </w:tcPr>
          <w:p>
            <w:pPr>
              <w:jc w:val="center"/>
              <w:ind w:right="18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center"/>
              <w:ind w:right="160"/>
              <w:spacing w:after="0" w:line="168"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Debt—10.1%</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(11)</w:t>
            </w:r>
          </w:p>
        </w:tc>
        <w:tc>
          <w:tcPr>
            <w:tcW w:w="1740" w:type="dxa"/>
            <w:vAlign w:val="bottom"/>
            <w:gridSpan w:val="2"/>
          </w:tcPr>
          <w:p>
            <w:pPr>
              <w:jc w:val="center"/>
              <w:ind w:left="1092"/>
              <w:spacing w:after="0" w:line="149" w:lineRule="exact"/>
              <w:rPr>
                <w:sz w:val="20"/>
                <w:szCs w:val="20"/>
                <w:color w:val="auto"/>
              </w:rPr>
            </w:pPr>
            <w:r>
              <w:rPr>
                <w:rFonts w:ascii="Arial" w:cs="Arial" w:eastAsia="Arial" w:hAnsi="Arial"/>
                <w:sz w:val="14"/>
                <w:szCs w:val="14"/>
                <w:color w:val="auto"/>
                <w:w w:val="86"/>
              </w:rPr>
              <w:t>1/29/2018</w:t>
            </w:r>
          </w:p>
        </w:tc>
        <w:tc>
          <w:tcPr>
            <w:tcW w:w="140" w:type="dxa"/>
            <w:vAlign w:val="bottom"/>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Automotive</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10.50%</w:t>
            </w: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L+900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995,000</w:t>
            </w:r>
          </w:p>
        </w:tc>
        <w:tc>
          <w:tcPr>
            <w:tcW w:w="9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  985,000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1740" w:type="dxa"/>
            <w:vAlign w:val="bottom"/>
            <w:gridSpan w:val="2"/>
            <w:shd w:val="clear" w:color="auto" w:fill="CCEEFF"/>
          </w:tcPr>
          <w:p>
            <w:pPr>
              <w:jc w:val="center"/>
              <w:ind w:left="1092"/>
              <w:spacing w:after="0" w:line="138" w:lineRule="exact"/>
              <w:rPr>
                <w:sz w:val="20"/>
                <w:szCs w:val="20"/>
                <w:color w:val="auto"/>
              </w:rPr>
            </w:pPr>
            <w:r>
              <w:rPr>
                <w:rFonts w:ascii="Arial" w:cs="Arial" w:eastAsia="Arial" w:hAnsi="Arial"/>
                <w:sz w:val="14"/>
                <w:szCs w:val="14"/>
                <w:color w:val="auto"/>
                <w:w w:val="86"/>
              </w:rPr>
              <w:t>5/13/2017</w:t>
            </w:r>
          </w:p>
        </w:tc>
        <w:tc>
          <w:tcPr>
            <w:tcW w:w="1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4"/>
              </w:rPr>
              <w:t>Healthcare and</w:t>
            </w:r>
          </w:p>
        </w:tc>
        <w:tc>
          <w:tcPr>
            <w:tcW w:w="8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10.25%</w:t>
            </w:r>
          </w:p>
        </w:tc>
        <w:tc>
          <w:tcPr>
            <w:tcW w:w="8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L+850</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4,000,000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3,942,406</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3,940,000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4"/>
              </w:rPr>
              <w:t>Pharmaceuticals</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w:t>
            </w:r>
          </w:p>
        </w:tc>
        <w:tc>
          <w:tcPr>
            <w:tcW w:w="1740" w:type="dxa"/>
            <w:vAlign w:val="bottom"/>
            <w:gridSpan w:val="2"/>
          </w:tcPr>
          <w:p>
            <w:pPr>
              <w:jc w:val="center"/>
              <w:ind w:left="1092"/>
              <w:spacing w:after="0" w:line="138" w:lineRule="exact"/>
              <w:rPr>
                <w:sz w:val="20"/>
                <w:szCs w:val="20"/>
                <w:color w:val="auto"/>
              </w:rPr>
            </w:pPr>
            <w:r>
              <w:rPr>
                <w:rFonts w:ascii="Arial" w:cs="Arial" w:eastAsia="Arial" w:hAnsi="Arial"/>
                <w:sz w:val="14"/>
                <w:szCs w:val="14"/>
                <w:color w:val="auto"/>
                <w:w w:val="86"/>
              </w:rPr>
              <w:t>11/6/2018</w:t>
            </w:r>
          </w:p>
        </w:tc>
        <w:tc>
          <w:tcPr>
            <w:tcW w:w="140" w:type="dxa"/>
            <w:vAlign w:val="bottom"/>
          </w:tcPr>
          <w:p>
            <w:pPr>
              <w:spacing w:after="0"/>
              <w:rPr>
                <w:sz w:val="11"/>
                <w:szCs w:val="11"/>
                <w:color w:val="auto"/>
              </w:rPr>
            </w:pPr>
          </w:p>
        </w:tc>
        <w:tc>
          <w:tcPr>
            <w:tcW w:w="136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1"/>
              </w:rPr>
              <w:t>Media: Diversified</w:t>
            </w:r>
          </w:p>
        </w:tc>
        <w:tc>
          <w:tcPr>
            <w:tcW w:w="8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10.25%</w:t>
            </w:r>
          </w:p>
        </w:tc>
        <w:tc>
          <w:tcPr>
            <w:tcW w:w="84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L+875</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1,500,000</w:t>
            </w:r>
          </w:p>
        </w:tc>
        <w:tc>
          <w:tcPr>
            <w:tcW w:w="7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1,485,581</w:t>
            </w:r>
          </w:p>
        </w:tc>
        <w:tc>
          <w:tcPr>
            <w:tcW w:w="980" w:type="dxa"/>
            <w:vAlign w:val="bottom"/>
            <w:gridSpan w:val="5"/>
          </w:tcPr>
          <w:p>
            <w:pPr>
              <w:jc w:val="right"/>
              <w:ind w:right="80"/>
              <w:spacing w:after="0" w:line="138" w:lineRule="exact"/>
              <w:rPr>
                <w:sz w:val="20"/>
                <w:szCs w:val="20"/>
                <w:color w:val="auto"/>
              </w:rPr>
            </w:pPr>
            <w:r>
              <w:rPr>
                <w:rFonts w:ascii="Arial" w:cs="Arial" w:eastAsia="Arial" w:hAnsi="Arial"/>
                <w:sz w:val="14"/>
                <w:szCs w:val="14"/>
                <w:color w:val="auto"/>
              </w:rPr>
              <w:t>1,380,000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and Production</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ROC Finance LLC and ROC Finance 1 Corp</w:t>
            </w:r>
            <w:r>
              <w:rPr>
                <w:rFonts w:ascii="Arial" w:cs="Arial" w:eastAsia="Arial" w:hAnsi="Arial"/>
                <w:sz w:val="15"/>
                <w:szCs w:val="15"/>
                <w:color w:val="auto"/>
                <w:vertAlign w:val="superscript"/>
              </w:rPr>
              <w:t>(5)</w:t>
            </w:r>
          </w:p>
        </w:tc>
        <w:tc>
          <w:tcPr>
            <w:tcW w:w="1740" w:type="dxa"/>
            <w:vAlign w:val="bottom"/>
            <w:gridSpan w:val="2"/>
            <w:shd w:val="clear" w:color="auto" w:fill="CCEEFF"/>
          </w:tcPr>
          <w:p>
            <w:pPr>
              <w:jc w:val="center"/>
              <w:ind w:left="1112"/>
              <w:spacing w:after="0" w:line="138" w:lineRule="exact"/>
              <w:rPr>
                <w:sz w:val="20"/>
                <w:szCs w:val="20"/>
                <w:color w:val="auto"/>
              </w:rPr>
            </w:pPr>
            <w:r>
              <w:rPr>
                <w:rFonts w:ascii="Arial" w:cs="Arial" w:eastAsia="Arial" w:hAnsi="Arial"/>
                <w:sz w:val="14"/>
                <w:szCs w:val="14"/>
                <w:color w:val="auto"/>
                <w:w w:val="88"/>
              </w:rPr>
              <w:t>9/1/2018</w:t>
            </w:r>
          </w:p>
        </w:tc>
        <w:tc>
          <w:tcPr>
            <w:tcW w:w="1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9"/>
              </w:rPr>
              <w:t>Hotel, Gaming</w:t>
            </w:r>
          </w:p>
        </w:tc>
        <w:tc>
          <w:tcPr>
            <w:tcW w:w="8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12.13%</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2,000,000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1,965,834</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2,020,000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7"/>
              </w:rPr>
              <w:t>and Leisure</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1740" w:type="dxa"/>
            <w:vAlign w:val="bottom"/>
            <w:gridSpan w:val="2"/>
          </w:tcPr>
          <w:p>
            <w:pPr>
              <w:jc w:val="center"/>
              <w:ind w:left="1112"/>
              <w:spacing w:after="0" w:line="149" w:lineRule="exact"/>
              <w:rPr>
                <w:sz w:val="20"/>
                <w:szCs w:val="20"/>
                <w:color w:val="auto"/>
              </w:rPr>
            </w:pPr>
            <w:r>
              <w:rPr>
                <w:rFonts w:ascii="Arial" w:cs="Arial" w:eastAsia="Arial" w:hAnsi="Arial"/>
                <w:sz w:val="14"/>
                <w:szCs w:val="14"/>
                <w:color w:val="auto"/>
                <w:w w:val="88"/>
              </w:rPr>
              <w:t>5/9/2018</w:t>
            </w:r>
          </w:p>
        </w:tc>
        <w:tc>
          <w:tcPr>
            <w:tcW w:w="140" w:type="dxa"/>
            <w:vAlign w:val="bottom"/>
          </w:tcPr>
          <w:p>
            <w:pPr>
              <w:spacing w:after="0"/>
              <w:rPr>
                <w:sz w:val="13"/>
                <w:szCs w:val="13"/>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Utilities: Water</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8.50%</w:t>
            </w:r>
          </w:p>
        </w:tc>
        <w:tc>
          <w:tcPr>
            <w:tcW w:w="8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L+725</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28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9,379,445</w:t>
            </w:r>
          </w:p>
        </w:tc>
        <w:tc>
          <w:tcPr>
            <w:tcW w:w="9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9,285,000</w:t>
            </w:r>
          </w:p>
        </w:tc>
        <w:tc>
          <w:tcPr>
            <w:tcW w:w="0" w:type="dxa"/>
            <w:vAlign w:val="bottom"/>
          </w:tcPr>
          <w:p>
            <w:pPr>
              <w:spacing w:after="0"/>
              <w:rPr>
                <w:sz w:val="1"/>
                <w:szCs w:val="1"/>
                <w:color w:val="auto"/>
              </w:rPr>
            </w:pPr>
          </w:p>
        </w:tc>
      </w:tr>
      <w:tr>
        <w:trPr>
          <w:trHeight w:val="156"/>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Affinion Group Holdings, Inc.</w:t>
            </w:r>
            <w:r>
              <w:rPr>
                <w:rFonts w:ascii="Arial" w:cs="Arial" w:eastAsia="Arial" w:hAnsi="Arial"/>
                <w:sz w:val="15"/>
                <w:szCs w:val="15"/>
                <w:color w:val="auto"/>
                <w:vertAlign w:val="superscript"/>
              </w:rPr>
              <w:t>(5)</w:t>
            </w:r>
          </w:p>
        </w:tc>
        <w:tc>
          <w:tcPr>
            <w:tcW w:w="1880" w:type="dxa"/>
            <w:vAlign w:val="bottom"/>
            <w:gridSpan w:val="3"/>
            <w:shd w:val="clear" w:color="auto" w:fill="CCEEFF"/>
          </w:tcPr>
          <w:p>
            <w:pPr>
              <w:jc w:val="center"/>
              <w:ind w:left="972"/>
              <w:spacing w:after="0" w:line="138" w:lineRule="exact"/>
              <w:rPr>
                <w:sz w:val="20"/>
                <w:szCs w:val="20"/>
                <w:color w:val="auto"/>
              </w:rPr>
            </w:pPr>
            <w:r>
              <w:rPr>
                <w:rFonts w:ascii="Arial" w:cs="Arial" w:eastAsia="Arial" w:hAnsi="Arial"/>
                <w:sz w:val="14"/>
                <w:szCs w:val="14"/>
                <w:color w:val="auto"/>
                <w:w w:val="85"/>
              </w:rPr>
              <w:t>11/15/2015</w:t>
            </w:r>
          </w:p>
        </w:tc>
        <w:tc>
          <w:tcPr>
            <w:tcW w:w="136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Goods:</w:t>
            </w:r>
          </w:p>
        </w:tc>
        <w:tc>
          <w:tcPr>
            <w:tcW w:w="8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11.63%</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1,500,000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1,524,891</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1,155,000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90"/>
              </w:rPr>
              <w:t>Non-Durable</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(5) (7)</w:t>
            </w:r>
          </w:p>
        </w:tc>
        <w:tc>
          <w:tcPr>
            <w:tcW w:w="1740" w:type="dxa"/>
            <w:vAlign w:val="bottom"/>
            <w:gridSpan w:val="2"/>
          </w:tcPr>
          <w:p>
            <w:pPr>
              <w:jc w:val="center"/>
              <w:ind w:left="1092"/>
              <w:spacing w:after="0" w:line="138" w:lineRule="exact"/>
              <w:rPr>
                <w:sz w:val="20"/>
                <w:szCs w:val="20"/>
                <w:color w:val="auto"/>
              </w:rPr>
            </w:pPr>
            <w:r>
              <w:rPr>
                <w:rFonts w:ascii="Arial" w:cs="Arial" w:eastAsia="Arial" w:hAnsi="Arial"/>
                <w:sz w:val="14"/>
                <w:szCs w:val="14"/>
                <w:color w:val="auto"/>
                <w:w w:val="86"/>
              </w:rPr>
              <w:t>7/31/2018</w:t>
            </w:r>
          </w:p>
        </w:tc>
        <w:tc>
          <w:tcPr>
            <w:tcW w:w="140" w:type="dxa"/>
            <w:vAlign w:val="bottom"/>
          </w:tcPr>
          <w:p>
            <w:pPr>
              <w:spacing w:after="0"/>
              <w:rPr>
                <w:sz w:val="11"/>
                <w:szCs w:val="11"/>
                <w:color w:val="auto"/>
              </w:rPr>
            </w:pPr>
          </w:p>
        </w:tc>
        <w:tc>
          <w:tcPr>
            <w:tcW w:w="13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4"/>
              </w:rPr>
              <w:t>Beverage, Food</w:t>
            </w:r>
          </w:p>
        </w:tc>
        <w:tc>
          <w:tcPr>
            <w:tcW w:w="8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14.00%</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3,762,500</w:t>
            </w:r>
          </w:p>
        </w:tc>
        <w:tc>
          <w:tcPr>
            <w:tcW w:w="7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3,688,091</w:t>
            </w:r>
          </w:p>
        </w:tc>
        <w:tc>
          <w:tcPr>
            <w:tcW w:w="980" w:type="dxa"/>
            <w:vAlign w:val="bottom"/>
            <w:gridSpan w:val="5"/>
          </w:tcPr>
          <w:p>
            <w:pPr>
              <w:jc w:val="right"/>
              <w:ind w:right="80"/>
              <w:spacing w:after="0" w:line="138" w:lineRule="exact"/>
              <w:rPr>
                <w:sz w:val="20"/>
                <w:szCs w:val="20"/>
                <w:color w:val="auto"/>
              </w:rPr>
            </w:pPr>
            <w:r>
              <w:rPr>
                <w:rFonts w:ascii="Arial" w:cs="Arial" w:eastAsia="Arial" w:hAnsi="Arial"/>
                <w:sz w:val="14"/>
                <w:szCs w:val="14"/>
                <w:color w:val="auto"/>
              </w:rPr>
              <w:t>3,687,250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(5) (9)</w:t>
            </w:r>
          </w:p>
        </w:tc>
        <w:tc>
          <w:tcPr>
            <w:tcW w:w="1740" w:type="dxa"/>
            <w:vAlign w:val="bottom"/>
            <w:gridSpan w:val="2"/>
            <w:shd w:val="clear" w:color="auto" w:fill="CCEEFF"/>
          </w:tcPr>
          <w:p>
            <w:pPr>
              <w:jc w:val="center"/>
              <w:ind w:left="1092"/>
              <w:spacing w:after="0" w:line="138" w:lineRule="exact"/>
              <w:rPr>
                <w:sz w:val="20"/>
                <w:szCs w:val="20"/>
                <w:color w:val="auto"/>
              </w:rPr>
            </w:pPr>
            <w:r>
              <w:rPr>
                <w:rFonts w:ascii="Arial" w:cs="Arial" w:eastAsia="Arial" w:hAnsi="Arial"/>
                <w:sz w:val="14"/>
                <w:szCs w:val="14"/>
                <w:color w:val="auto"/>
                <w:w w:val="86"/>
              </w:rPr>
              <w:t>7/31/2018</w:t>
            </w:r>
          </w:p>
        </w:tc>
        <w:tc>
          <w:tcPr>
            <w:tcW w:w="140" w:type="dxa"/>
            <w:vAlign w:val="bottom"/>
            <w:shd w:val="clear" w:color="auto" w:fill="CCEEFF"/>
          </w:tcPr>
          <w:p>
            <w:pPr>
              <w:spacing w:after="0"/>
              <w:rPr>
                <w:sz w:val="11"/>
                <w:szCs w:val="11"/>
                <w:color w:val="auto"/>
              </w:rPr>
            </w:pPr>
          </w:p>
        </w:tc>
        <w:tc>
          <w:tcPr>
            <w:tcW w:w="13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4"/>
              </w:rPr>
              <w:t>Beverage, Food</w:t>
            </w:r>
          </w:p>
        </w:tc>
        <w:tc>
          <w:tcPr>
            <w:tcW w:w="88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2,206,000</w:t>
            </w:r>
          </w:p>
        </w:tc>
        <w:tc>
          <w:tcPr>
            <w:tcW w:w="7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2,161,880</w:t>
            </w:r>
          </w:p>
        </w:tc>
        <w:tc>
          <w:tcPr>
            <w:tcW w:w="98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2,161,880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7,374,862</w:t>
            </w:r>
          </w:p>
        </w:tc>
        <w:tc>
          <w:tcPr>
            <w:tcW w:w="9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7,004,130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Interests—0.1%</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1180" w:type="dxa"/>
            <w:vAlign w:val="bottom"/>
          </w:tcPr>
          <w:p>
            <w:pPr>
              <w:spacing w:after="0"/>
              <w:rPr>
                <w:sz w:val="11"/>
                <w:szCs w:val="11"/>
                <w:color w:val="auto"/>
              </w:rPr>
            </w:pPr>
          </w:p>
        </w:tc>
        <w:tc>
          <w:tcPr>
            <w:tcW w:w="700" w:type="dxa"/>
            <w:vAlign w:val="bottom"/>
            <w:gridSpan w:val="2"/>
          </w:tcPr>
          <w:p>
            <w:pPr>
              <w:ind w:left="180"/>
              <w:spacing w:after="0" w:line="138" w:lineRule="exact"/>
              <w:rPr>
                <w:sz w:val="20"/>
                <w:szCs w:val="20"/>
                <w:color w:val="auto"/>
              </w:rPr>
            </w:pPr>
            <w:r>
              <w:rPr>
                <w:rFonts w:ascii="Arial" w:cs="Arial" w:eastAsia="Arial" w:hAnsi="Arial"/>
                <w:sz w:val="14"/>
                <w:szCs w:val="14"/>
                <w:color w:val="auto"/>
              </w:rPr>
              <w:t>—</w:t>
            </w:r>
          </w:p>
        </w:tc>
        <w:tc>
          <w:tcPr>
            <w:tcW w:w="13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4"/>
              </w:rPr>
              <w:t>Beverage, Food</w:t>
            </w:r>
          </w:p>
        </w:tc>
        <w:tc>
          <w:tcPr>
            <w:tcW w:w="8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12.50%</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158</w:t>
            </w:r>
          </w:p>
        </w:tc>
        <w:tc>
          <w:tcPr>
            <w:tcW w:w="7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95,000</w:t>
            </w:r>
          </w:p>
        </w:tc>
        <w:tc>
          <w:tcPr>
            <w:tcW w:w="980" w:type="dxa"/>
            <w:vAlign w:val="bottom"/>
            <w:gridSpan w:val="5"/>
          </w:tcPr>
          <w:p>
            <w:pPr>
              <w:jc w:val="right"/>
              <w:ind w:right="80"/>
              <w:spacing w:after="0" w:line="138" w:lineRule="exact"/>
              <w:rPr>
                <w:sz w:val="20"/>
                <w:szCs w:val="20"/>
                <w:color w:val="auto"/>
              </w:rPr>
            </w:pPr>
            <w:r>
              <w:rPr>
                <w:rFonts w:ascii="Arial" w:cs="Arial" w:eastAsia="Arial" w:hAnsi="Arial"/>
                <w:sz w:val="14"/>
                <w:szCs w:val="14"/>
                <w:color w:val="auto"/>
              </w:rPr>
              <w:t>96,985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95,000</w:t>
            </w:r>
          </w:p>
        </w:tc>
        <w:tc>
          <w:tcPr>
            <w:tcW w:w="280" w:type="dxa"/>
            <w:vAlign w:val="bottom"/>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Basis Point</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38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Above</w:t>
            </w:r>
          </w:p>
        </w:tc>
        <w:tc>
          <w:tcPr>
            <w:tcW w:w="3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Fair Value</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162"/>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Industry</w:t>
            </w: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Coupon</w:t>
            </w:r>
          </w:p>
        </w:tc>
        <w:tc>
          <w:tcPr>
            <w:tcW w:w="30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(1)</w:t>
            </w:r>
          </w:p>
        </w:tc>
        <w:tc>
          <w:tcPr>
            <w:tcW w:w="38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(10)</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8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72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6"/>
              </w:rPr>
              <w:t>Beverage, Food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6"/>
              </w:rPr>
              <w:t>and Tobacco</w:t>
            </w:r>
          </w:p>
        </w:tc>
        <w:tc>
          <w:tcPr>
            <w:tcW w:w="500" w:type="dxa"/>
            <w:vAlign w:val="bottom"/>
          </w:tcPr>
          <w:p>
            <w:pPr>
              <w:ind w:left="380"/>
              <w:spacing w:after="0" w:line="159" w:lineRule="exact"/>
              <w:rPr>
                <w:sz w:val="20"/>
                <w:szCs w:val="20"/>
                <w:color w:val="auto"/>
              </w:rPr>
            </w:pPr>
            <w:r>
              <w:rPr>
                <w:rFonts w:ascii="Arial" w:cs="Arial" w:eastAsia="Arial" w:hAnsi="Arial"/>
                <w:sz w:val="14"/>
                <w:szCs w:val="14"/>
                <w:color w:val="auto"/>
                <w:w w:val="71"/>
              </w:rPr>
              <w:t>—</w:t>
            </w:r>
          </w:p>
        </w:tc>
        <w:tc>
          <w:tcPr>
            <w:tcW w:w="300" w:type="dxa"/>
            <w:vAlign w:val="bottom"/>
          </w:tcPr>
          <w:p>
            <w:pPr>
              <w:spacing w:after="0"/>
              <w:rPr>
                <w:sz w:val="14"/>
                <w:szCs w:val="14"/>
                <w:color w:val="auto"/>
              </w:rPr>
            </w:pPr>
          </w:p>
        </w:tc>
        <w:tc>
          <w:tcPr>
            <w:tcW w:w="660" w:type="dxa"/>
            <w:vAlign w:val="bottom"/>
          </w:tcPr>
          <w:p>
            <w:pPr>
              <w:ind w:left="540"/>
              <w:spacing w:after="0" w:line="159" w:lineRule="exact"/>
              <w:rPr>
                <w:sz w:val="20"/>
                <w:szCs w:val="20"/>
                <w:color w:val="auto"/>
              </w:rPr>
            </w:pPr>
            <w:r>
              <w:rPr>
                <w:rFonts w:ascii="Arial" w:cs="Arial" w:eastAsia="Arial" w:hAnsi="Arial"/>
                <w:sz w:val="14"/>
                <w:szCs w:val="14"/>
                <w:color w:val="auto"/>
                <w:w w:val="71"/>
              </w:rPr>
              <w:t>—</w:t>
            </w:r>
          </w:p>
        </w:tc>
        <w:tc>
          <w:tcPr>
            <w:tcW w:w="1020" w:type="dxa"/>
            <w:vAlign w:val="bottom"/>
            <w:gridSpan w:val="3"/>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5,000</w:t>
            </w:r>
          </w:p>
        </w:tc>
        <w:tc>
          <w:tcPr>
            <w:tcW w:w="36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right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114,829,621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6,987,450</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Equivalents—127.8%</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121,817,071</w:t>
            </w:r>
          </w:p>
        </w:tc>
        <w:tc>
          <w:tcPr>
            <w:tcW w:w="36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7"/>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4980" w:type="dxa"/>
            <w:vAlign w:val="bottom"/>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Liabilities in Excess of Other Assets—(27.8%)</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jc w:val="right"/>
              <w:spacing w:after="0" w:line="132" w:lineRule="exact"/>
              <w:rPr>
                <w:sz w:val="20"/>
                <w:szCs w:val="20"/>
                <w:color w:val="auto"/>
              </w:rPr>
            </w:pPr>
            <w:r>
              <w:rPr>
                <w:rFonts w:ascii="Arial" w:cs="Arial" w:eastAsia="Arial" w:hAnsi="Arial"/>
                <w:sz w:val="14"/>
                <w:szCs w:val="14"/>
                <w:color w:val="auto"/>
                <w:w w:val="90"/>
              </w:rPr>
              <w:t>(25,639,586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Net Assets—100.0%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92,072,105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80" w:hanging="332"/>
        <w:spacing w:after="0" w:line="230"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 Rate (LIBOR or “L”) or prime rate (Prime or “P”) and its coupon is subject to a LIBOR or prime rate floor.</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8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10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securities are pledged as collateral under PennantPark Floating Rate Funding I, LLC’s Credit Facility.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Except where the context suggests otherwise, the terms “Company,” “we,” “our” or “us” refer to PennantPark Floating Rate Capital Ltd.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PennantPark Floating Rate Capital Ltd. was organized as a Maryland corporation on October 28, 2010. The Company is a closed-end, externally managed, non-diversified investment company that has elected to be treated as a business development company, or BDC, under the Investment Company Act of 1940, as amended, or the 1940 Act.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high current income and capital appreciation. We will seek to achieve our investment objectives by investing primarily in floating rate loans and other instruments made to private middle-market companies whose debt is rated below investment grade. “Floating Rate Loans” are defined as loans that typically pay interest at variable-rates,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April 13, 2011, we closed our initial public offering of 6,700,000 shares, and on May 11, 2011 the underwriters exercised their overallotment option and purchased an additional 150,000 shares, resulting in total gross proceeds of $102.8 million. After deducting the underwriters’ discount, or sales load, of $5.1 million, we received net proceeds of $97.7 million from our initial public offering. Additionally, offering costs were estimated at $1.0 million. The underwriters agreed to reimburse, and have paid us, $0.4 million of the estimated $1.0 million of offering expenses. On March 4, 2011, the Company sold 667 shares of common stock for $10,000 ($15.00 per share) to the Investment Adviser.</w:t>
      </w:r>
    </w:p>
    <w:p>
      <w:pPr>
        <w:spacing w:after="0" w:line="116"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are externally managed by PennantPark Investment Advisers, LLC, or the Investment Adviser or PennantPark Investment Advisers. PennantPark Investment Administration, LLC, or the Administrator or PennantPark Investment Administration, provides the administrative services necessary for us to operate.</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April 13, 2011, PennantPark Floating Rate Capital Ltd. closed its initial public offering and our common stock trades on the NASDAQ Global Select Market under the symbol “PFLT”. We entered into an investment management agreement, the Investment Management Agreement, with PennantPark Investment Advisers, LLC the Investment Adviser or Adviser, an external adviser that manages our day-to-day operations. We also entered into an administration agreement, the Administration Agreement, with the Administrator, that provides the administrative services necessary for us to operate.</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on May 18, 2011. We formed Funding I, in order to establish a senior secured revolving facility, the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commercial paper rate that approximates LIBOR plus 225 basis points during the revolving period. The Credit Facility is secured by all of the assets held by Funding I. See Note 10 to the Consolidated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20" w:hanging="446"/>
        <w:spacing w:after="0" w:line="256"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1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premiums on loans and debt investments as income. Dividend income, if any, is recognized on an accrual basis on the ex-dividend date to the extent that we expect to collect such amounts.</w:t>
      </w:r>
    </w:p>
    <w:p>
      <w:pPr>
        <w:spacing w:after="0" w:line="10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1480" w:hanging="567"/>
        <w:spacing w:after="0"/>
        <w:tabs>
          <w:tab w:leader="none" w:pos="1480"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were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7 to the Consolidated Financial Statements.</w:t>
      </w:r>
    </w:p>
    <w:p>
      <w:pPr>
        <w:spacing w:after="0" w:line="262" w:lineRule="exact"/>
        <w:rPr>
          <w:sz w:val="20"/>
          <w:szCs w:val="20"/>
          <w:color w:val="auto"/>
        </w:rPr>
      </w:pPr>
    </w:p>
    <w:p>
      <w:pPr>
        <w:ind w:left="1480" w:hanging="567"/>
        <w:spacing w:after="0"/>
        <w:tabs>
          <w:tab w:leader="none" w:pos="148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567"/>
        <w:spacing w:after="0"/>
        <w:tabs>
          <w:tab w:leader="none" w:pos="148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permitted under Regulation S-X and the AICPA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Assets related to transactions that do not meet ASC Topic 860—Transfers and Servicing requirements for accounting sale treatment are reflected in the Consolidated Balance Sheet as investments. Any such assets are owned by Funding I, the creditors of Funding I have received security interests in any such assets are not intended to be available to the creditors of the Company (or any affiliate of the Company).</w:t>
      </w:r>
    </w:p>
    <w:p>
      <w:pPr>
        <w:spacing w:after="0" w:line="262" w:lineRule="exact"/>
        <w:rPr>
          <w:sz w:val="20"/>
          <w:szCs w:val="20"/>
          <w:color w:val="auto"/>
        </w:rPr>
      </w:pPr>
    </w:p>
    <w:p>
      <w:pPr>
        <w:ind w:left="1480" w:hanging="567"/>
        <w:spacing w:after="0"/>
        <w:tabs>
          <w:tab w:leader="none" w:pos="148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 those fiscal years. The amendments of ASU 2011-04, when adopted, are not expected to have a material impact on our consolidated financial statements and the company is currently evaluating the impact on its disclosures.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Company’s investment management agreement, or the Investment Management Agreement, with the investment adviser, the adviser, was approved by our board of directors, including a majority of our independent directors in March 2011. Under this agreement the Investment Adviser, subject to the overall supervision of the Company’s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the consolidated management fee of the Company. For providing these services, the Investment Adviser receives a fee from the Company, consisting of two components—a base management fee and an incentive fee, collectively, the Management Fees.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prorated.PennantPark Investment Advisers, however, has agreed to waive the portion of the base management fee payable on any net proceeds of this offering that have not yet been invested in portfolio investments, inclusive of any temporary investments in cash, cash equivalents, U.S. government securities and other high-quality investment grade debt investments that mature in 12 months or less from the date of investment.</w:t>
      </w:r>
    </w:p>
    <w:p>
      <w:pPr>
        <w:spacing w:after="0" w:line="118"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gross assets are calculated based on the average gross assets at the end of the two most recently completed calendar quarters, appropriately adjusted for any share issuances or repurchases during the current calendar quarter. Base management fees for any partial quarter are appropriately pro-rated. For the period from March 4, 2011 (commencement of operations) to September 30, 2011, the Investment Adviser earned a base management fee of $0.4 million from us.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the Company’s net assets at the end of the immediately preceding calendar quarter, is compared to the hurdle rate of 1.75% per quarter (7.00% annualized). The Company pays the Investment Adviser an incentive fee with respect to the Company’s Pre-Incentive Fee Net Investment Income in each calendar quarter as follows: (1) no incentive fee in any calendar quarter in which the Company’s Pre-Incentive Fee Net Investment Income does not exceed the hurdle rate of 1.75%, (2) 50% of the Company’s Pre-Incentive Fee Net Investment Income with respect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that portion of such Pre-Incentive Fee Net Investment Income, if any, that exceeds the hurdle rate but is less than 2.9167% in any calendar quarter (11.67% annualized), and (3) 20% of the amount of the Company’s Pre-Incentive Fee Net Investment Income, if any, that exceeds 2.9167% in any calendar quarter. These calculations are pro-rated for any period of less than three months and adjusted for any share issuances or repurchases during the relevant quarter.</w:t>
      </w:r>
    </w:p>
    <w:p>
      <w:pPr>
        <w:spacing w:after="0" w:line="10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2011 will be calculated for a period of shorter than twelve calendar months to take into account any realized capital gains computed net of all realized capital losses and unrealized capital depreciation from the inception of PennantPark Floating Rate Capital.</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accordance with GAAP, the Company did not accrue a capital gains incentive fee for the period from March 4, 2011 (commencement of operations) to September 30, 2011.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the Investment Management Agreement (as described above) for the period from March 4, 2011 (commencement of operations) to September 30, 2011, resulted in no accrual.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an administration agreement with the Administrator, or the Administration Agreement, which was approved by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including a majority of the independent directors, in March 2011. Under this agreement, the Administrator provides administration services to the Company.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providing these services, facilities and personnel we have agreed to reimburse the Administrator for our allocable portion of overhead and other expenses incurred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the Administrator in performing its obligations under our Administration Agreement, including rent and our allocable portion of the costs of compensation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expenses of our chief compliance officer, chief financial officer and their respective staffs. The Administrator also offers, on our behalf, managerial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assistance to portfolio companies to which the Company is required to offer such assistance. Reimbursement for certain of these costs is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services expenses in the Consolidated Statement of Operations. For the period from March 4, 2011 (commencement of operations)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2011, the Investment Adviser was reimbursed approximately $0.1 million, from us, including expenses it incurred on behalf of the Administrator,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services described above.</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2011, as well as the likelihood of future activity that may generate additional returns, management determined that the 7.0% return on Pre-Incentive Fee Net Investment Income was uncertain. Accordingly, the Company did not record a liability for it. Management assesses performance to determine whether the 7% return on Pre-Incentive Fee Net Investment Income is probable before recording the $2.1 million charge to capital.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Purchases of long-term investments, including PIK, for the period from March 4, 2011 (commencement of operations) to September 30, 2011 totaled $147.5 million. Sales and repayments of long-term investments for the same period totaled $33.2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6"/>
          </w:tcPr>
          <w:p>
            <w:pPr>
              <w:ind w:left="700"/>
              <w:spacing w:after="0"/>
              <w:rPr>
                <w:sz w:val="20"/>
                <w:szCs w:val="20"/>
                <w:color w:val="auto"/>
              </w:rPr>
            </w:pPr>
            <w:r>
              <w:rPr>
                <w:rFonts w:ascii="Arial" w:cs="Arial" w:eastAsia="Arial" w:hAnsi="Arial"/>
                <w:sz w:val="14"/>
                <w:szCs w:val="14"/>
                <w:b w:val="1"/>
                <w:bCs w:val="1"/>
                <w:color w:val="auto"/>
              </w:rPr>
              <w:t>September 30, 2011</w:t>
            </w:r>
          </w:p>
        </w:tc>
      </w:tr>
      <w:tr>
        <w:trPr>
          <w:trHeight w:val="142"/>
        </w:trPr>
        <w:tc>
          <w:tcPr>
            <w:tcW w:w="36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Cost</w:t>
            </w: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3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3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97,975,314</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94,333,126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6"/>
        </w:trPr>
        <w:tc>
          <w:tcPr>
            <w:tcW w:w="3680" w:type="dxa"/>
            <w:vAlign w:val="bottom"/>
          </w:tcPr>
          <w:p>
            <w:pPr>
              <w:spacing w:after="0"/>
              <w:rPr>
                <w:sz w:val="20"/>
                <w:szCs w:val="20"/>
                <w:color w:val="auto"/>
              </w:rPr>
            </w:pPr>
            <w:r>
              <w:rPr>
                <w:rFonts w:ascii="Arial" w:cs="Arial" w:eastAsia="Arial" w:hAnsi="Arial"/>
                <w:sz w:val="18"/>
                <w:szCs w:val="18"/>
                <w:color w:val="auto"/>
              </w:rPr>
              <w:t>Second lien</w:t>
            </w: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9,379,445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9,285,000</w:t>
            </w:r>
          </w:p>
        </w:tc>
      </w:tr>
      <w:tr>
        <w:trPr>
          <w:trHeight w:val="23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7,004,130</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Preferred and common equity</w:t>
            </w:r>
          </w:p>
        </w:tc>
        <w:tc>
          <w:tcPr>
            <w:tcW w:w="3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0"/>
                <w:szCs w:val="20"/>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114,829,621</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110,724,241</w:t>
            </w:r>
          </w:p>
        </w:tc>
      </w:t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Cash equivalents</w:t>
            </w:r>
          </w:p>
        </w:tc>
        <w:tc>
          <w:tcPr>
            <w:tcW w:w="30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20"/>
                <w:szCs w:val="20"/>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121,817,071</w:t>
            </w:r>
          </w:p>
        </w:tc>
        <w:tc>
          <w:tcPr>
            <w:tcW w:w="3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117,711,691</w:t>
            </w:r>
          </w:p>
        </w:tc>
      </w:tr>
      <w:tr>
        <w:trPr>
          <w:trHeight w:val="20"/>
        </w:trPr>
        <w:tc>
          <w:tcPr>
            <w:tcW w:w="36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3140" w:type="dxa"/>
            <w:vAlign w:val="bottom"/>
            <w:gridSpan w:val="2"/>
          </w:tcPr>
          <w:p>
            <w:pPr>
              <w:jc w:val="right"/>
              <w:ind w:right="1783"/>
              <w:spacing w:after="0"/>
              <w:rPr>
                <w:sz w:val="20"/>
                <w:szCs w:val="20"/>
                <w:color w:val="auto"/>
              </w:rPr>
            </w:pPr>
            <w:r>
              <w:rPr>
                <w:rFonts w:ascii="Arial" w:cs="Arial" w:eastAsia="Arial" w:hAnsi="Arial"/>
                <w:sz w:val="18"/>
                <w:szCs w:val="18"/>
                <w:color w:val="auto"/>
              </w:rPr>
              <w:t>F-16</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8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 Water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r>
      <w:tr>
        <w:trPr>
          <w:trHeight w:val="221"/>
        </w:trPr>
        <w:tc>
          <w:tcPr>
            <w:tcW w:w="7240" w:type="dxa"/>
            <w:vAlign w:val="bottom"/>
            <w:gridSpan w:val="3"/>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the Company.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long-term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information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period March 4, 2011 (commencement of operations) to September 30, 2011, our ability to observe valuation inputs has resulted in no reclassification of assets from Level 3 to Level 2. There were no investments transferred between Levels 1 and 2 for the same period.</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(See Note 2). Consistent with our valuation policy, we evaluate the source of inputs, including any markets in which its investments are trading, in determining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At September 30, 2011 our cash and cash equivalents, investments and our long-term Credit Facility were categorized as listed below in the fair value hierarchy for ASC 820 purposes. Please refer to the paragraphs preceding this sentence for information regarding Levels 1 through 3 within the fair value hierarchy.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5"/>
                <w:szCs w:val="15"/>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720" w:type="dxa"/>
            <w:vAlign w:val="bottom"/>
          </w:tcPr>
          <w:p>
            <w:pPr>
              <w:jc w:val="right"/>
              <w:ind w:right="115"/>
              <w:spacing w:after="0"/>
              <w:rPr>
                <w:sz w:val="20"/>
                <w:szCs w:val="20"/>
                <w:color w:val="auto"/>
              </w:rPr>
            </w:pPr>
            <w:r>
              <w:rPr>
                <w:rFonts w:ascii="Arial" w:cs="Arial" w:eastAsia="Arial" w:hAnsi="Arial"/>
                <w:sz w:val="14"/>
                <w:szCs w:val="14"/>
                <w:b w:val="1"/>
                <w:bCs w:val="1"/>
                <w:color w:val="auto"/>
              </w:rPr>
              <w:t>Level 2</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2,033,747</w:t>
            </w: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9,285,000</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7,004,130</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1,155,000</w:t>
            </w: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110,724,241</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3,188,747</w:t>
            </w: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40"/>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6,987,450</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117,711,691</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6,987,450</w:t>
            </w:r>
          </w:p>
        </w:tc>
        <w:tc>
          <w:tcPr>
            <w:tcW w:w="6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3,188,747</w:t>
            </w:r>
          </w:p>
        </w:tc>
        <w:tc>
          <w:tcPr>
            <w:tcW w:w="6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24,650,000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period from March 4, 2011 (commencement of operations) to September 30,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Second Lien,</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Subordinated Debt and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rPr>
              <w:t>First Lien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w w:val="87"/>
              </w:rPr>
              <w:t>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218,684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93,319</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312,003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(3,621,606)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(93,301)</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124,246,206</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19,766,732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144,012,938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0"/>
              </w:rPr>
              <w:t>(28,543,905)</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(4,530,635)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Transfers in and /or out of Level 3</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92,299,379</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15,236,115</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107,535,494</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for the period above within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the net change in unrealized appreciation on investments in our Consolidated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Statement of Operations attributable to our Level 3 assets still held at the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reporting date: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w w:val="99"/>
              </w:rPr>
              <w:t>(3,621,606)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700"/>
              <w:spacing w:after="0"/>
              <w:rPr>
                <w:sz w:val="20"/>
                <w:szCs w:val="20"/>
                <w:color w:val="auto"/>
              </w:rPr>
            </w:pPr>
            <w:r>
              <w:rPr>
                <w:rFonts w:ascii="Arial" w:cs="Arial" w:eastAsia="Arial" w:hAnsi="Arial"/>
                <w:sz w:val="18"/>
                <w:szCs w:val="18"/>
                <w:color w:val="auto"/>
              </w:rPr>
              <w:t>(93,301)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period from March 4, 2011 (commencement of operations) to September 30,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Carrying/</w:t>
            </w: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Credit Facility</w:t>
            </w:r>
          </w:p>
        </w:tc>
        <w:tc>
          <w:tcPr>
            <w:tcW w:w="1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Beginning balance, March 4, 2011 (Cost—$0)</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33"/>
        </w:trPr>
        <w:tc>
          <w:tcPr>
            <w:tcW w:w="20" w:type="dxa"/>
            <w:vAlign w:val="bottom"/>
          </w:tcPr>
          <w:p>
            <w:pPr>
              <w:spacing w:after="0"/>
              <w:rPr>
                <w:sz w:val="20"/>
                <w:szCs w:val="20"/>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appreciation included in earnings</w:t>
            </w: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6"/>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29,000,000</w:t>
            </w:r>
          </w:p>
        </w:tc>
        <w:tc>
          <w:tcPr>
            <w:tcW w:w="1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(4,350,000)</w:t>
            </w:r>
          </w:p>
        </w:tc>
      </w:tr>
      <w:tr>
        <w:trPr>
          <w:trHeight w:val="237"/>
        </w:trPr>
        <w:tc>
          <w:tcPr>
            <w:tcW w:w="20" w:type="dxa"/>
            <w:vAlign w:val="bottom"/>
          </w:tcPr>
          <w:p>
            <w:pPr>
              <w:spacing w:after="0"/>
              <w:rPr>
                <w:sz w:val="20"/>
                <w:szCs w:val="20"/>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Credit Facility, September 30, 2011 (Cost—$24,650,000)</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24,650,000</w:t>
            </w:r>
          </w:p>
        </w:tc>
        <w:tc>
          <w:tcPr>
            <w:tcW w:w="120" w:type="dxa"/>
            <w:vAlign w:val="bottom"/>
            <w:shd w:val="clear" w:color="auto" w:fill="CCEEFF"/>
          </w:tcPr>
          <w:p>
            <w:pPr>
              <w:spacing w:after="0"/>
              <w:rPr>
                <w:sz w:val="19"/>
                <w:szCs w:val="19"/>
                <w:color w:val="auto"/>
              </w:rPr>
            </w:pPr>
          </w:p>
        </w:tc>
      </w:tr>
      <w:tr>
        <w:trPr>
          <w:trHeight w:val="370"/>
        </w:trPr>
        <w:tc>
          <w:tcPr>
            <w:tcW w:w="20" w:type="dxa"/>
            <w:vAlign w:val="bottom"/>
          </w:tcPr>
          <w:p>
            <w:pPr>
              <w:spacing w:after="0"/>
              <w:rPr>
                <w:sz w:val="24"/>
                <w:szCs w:val="24"/>
                <w:color w:val="auto"/>
              </w:rPr>
            </w:pPr>
          </w:p>
        </w:tc>
        <w:tc>
          <w:tcPr>
            <w:tcW w:w="6040" w:type="dxa"/>
            <w:vAlign w:val="bottom"/>
          </w:tcPr>
          <w:p>
            <w:pPr>
              <w:ind w:left="4140"/>
              <w:spacing w:after="0"/>
              <w:rPr>
                <w:sz w:val="20"/>
                <w:szCs w:val="20"/>
                <w:color w:val="auto"/>
              </w:rPr>
            </w:pPr>
            <w:r>
              <w:rPr>
                <w:rFonts w:ascii="Arial" w:cs="Arial" w:eastAsia="Arial" w:hAnsi="Arial"/>
                <w:sz w:val="18"/>
                <w:szCs w:val="18"/>
                <w:color w:val="auto"/>
              </w:rPr>
              <w:t>F-19</w:t>
            </w:r>
          </w:p>
        </w:tc>
        <w:tc>
          <w:tcPr>
            <w:tcW w:w="1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non-recurring expenses of $1.4 million, which represents the upfront fees and expenses related to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the period from March 4, 2011 (commencement of operations) to September 30, 2011, our Credit Facility had no net change in unrealized (appreciation) depreciation. PennantPark Floating Rate Capital Ltd. uses one or more nationally recognized independent valuation service to measure the fair value of its credit facility in a manner consistent with the valuation process that the board of directors uses to value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decrease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8600" w:type="dxa"/>
            <w:vAlign w:val="bottom"/>
            <w:vMerge w:val="restart"/>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8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to September 30, 2011</w:t>
            </w:r>
          </w:p>
        </w:tc>
        <w:tc>
          <w:tcPr>
            <w:tcW w:w="0" w:type="dxa"/>
            <w:vAlign w:val="bottom"/>
          </w:tcPr>
          <w:p>
            <w:pPr>
              <w:spacing w:after="0"/>
              <w:rPr>
                <w:sz w:val="1"/>
                <w:szCs w:val="1"/>
                <w:color w:val="auto"/>
              </w:rPr>
            </w:pPr>
          </w:p>
        </w:tc>
      </w:tr>
      <w:tr>
        <w:trPr>
          <w:trHeight w:val="203"/>
        </w:trPr>
        <w:tc>
          <w:tcPr>
            <w:tcW w:w="9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decrease in net assets resulting from operations</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6,826,105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decrease in net assets per share resulting from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AND DISTRIBUTIONS</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As of September 30, 2011, we had no permanent book-to-tax differences.</w:t>
      </w:r>
    </w:p>
    <w:p>
      <w:pPr>
        <w:spacing w:after="0" w:line="9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September 30, 2011, the cost of investments for federal income tax purposes was $114.8 million resulting in a gross unrealized appreciation of $0.1 million and depreciation of $4.2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decrease in net assets resulting from operations to taxable income: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8"/>
              </w:rPr>
              <w:t>For the period March 4, 2011</w:t>
            </w:r>
          </w:p>
        </w:tc>
      </w:tr>
      <w:tr>
        <w:trPr>
          <w:trHeight w:val="149"/>
        </w:trPr>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8"/>
              </w:rPr>
              <w:t>(commencement of operations)</w:t>
            </w:r>
          </w:p>
        </w:tc>
      </w:tr>
      <w:tr>
        <w:trPr>
          <w:trHeight w:val="161"/>
        </w:trPr>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to September 30, 2011</w:t>
            </w:r>
          </w:p>
        </w:tc>
      </w:tr>
      <w:tr>
        <w:trPr>
          <w:trHeight w:val="210"/>
        </w:trPr>
        <w:tc>
          <w:tcPr>
            <w:tcW w:w="8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22"/>
        </w:trPr>
        <w:tc>
          <w:tcPr>
            <w:tcW w:w="862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 and credit facility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4,105,380</w:t>
            </w:r>
          </w:p>
        </w:tc>
        <w:tc>
          <w:tcPr>
            <w:tcW w:w="80" w:type="dxa"/>
            <w:vAlign w:val="bottom"/>
          </w:tcPr>
          <w:p>
            <w:pPr>
              <w:spacing w:after="0"/>
              <w:rPr>
                <w:sz w:val="19"/>
                <w:szCs w:val="19"/>
                <w:color w:val="auto"/>
              </w:rPr>
            </w:pPr>
          </w:p>
        </w:tc>
      </w:tr>
      <w:tr>
        <w:trPr>
          <w:trHeight w:val="237"/>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book-to-tax differences</w:t>
            </w: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1,297,741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1,929,868</w:t>
            </w:r>
          </w:p>
        </w:tc>
        <w:tc>
          <w:tcPr>
            <w:tcW w:w="80" w:type="dxa"/>
            <w:vAlign w:val="bottom"/>
          </w:tcPr>
          <w:p>
            <w:pPr>
              <w:spacing w:after="0"/>
              <w:rPr>
                <w:sz w:val="20"/>
                <w:szCs w:val="20"/>
                <w:color w:val="auto"/>
              </w:rPr>
            </w:pPr>
          </w:p>
        </w:tc>
      </w:tr>
      <w:tr>
        <w:trPr>
          <w:trHeight w:val="20"/>
        </w:trPr>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components of accumulated losses on tax basis and reconciliation to accumulated losses on a GAAP basis for the period from March 4, 2011 (commencement of operations) to September 30, 2011 are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696,748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696,748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Dividends payable and other temporary differences</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(1,777,288)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(4,105,380)</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Total accumulated deficit</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52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(5,185,920)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characteristics of dividends during the fiscal year ended September 30, 2011 totaled $1.7 million or $0.25 per share.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PennantPark Floating Rate Capital Ltd. may invest temporarily in U.S. Treasury Bills (of varying maturities), repurchase agreements, money market funds or repo-like treasury securities. These temporary investments with maturities of 90 days or less are deemed cash equivalents and are included in the Consolidated Schedule of Investments. At the end of each fiscal quarter, PennantPark Floating Rate Capital Ltd. could take proactive steps to preserve investment flexibility for the next quarter, which is dependent upon the composition of its total assets at quarter end. PennantPark Floating Rate Capital Ltd. may accomplish this in several ways, including purchasing U.S. Treasury Bills and closing out its positions on a net cash basis after quarter-end, temporarily drawing down on its credit facility, or utilizing repurchase agreements or other balance sheet transactions as are deemed appropriate for this purpose. These amounts are excluded from adjusted gross assets for purposes of computing management fee. U.S. Treasury Bills with maturities greater than 60 days from the time of purchase are marked-to-market consistent with PennantPark Floating Rate Capital Ltd.’s valuation policy. As of September 30, 2011, cash equivalents consisted of $7.0 million in money market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reported period: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9"/>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to 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realized and unrealized losses</w:t>
            </w:r>
            <w:r>
              <w:rPr>
                <w:rFonts w:ascii="Arial" w:cs="Arial" w:eastAsia="Arial" w:hAnsi="Arial"/>
                <w:sz w:val="11"/>
                <w:szCs w:val="11"/>
                <w:color w:val="auto"/>
              </w:rPr>
              <w:t>(1)</w:t>
            </w:r>
          </w:p>
        </w:tc>
        <w:tc>
          <w:tcPr>
            <w:tcW w:w="16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(1)</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Dividends and distributions to stockholders</w:t>
            </w:r>
            <w:r>
              <w:rPr>
                <w:rFonts w:ascii="Arial" w:cs="Arial" w:eastAsia="Arial" w:hAnsi="Arial"/>
                <w:sz w:val="11"/>
                <w:szCs w:val="11"/>
                <w:color w:val="auto"/>
              </w:rPr>
              <w:t>(1),(2)</w:t>
            </w:r>
          </w:p>
        </w:tc>
        <w:tc>
          <w:tcPr>
            <w:tcW w:w="160" w:type="dxa"/>
            <w:vAlign w:val="bottom"/>
          </w:tcPr>
          <w:p>
            <w:pPr>
              <w:spacing w:after="0"/>
              <w:rPr>
                <w:sz w:val="19"/>
                <w:szCs w:val="19"/>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(1)</w:t>
            </w:r>
          </w:p>
        </w:tc>
        <w:tc>
          <w:tcPr>
            <w:tcW w:w="160" w:type="dxa"/>
            <w:vAlign w:val="bottom"/>
          </w:tcPr>
          <w:p>
            <w:pPr>
              <w:spacing w:after="0"/>
              <w:rPr>
                <w:sz w:val="20"/>
                <w:szCs w:val="20"/>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6,850,667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11"/>
                <w:szCs w:val="11"/>
                <w:color w:val="auto"/>
              </w:rPr>
              <w:t>(4)</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Total expenses to average net assets**</w:t>
            </w:r>
          </w:p>
        </w:tc>
        <w:tc>
          <w:tcPr>
            <w:tcW w:w="160" w:type="dxa"/>
            <w:vAlign w:val="bottom"/>
          </w:tcPr>
          <w:p>
            <w:pPr>
              <w:spacing w:after="0"/>
              <w:rPr>
                <w:sz w:val="19"/>
                <w:szCs w:val="19"/>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92,072,105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7,550,877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Weighted average debt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6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 annualized for a period of less than a year.</w:t>
      </w:r>
    </w:p>
    <w:p>
      <w:pPr>
        <w:spacing w:after="0" w:line="15"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Includes both recurring and non-recurring expenses such as debt issuance costs and organizational expenses.</w:t>
      </w:r>
    </w:p>
    <w:p>
      <w:pPr>
        <w:spacing w:after="0" w:line="9" w:lineRule="exact"/>
        <w:rPr>
          <w:sz w:val="20"/>
          <w:szCs w:val="20"/>
          <w:color w:val="auto"/>
        </w:rPr>
      </w:pPr>
    </w:p>
    <w:p>
      <w:pPr>
        <w:ind w:left="460" w:right="380" w:hanging="452"/>
        <w:spacing w:after="0" w:line="250"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from the initial public offering date of March 4, 2011 to September 30, 2011.</w:t>
      </w:r>
    </w:p>
    <w:p>
      <w:pPr>
        <w:ind w:left="460" w:right="280" w:hanging="452"/>
        <w:spacing w:after="0" w:line="250"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w:t>
      </w:r>
    </w:p>
    <w:p>
      <w:pPr>
        <w:ind w:left="460" w:hanging="452"/>
        <w:spacing w:after="0" w:line="250"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Excluding debt issuance cost the ratio would be 0.16%.</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June 23, 2011, Funding I entered into a five-year senior secured revolving credit facility with the Lender, an asset-backed commercial paper conduit administered by STRH. The Credit Facility allows Funding I to borrow up to $100.0 million and contains an accordion feature whereby the Credit Facility can be expanded to $600.0 million, subject to satisfaction of certain conditions. As of September 30, 2011, Funding I had $24.7 million of outstanding borrowings under the Credit Facility, carried an interest rate of 2.53% excluding the 0.50% undrawn commitment fee and had $75.3 million available subject to restrictions and covenants.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Credit Facility’s first three years, or the revolving period, it bears interest at the LIBOR plus 225 basis points, and after the revolving period, the rate sets to LIBOR plus 425 basis points for the remaining or two years. The Credit Facility is secured by all of the assets held by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For example, we must maintain a weighted average loan life of no more than 6 years and cannot have more than 10% of Funding I’s assets in a single portfolio company.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Any violations of these and other covenants could result in the early amortization of the Credit Facility and further limit advances available under it. For a complete list of such covenants, see our report on Form 8-K, filed June 29, 2011.</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accordance with the 1940 Act, with certain limited exceptions, the Company is only allowed to borrow amounts such that its asset coverage, as defined in the 1940 Act, is at least 200% after such borrowing. As of September 30, 2011 our asset coverage for borrowed amounts was 474%.</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We also transfered certain loans and debt securities we originated or acquired and may do so again , to Funding I through a Purchase and Contribution Agreement. Funding I may and has originated or acquired loans, consistent with PenantPark Floating Rate Capital Ltd.’s investment objectives. The structure of the financing, including organizing Funding I as a special purpose, bankruptcy-remote entity and selling assets from PennantPark Floating Rate Capital Ltd. to Funding I renders such assets generally unavailable to creditors of PennantPark Floating Rate Capital Ltd. and is intended to protect the Lender from credit and bankruptcy risks.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are subject to certain payment restrictions set forth in the Credit Facility.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equity interest in Funding I is subordinate to the secured and unsecured creditors, known or unknown, of Funding I including the Lender. Consequently, to the extent that the value of Funding I’s portfolio of loan investments is reduced as a result of conditions in the credit markets, defaulted loans, capital losses in excess of gains on the underlying assets, prepayments or changes in interest rates, the return on our investment in Funding I could be reduced. Accordingly, our investment in Funding I is subject to loss of principal.</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that we fail to receive cash from Funding I, we could be unable to make distributions to our stockholders in amounts sufficient to maintain our status as a RIC, or at all. We also could be forced to sell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investments in portfolio companies at less than their fair value in order to continue making such distributions.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subordinated debt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We have reviewed the accompanying consolidated statement of assets and liabilities of PennantPark Floating Rate Capital Ltd. and its Subsidiary (collectively referred to as the “Company”), including the consolidated schedules of investments, as of March 31, 2012, the consolidated statements of operations for the three and six months ended March 31, 2012, and the changes in net assets and cash flows for the six months ended March 31, 2012. These interim consolidated financial statements are the responsibility of the Company’s management.</w:t>
      </w:r>
    </w:p>
    <w:p>
      <w:pPr>
        <w:spacing w:after="0" w:line="14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conducted our review in accordance with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statement of assets and liabilities of the Company, including the consolidated schedule of investments, as of September 30, 2011, and the consolidated statement of operations, changes in net assets, and cash flows for the period March 4, 2011 (commencement of operations) to September 30, 2011; and in our report dated November 17, 2011, we expressed an unqualified opinion on those consolidated financial statements and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0090" cy="2057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3,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60"/>
          </w:cols>
          <w:pgMar w:left="240" w:top="460" w:right="2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(cost—$146,227,958 and $114,829,621, respectively)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146,188,132</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110,724,241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3,849,360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6,987,450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1,085,930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151,174,164</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121,075,260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513,800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479,547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Unfunded investments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2,161,880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2,323,250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(cost—$47,800,000 and $24,650,000, respectively, See Notes 5 and 9)</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47,561,000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342,495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175,740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386,592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54,451,859</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29,003,155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00" w:type="dxa"/>
            <w:vAlign w:val="bottom"/>
            <w:gridSpan w:val="2"/>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97,251,174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97,251,174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Distributions in excess of net investment income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(1,452,769)</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on investments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(39,826)</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0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96,722,305</w:t>
            </w:r>
          </w:p>
        </w:tc>
        <w:tc>
          <w:tcPr>
            <w:tcW w:w="4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92,072,105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151,174,164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121,075,260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Net asset value per share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vMerge w:val="restart"/>
          </w:tcPr>
          <w:p>
            <w:pPr>
              <w:ind w:left="5520"/>
              <w:spacing w:after="0"/>
              <w:rPr>
                <w:sz w:val="20"/>
                <w:szCs w:val="20"/>
                <w:color w:val="auto"/>
              </w:rPr>
            </w:pPr>
            <w:r>
              <w:rPr>
                <w:rFonts w:ascii="Arial" w:cs="Arial" w:eastAsia="Arial" w:hAnsi="Arial"/>
                <w:sz w:val="18"/>
                <w:szCs w:val="18"/>
                <w:color w:val="auto"/>
              </w:rPr>
              <w:t>F-26</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0"/>
              </w:rPr>
              <w:t>March 31, 2012</w:t>
            </w:r>
          </w:p>
        </w:tc>
        <w:tc>
          <w:tcPr>
            <w:tcW w:w="8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2,943,730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370,352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Performance-base incentive fees payable (Note 3)</w:t>
            </w:r>
          </w:p>
        </w:tc>
        <w:tc>
          <w:tcPr>
            <w:tcW w:w="1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175,740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9)</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342,496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40" w:type="dxa"/>
            <w:vAlign w:val="bottom"/>
          </w:tcPr>
          <w:p>
            <w:pPr>
              <w:spacing w:after="0"/>
              <w:rPr>
                <w:sz w:val="18"/>
                <w:szCs w:val="18"/>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149,624</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360,618</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1,398,830</w:t>
            </w: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2,490,959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1,544,900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95,712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change in unrealized depreciation 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2,996,463</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140" w:type="dxa"/>
            <w:vAlign w:val="bottom"/>
          </w:tcPr>
          <w:p>
            <w:pPr>
              <w:spacing w:after="0"/>
              <w:rPr>
                <w:sz w:val="19"/>
                <w:szCs w:val="19"/>
                <w:color w:val="auto"/>
              </w:rPr>
            </w:pP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(112,000)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change in unrealized depreciation on investments and Credit Facility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2,884,463</w:t>
            </w: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Credit Facility</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2,980,175</w:t>
            </w: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4,710,441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4,525,075</w:t>
            </w:r>
          </w:p>
        </w:tc>
        <w:tc>
          <w:tcPr>
            <w:tcW w:w="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6)</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940"/>
              <w:spacing w:after="0"/>
              <w:rPr>
                <w:sz w:val="20"/>
                <w:szCs w:val="20"/>
                <w:color w:val="auto"/>
              </w:rPr>
            </w:pPr>
            <w:r>
              <w:rPr>
                <w:rFonts w:ascii="Arial" w:cs="Arial" w:eastAsia="Arial" w:hAnsi="Arial"/>
                <w:sz w:val="18"/>
                <w:szCs w:val="18"/>
                <w:color w:val="auto"/>
              </w:rPr>
              <w:t>0.66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360" w:type="dxa"/>
            <w:vAlign w:val="bottom"/>
          </w:tcPr>
          <w:p>
            <w:pPr>
              <w:jc w:val="center"/>
              <w:ind w:left="1932"/>
              <w:spacing w:after="0"/>
              <w:rPr>
                <w:sz w:val="20"/>
                <w:szCs w:val="20"/>
                <w:color w:val="auto"/>
              </w:rPr>
            </w:pPr>
            <w:r>
              <w:rPr>
                <w:rFonts w:ascii="Arial" w:cs="Arial" w:eastAsia="Arial" w:hAnsi="Arial"/>
                <w:sz w:val="18"/>
                <w:szCs w:val="18"/>
                <w:b w:val="1"/>
                <w:bCs w:val="1"/>
                <w:color w:val="auto"/>
                <w:w w:val="97"/>
              </w:rPr>
              <w:t>PENNANTPARK FLOATING RATE CAPITAL LTD. AND SUBSIDIARY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60" w:type="dxa"/>
            <w:vAlign w:val="bottom"/>
          </w:tcPr>
          <w:p>
            <w:pPr>
              <w:jc w:val="center"/>
              <w:ind w:left="1952"/>
              <w:spacing w:after="0"/>
              <w:rPr>
                <w:sz w:val="20"/>
                <w:szCs w:val="20"/>
                <w:color w:val="auto"/>
              </w:rPr>
            </w:pPr>
            <w:r>
              <w:rPr>
                <w:rFonts w:ascii="Arial" w:cs="Arial" w:eastAsia="Arial" w:hAnsi="Arial"/>
                <w:sz w:val="18"/>
                <w:szCs w:val="18"/>
                <w:b w:val="1"/>
                <w:bCs w:val="1"/>
                <w:color w:val="auto"/>
                <w:w w:val="96"/>
              </w:rPr>
              <w:t>CONSOLIDATED STATEMENT OF CHANGES IN NET ASSETS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9360" w:type="dxa"/>
            <w:vAlign w:val="bottom"/>
          </w:tcPr>
          <w:p>
            <w:pPr>
              <w:jc w:val="center"/>
              <w:ind w:left="1932"/>
              <w:spacing w:after="0"/>
              <w:rPr>
                <w:sz w:val="20"/>
                <w:szCs w:val="20"/>
                <w:color w:val="auto"/>
              </w:rPr>
            </w:pPr>
            <w:r>
              <w:rPr>
                <w:rFonts w:ascii="Arial" w:cs="Arial" w:eastAsia="Arial" w:hAnsi="Arial"/>
                <w:sz w:val="18"/>
                <w:szCs w:val="18"/>
                <w:b w:val="1"/>
                <w:bCs w:val="1"/>
                <w:color w:val="auto"/>
                <w:w w:val="89"/>
              </w:rPr>
              <w:t>(Unaudited)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2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5"/>
              </w:rPr>
              <w:t>Six Months Ended</w:t>
            </w: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March 31, 2012</w:t>
            </w:r>
          </w:p>
        </w:tc>
      </w:tr>
      <w:tr>
        <w:trPr>
          <w:trHeight w:val="196"/>
        </w:trPr>
        <w:tc>
          <w:tcPr>
            <w:tcW w:w="20" w:type="dxa"/>
            <w:vAlign w:val="bottom"/>
          </w:tcPr>
          <w:p>
            <w:pPr>
              <w:spacing w:after="0"/>
              <w:rPr>
                <w:sz w:val="17"/>
                <w:szCs w:val="17"/>
                <w:color w:val="auto"/>
              </w:rPr>
            </w:pPr>
          </w:p>
        </w:tc>
        <w:tc>
          <w:tcPr>
            <w:tcW w:w="9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2,919,799</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405,887</w:t>
            </w: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Net change in unrealized depreciation on investments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4,065,554</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depreciation on Credit Facility</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r>
      <w:tr>
        <w:trPr>
          <w:trHeight w:val="218"/>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(2,980,040)</w:t>
            </w: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8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4,650,200</w:t>
            </w:r>
          </w:p>
        </w:tc>
        <w:tc>
          <w:tcPr>
            <w:tcW w:w="100" w:type="dxa"/>
            <w:vAlign w:val="bottom"/>
            <w:shd w:val="clear" w:color="auto" w:fill="CCEEFF"/>
          </w:tcPr>
          <w:p>
            <w:pPr>
              <w:spacing w:after="0"/>
              <w:rPr>
                <w:sz w:val="18"/>
                <w:szCs w:val="18"/>
                <w:color w:val="auto"/>
              </w:rPr>
            </w:pPr>
          </w:p>
        </w:tc>
      </w:tr>
      <w:tr>
        <w:trPr>
          <w:trHeight w:val="222"/>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92,072,105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End of period</w:t>
            </w:r>
          </w:p>
        </w:tc>
        <w:tc>
          <w:tcPr>
            <w:tcW w:w="10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96,722,305</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(1,452,769)</w:t>
            </w: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900" w:right="100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CONSOLIDATED STATEMENT OF CASH FLOWS (Unaudited)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increase in net assets resulting from operations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Adjustments to reconcile net increase in net assets resulting from operations to net cash used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change in unrealized depreciation on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Net realized gain on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Net accretion of discount and amortization of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Purchase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Payment-in-kind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Proceeds from dispositions of investments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receivable for investments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receivable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payables for investments purchased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(Decrease) in unfunded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interest payable on Credit Facility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Increase in performance-based incentive fees payable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Net cash used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Distributions paid to stockholders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Borrowings under Credit Facility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80"/>
        <w:spacing w:after="0"/>
        <w:rPr>
          <w:sz w:val="20"/>
          <w:szCs w:val="20"/>
          <w:color w:val="auto"/>
        </w:rPr>
      </w:pPr>
      <w:r>
        <w:rPr>
          <w:rFonts w:ascii="Arial" w:cs="Arial" w:eastAsia="Arial" w:hAnsi="Arial"/>
          <w:sz w:val="18"/>
          <w:szCs w:val="18"/>
          <w:color w:val="auto"/>
        </w:rPr>
        <w:t>Repayments under Credit Facility (See Note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Six Months Ended</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March 31, 2012</w:t>
      </w:r>
    </w:p>
    <w:p>
      <w:pPr>
        <w:spacing w:after="0" w:line="195" w:lineRule="exact"/>
        <w:rPr>
          <w:sz w:val="20"/>
          <w:szCs w:val="20"/>
          <w:color w:val="auto"/>
        </w:rPr>
      </w:pPr>
    </w:p>
    <w:p>
      <w:pPr>
        <w:ind w:left="360" w:hanging="355"/>
        <w:spacing w:after="0"/>
        <w:tabs>
          <w:tab w:leader="none" w:pos="3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7,630,240</w:t>
      </w:r>
    </w:p>
    <w:p>
      <w:pPr>
        <w:spacing w:after="0" w:line="24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(4,065,554)</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(239,000)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(405,887)</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(333,296)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(72,216,125)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(47,292)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41,604,263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2,467,500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(353,235)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112,632</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1,950,000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(161,370)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192,249</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103,920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175,740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242,912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775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(23,342,303)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6775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(2,945,787)</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54,050,000</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(30,900,000)</w:t>
      </w:r>
    </w:p>
    <w:p>
      <w:pPr>
        <w:spacing w:after="0" w:line="9" w:lineRule="exact"/>
        <w:rPr>
          <w:sz w:val="20"/>
          <w:szCs w:val="20"/>
          <w:color w:val="auto"/>
        </w:rPr>
      </w:pPr>
    </w:p>
    <w:p>
      <w:pPr>
        <w:sectPr>
          <w:pgSz w:w="11900" w:h="16838" w:orient="portrait"/>
          <w:cols w:equalWidth="0" w:num="2">
            <w:col w:w="9520" w:space="720"/>
            <w:col w:w="118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25"/>
        </w:trPr>
        <w:tc>
          <w:tcPr>
            <w:tcW w:w="86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20,204,213</w:t>
            </w:r>
          </w:p>
        </w:tc>
        <w:tc>
          <w:tcPr>
            <w:tcW w:w="100" w:type="dxa"/>
            <w:vAlign w:val="bottom"/>
            <w:shd w:val="clear" w:color="auto" w:fill="CCEEFF"/>
          </w:tcPr>
          <w:p>
            <w:pPr>
              <w:spacing w:after="0"/>
              <w:rPr>
                <w:sz w:val="19"/>
                <w:szCs w:val="19"/>
                <w:color w:val="auto"/>
              </w:rPr>
            </w:pPr>
          </w:p>
        </w:tc>
      </w:tr>
      <w:tr>
        <w:trPr>
          <w:trHeight w:val="221"/>
        </w:trPr>
        <w:tc>
          <w:tcPr>
            <w:tcW w:w="8680" w:type="dxa"/>
            <w:vAlign w:val="bottom"/>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(3,138,090)</w:t>
            </w:r>
          </w:p>
        </w:tc>
      </w:tr>
      <w:tr>
        <w:trPr>
          <w:trHeight w:val="218"/>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r>
      <w:tr>
        <w:trPr>
          <w:trHeight w:val="22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r>
      <w:tr>
        <w:trPr>
          <w:trHeight w:val="20"/>
        </w:trPr>
        <w:tc>
          <w:tcPr>
            <w:tcW w:w="8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 (See Note 5):</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Taxes paid</w:t>
            </w:r>
          </w:p>
        </w:tc>
        <w:tc>
          <w:tcPr>
            <w:tcW w:w="1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type w:val="continuous"/>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6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86"/>
              </w:rPr>
              <w:t>Current</w:t>
            </w:r>
          </w:p>
        </w:tc>
        <w:tc>
          <w:tcPr>
            <w:tcW w:w="10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Above</w:t>
            </w:r>
          </w:p>
        </w:tc>
        <w:tc>
          <w:tcPr>
            <w:tcW w:w="88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Par/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r>
      <w:tr>
        <w:trPr>
          <w:trHeight w:val="162"/>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380"/>
              <w:spacing w:after="0" w:line="162" w:lineRule="exact"/>
              <w:rPr>
                <w:sz w:val="20"/>
                <w:szCs w:val="20"/>
                <w:color w:val="auto"/>
              </w:rPr>
            </w:pPr>
            <w:r>
              <w:rPr>
                <w:rFonts w:ascii="Arial" w:cs="Arial" w:eastAsia="Arial" w:hAnsi="Arial"/>
                <w:sz w:val="12"/>
                <w:szCs w:val="12"/>
                <w:b w:val="1"/>
                <w:bCs w:val="1"/>
                <w:color w:val="auto"/>
              </w:rPr>
              <w:t xml:space="preserve">Index </w:t>
            </w:r>
            <w:r>
              <w:rPr>
                <w:rFonts w:ascii="Arial" w:cs="Arial" w:eastAsia="Arial" w:hAnsi="Arial"/>
                <w:sz w:val="18"/>
                <w:szCs w:val="18"/>
                <w:b w:val="1"/>
                <w:bCs w:val="1"/>
                <w:color w:val="auto"/>
                <w:vertAlign w:val="superscript"/>
              </w:rPr>
              <w:t>(1)</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68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8"/>
                <w:szCs w:val="18"/>
                <w:b w:val="1"/>
                <w:bCs w:val="1"/>
                <w:color w:val="auto"/>
                <w:vertAlign w:val="superscript"/>
              </w:rPr>
              <w:t>(2)</w:t>
            </w:r>
          </w:p>
        </w:tc>
      </w:tr>
      <w:tr>
        <w:trPr>
          <w:trHeight w:val="20"/>
        </w:trPr>
        <w:tc>
          <w:tcPr>
            <w:tcW w:w="6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95"/>
        </w:trPr>
        <w:tc>
          <w:tcPr>
            <w:tcW w:w="4560" w:type="dxa"/>
            <w:vAlign w:val="bottom"/>
            <w:gridSpan w:val="2"/>
            <w:shd w:val="clear" w:color="auto" w:fill="CCEEFF"/>
          </w:tcPr>
          <w:p>
            <w:pPr>
              <w:spacing w:after="0" w:line="95" w:lineRule="exact"/>
              <w:rPr>
                <w:sz w:val="20"/>
                <w:szCs w:val="20"/>
                <w:color w:val="auto"/>
              </w:rPr>
            </w:pPr>
            <w:r>
              <w:rPr>
                <w:rFonts w:ascii="Arial" w:cs="Arial" w:eastAsia="Arial" w:hAnsi="Arial"/>
                <w:sz w:val="11"/>
                <w:szCs w:val="11"/>
                <w:b w:val="1"/>
                <w:bCs w:val="1"/>
                <w:color w:val="auto"/>
              </w:rPr>
              <w:t>Investments in Non-Controlled, Non-Affiliated</w:t>
            </w: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176"/>
        </w:trPr>
        <w:tc>
          <w:tcPr>
            <w:tcW w:w="456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3"/>
                <w:szCs w:val="13"/>
                <w:b w:val="1"/>
                <w:bCs w:val="1"/>
                <w:color w:val="auto"/>
              </w:rPr>
              <w:t>Portfolio Companies—151.1%</w:t>
            </w:r>
            <w:r>
              <w:rPr>
                <w:rFonts w:ascii="Arial" w:cs="Arial" w:eastAsia="Arial" w:hAnsi="Arial"/>
                <w:sz w:val="20"/>
                <w:szCs w:val="20"/>
                <w:b w:val="1"/>
                <w:bCs w:val="1"/>
                <w:color w:val="auto"/>
                <w:vertAlign w:val="superscript"/>
              </w:rPr>
              <w:t>(3),(4)</w:t>
            </w: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Debt—130.6%</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03/25/2015</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10.00%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L+800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785,714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  787,760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746,429</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10/06/2016</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Consumer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2,947,919</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2,970,056</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07/29/2017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1"/>
              </w:rPr>
              <w:t>Automotive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990,663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02/15/2018</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4,000,000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3,921,389</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3,980,000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08/17/2017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Consumer Goods: Durable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7.27%</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L+575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3,980,000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3,907,844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3,960,100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03/19/2018</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P+475</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3,000,000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2,955,160</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2,955,000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12/01/2016</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1,000,000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990,557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DS Waters of America,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08/29/2017</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Beverage, Food</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2"/>
              </w:rPr>
              <w:t>10.50%</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L+900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4,000,000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3,920,851</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3,935,000</w:t>
            </w:r>
          </w:p>
        </w:tc>
        <w:tc>
          <w:tcPr>
            <w:tcW w:w="60" w:type="dxa"/>
            <w:vAlign w:val="bottom"/>
          </w:tcPr>
          <w:p>
            <w:pPr>
              <w:spacing w:after="0"/>
              <w:rPr>
                <w:sz w:val="11"/>
                <w:szCs w:val="11"/>
                <w:color w:val="auto"/>
              </w:rPr>
            </w:pPr>
          </w:p>
        </w:tc>
      </w:tr>
      <w:tr>
        <w:trPr>
          <w:trHeight w:val="172"/>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color w:val="auto"/>
                <w:w w:val="83"/>
              </w:rPr>
              <w:t>and Tobacco</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07/28/2017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P+350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975,000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970,472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965,250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Fundtech (US FT HOLDCO,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11/30/2017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2,905,553</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2,986,889</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12/14/2017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2,935,337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2,994,370</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Gundle/SLT Environmental,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05/27/2016</w:t>
            </w:r>
          </w:p>
        </w:tc>
        <w:tc>
          <w:tcPr>
            <w:tcW w:w="220" w:type="dxa"/>
            <w:vAlign w:val="bottom"/>
          </w:tcPr>
          <w:p>
            <w:pPr>
              <w:spacing w:after="0"/>
              <w:rPr>
                <w:sz w:val="11"/>
                <w:szCs w:val="11"/>
                <w:color w:val="auto"/>
              </w:rPr>
            </w:pPr>
          </w:p>
        </w:tc>
        <w:tc>
          <w:tcPr>
            <w:tcW w:w="180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89"/>
              </w:rPr>
              <w:t>Environmental</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6.99%</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L+550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2,977,500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2,953,133</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2,932,838</w:t>
            </w:r>
          </w:p>
        </w:tc>
        <w:tc>
          <w:tcPr>
            <w:tcW w:w="60" w:type="dxa"/>
            <w:vAlign w:val="bottom"/>
          </w:tcPr>
          <w:p>
            <w:pPr>
              <w:spacing w:after="0"/>
              <w:rPr>
                <w:sz w:val="11"/>
                <w:szCs w:val="11"/>
                <w:color w:val="auto"/>
              </w:rPr>
            </w:pPr>
          </w:p>
        </w:tc>
      </w:tr>
      <w:tr>
        <w:trPr>
          <w:trHeight w:val="172"/>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Industries</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Harmony Foods Corporation</w:t>
            </w:r>
            <w:r>
              <w:rPr>
                <w:rFonts w:ascii="Arial" w:cs="Arial" w:eastAsia="Arial" w:hAnsi="Arial"/>
                <w:sz w:val="16"/>
                <w:szCs w:val="16"/>
                <w:color w:val="auto"/>
                <w:vertAlign w:val="superscript"/>
              </w:rPr>
              <w:t>(5)</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05/01/2016</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color w:val="auto"/>
                <w:w w:val="86"/>
              </w:rPr>
              <w:t>Beverage, Food</w:t>
            </w:r>
          </w:p>
        </w:tc>
        <w:tc>
          <w:tcPr>
            <w:tcW w:w="74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w w:val="92"/>
              </w:rPr>
              <w:t>10.00%</w:t>
            </w:r>
          </w:p>
        </w:tc>
        <w:tc>
          <w:tcPr>
            <w:tcW w:w="10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8"/>
                <w:szCs w:val="8"/>
                <w:color w:val="auto"/>
              </w:rPr>
              <w:t xml:space="preserve"> (9)</w:t>
            </w:r>
          </w:p>
        </w:tc>
        <w:tc>
          <w:tcPr>
            <w:tcW w:w="88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4"/>
                <w:szCs w:val="14"/>
                <w:color w:val="auto"/>
                <w:w w:val="89"/>
              </w:rPr>
              <w:t>2,000,000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2,000,000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2,060,000</w:t>
            </w:r>
          </w:p>
        </w:tc>
        <w:tc>
          <w:tcPr>
            <w:tcW w:w="60" w:type="dxa"/>
            <w:vAlign w:val="bottom"/>
            <w:shd w:val="clear" w:color="auto" w:fill="CCEEFF"/>
          </w:tcPr>
          <w:p>
            <w:pPr>
              <w:spacing w:after="0"/>
              <w:rPr>
                <w:sz w:val="12"/>
                <w:szCs w:val="12"/>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3"/>
              </w:rPr>
              <w:t>and Tobacco</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04/01/2019</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Retail</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3,000,000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2,940,000</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04/01/2017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1"/>
              </w:rPr>
              <w:t>Automotive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11.50%</w:t>
            </w: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2,000,000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1,960,101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2,050,000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Insight Global,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08/16/2017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988,769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984,109</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971,465</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08/07/2014</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2"/>
              </w:rPr>
              <w:t>Media: Advertising,</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3.62%</w:t>
            </w:r>
          </w:p>
        </w:tc>
        <w:tc>
          <w:tcPr>
            <w:tcW w:w="10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0"/>
                <w:szCs w:val="10"/>
                <w:color w:val="auto"/>
              </w:rPr>
              <w:t>L+338</w:t>
            </w:r>
            <w:r>
              <w:rPr>
                <w:rFonts w:ascii="Arial" w:cs="Arial" w:eastAsia="Arial" w:hAnsi="Arial"/>
                <w:sz w:val="15"/>
                <w:szCs w:val="15"/>
                <w:color w:val="auto"/>
                <w:vertAlign w:val="superscript"/>
              </w:rPr>
              <w:t>(9)</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6,945,468</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6,565,294</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6,250,920</w:t>
            </w:r>
          </w:p>
        </w:tc>
        <w:tc>
          <w:tcPr>
            <w:tcW w:w="60" w:type="dxa"/>
            <w:vAlign w:val="bottom"/>
            <w:shd w:val="clear" w:color="auto" w:fill="CCEEFF"/>
          </w:tcPr>
          <w:p>
            <w:pPr>
              <w:spacing w:after="0"/>
              <w:rPr>
                <w:sz w:val="11"/>
                <w:szCs w:val="11"/>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9"/>
              </w:rPr>
              <w:t>Printing and Publishing</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09/10/2015</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7"/>
              </w:rPr>
              <w:t>Chemicals, Plastics</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w w:val="92"/>
              </w:rPr>
              <w:t>10.00%</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P+675</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5,476,250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5,519,390</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5,421,487</w:t>
            </w:r>
          </w:p>
        </w:tc>
        <w:tc>
          <w:tcPr>
            <w:tcW w:w="60" w:type="dxa"/>
            <w:vAlign w:val="bottom"/>
          </w:tcPr>
          <w:p>
            <w:pPr>
              <w:spacing w:after="0"/>
              <w:rPr>
                <w:sz w:val="11"/>
                <w:szCs w:val="11"/>
                <w:color w:val="auto"/>
              </w:rPr>
            </w:pPr>
          </w:p>
        </w:tc>
      </w:tr>
      <w:tr>
        <w:trPr>
          <w:trHeight w:val="172"/>
        </w:trPr>
        <w:tc>
          <w:tcPr>
            <w:tcW w:w="6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and Rubber</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6"/>
                <w:szCs w:val="16"/>
                <w:color w:val="auto"/>
                <w:vertAlign w:val="superscript"/>
              </w:rPr>
              <w:t>(6)</w:t>
            </w:r>
          </w:p>
        </w:tc>
        <w:tc>
          <w:tcPr>
            <w:tcW w:w="6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05/31/2014</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color w:val="auto"/>
                <w:w w:val="86"/>
              </w:rPr>
              <w:t>Consumer Goods:</w:t>
            </w:r>
          </w:p>
        </w:tc>
        <w:tc>
          <w:tcPr>
            <w:tcW w:w="740" w:type="dxa"/>
            <w:vAlign w:val="bottom"/>
            <w:gridSpan w:val="2"/>
            <w:shd w:val="clear" w:color="auto" w:fill="CCEEFF"/>
          </w:tcPr>
          <w:p>
            <w:pPr>
              <w:jc w:val="right"/>
              <w:ind w:right="280"/>
              <w:spacing w:after="0" w:line="139" w:lineRule="exact"/>
              <w:rPr>
                <w:sz w:val="20"/>
                <w:szCs w:val="20"/>
                <w:color w:val="auto"/>
              </w:rPr>
            </w:pPr>
            <w:r>
              <w:rPr>
                <w:rFonts w:ascii="Arial" w:cs="Arial" w:eastAsia="Arial" w:hAnsi="Arial"/>
                <w:sz w:val="14"/>
                <w:szCs w:val="14"/>
                <w:color w:val="auto"/>
              </w:rPr>
              <w:t>8.50%</w:t>
            </w:r>
          </w:p>
        </w:tc>
        <w:tc>
          <w:tcPr>
            <w:tcW w:w="104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4"/>
                <w:szCs w:val="14"/>
                <w:color w:val="auto"/>
              </w:rPr>
              <w:t>L+700</w:t>
            </w:r>
          </w:p>
        </w:tc>
        <w:tc>
          <w:tcPr>
            <w:tcW w:w="88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4"/>
                <w:szCs w:val="14"/>
                <w:color w:val="auto"/>
                <w:w w:val="89"/>
              </w:rPr>
              <w:t>4,962,500</w:t>
            </w:r>
          </w:p>
        </w:tc>
        <w:tc>
          <w:tcPr>
            <w:tcW w:w="6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3"/>
              </w:rPr>
              <w:t>4,848,837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4,881,859</w:t>
            </w:r>
          </w:p>
        </w:tc>
        <w:tc>
          <w:tcPr>
            <w:tcW w:w="60" w:type="dxa"/>
            <w:vAlign w:val="bottom"/>
            <w:shd w:val="clear" w:color="auto" w:fill="CCEEFF"/>
          </w:tcPr>
          <w:p>
            <w:pPr>
              <w:spacing w:after="0"/>
              <w:rPr>
                <w:sz w:val="12"/>
                <w:szCs w:val="12"/>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Non-Durable</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Medpace Intermediateco,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06/17/2017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L+500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1,985,000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1,958,287</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1,925,450</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(6)</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05/06/2018</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1"/>
              </w:rPr>
              <w:t>Media: Diversified</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3,970,000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3,935,345</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3,870,750</w:t>
            </w:r>
          </w:p>
        </w:tc>
        <w:tc>
          <w:tcPr>
            <w:tcW w:w="60" w:type="dxa"/>
            <w:vAlign w:val="bottom"/>
            <w:shd w:val="clear" w:color="auto" w:fill="CCEEFF"/>
          </w:tcPr>
          <w:p>
            <w:pPr>
              <w:spacing w:after="0"/>
              <w:rPr>
                <w:sz w:val="11"/>
                <w:szCs w:val="11"/>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and Production</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12/23/2016</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L+700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3,000,000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2,928,463</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2,985,000</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08/01/2014</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90"/>
              </w:rPr>
              <w:t>Media: Diversified and</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5.00%</w:t>
            </w:r>
          </w:p>
        </w:tc>
        <w:tc>
          <w:tcPr>
            <w:tcW w:w="10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L+400</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5,496,951</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4,805,359</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4,358,626</w:t>
            </w:r>
          </w:p>
        </w:tc>
        <w:tc>
          <w:tcPr>
            <w:tcW w:w="60" w:type="dxa"/>
            <w:vAlign w:val="bottom"/>
            <w:shd w:val="clear" w:color="auto" w:fill="CCEEFF"/>
          </w:tcPr>
          <w:p>
            <w:pPr>
              <w:spacing w:after="0"/>
              <w:rPr>
                <w:sz w:val="11"/>
                <w:szCs w:val="11"/>
                <w:color w:val="auto"/>
              </w:rPr>
            </w:pPr>
          </w:p>
        </w:tc>
      </w:tr>
      <w:tr>
        <w:trPr>
          <w:trHeight w:val="149"/>
        </w:trPr>
        <w:tc>
          <w:tcPr>
            <w:tcW w:w="66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6"/>
              </w:rPr>
              <w:t>Production</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(PIK</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3"/>
        </w:trPr>
        <w:tc>
          <w:tcPr>
            <w:tcW w:w="660" w:type="dxa"/>
            <w:vAlign w:val="bottom"/>
            <w:shd w:val="clear" w:color="auto" w:fill="CCEEFF"/>
          </w:tcPr>
          <w:p>
            <w:pPr>
              <w:spacing w:after="0"/>
              <w:rPr>
                <w:sz w:val="15"/>
                <w:szCs w:val="15"/>
                <w:color w:val="auto"/>
              </w:rPr>
            </w:pPr>
          </w:p>
        </w:tc>
        <w:tc>
          <w:tcPr>
            <w:tcW w:w="3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9"/>
              </w:rPr>
              <w:t>1.00%)</w:t>
            </w: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Potter’s Holdings II, L.P.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05/08/2017</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Containers,</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6.00%</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L+450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1,985,000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1,968,064</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1,980,038</w:t>
            </w:r>
          </w:p>
        </w:tc>
        <w:tc>
          <w:tcPr>
            <w:tcW w:w="6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4"/>
              </w:rPr>
              <w:t>Packaging and Glass</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07/06/2017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Capital Equipment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L+475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992,500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984,001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976,372</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10/19/2017</w:t>
            </w:r>
          </w:p>
        </w:tc>
        <w:tc>
          <w:tcPr>
            <w:tcW w:w="220" w:type="dxa"/>
            <w:vAlign w:val="bottom"/>
          </w:tcPr>
          <w:p>
            <w:pPr>
              <w:spacing w:after="0"/>
              <w:rPr>
                <w:sz w:val="11"/>
                <w:szCs w:val="11"/>
                <w:color w:val="auto"/>
              </w:rPr>
            </w:pPr>
          </w:p>
        </w:tc>
        <w:tc>
          <w:tcPr>
            <w:tcW w:w="1800" w:type="dxa"/>
            <w:vAlign w:val="bottom"/>
            <w:gridSpan w:val="2"/>
          </w:tcPr>
          <w:p>
            <w:pPr>
              <w:jc w:val="center"/>
              <w:ind w:right="240"/>
              <w:spacing w:after="0" w:line="138" w:lineRule="exact"/>
              <w:rPr>
                <w:sz w:val="20"/>
                <w:szCs w:val="20"/>
                <w:color w:val="auto"/>
              </w:rPr>
            </w:pPr>
            <w:r>
              <w:rPr>
                <w:rFonts w:ascii="Arial" w:cs="Arial" w:eastAsia="Arial" w:hAnsi="Arial"/>
                <w:sz w:val="14"/>
                <w:szCs w:val="14"/>
                <w:color w:val="auto"/>
                <w:w w:val="87"/>
              </w:rPr>
              <w:t>Media: Broadcasting and</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7.75%</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L+625</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1,990,000</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1,913,981</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1,987,513</w:t>
            </w:r>
          </w:p>
        </w:tc>
        <w:tc>
          <w:tcPr>
            <w:tcW w:w="6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8"/>
              </w:rPr>
              <w:t>Subscription</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02/08/2018</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3,990,000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3,911,459</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3,990,000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Securus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05/31/2017</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5.25%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L+400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2,977,500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2,950,706</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2,935,318</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04/22/2017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5"/>
              </w:rPr>
              <w:t>Aerospace and Defense</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2,977,500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2,952,842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2,947,725</w:t>
            </w:r>
          </w:p>
        </w:tc>
        <w:tc>
          <w:tcPr>
            <w:tcW w:w="60" w:type="dxa"/>
            <w:vAlign w:val="bottom"/>
            <w:shd w:val="clear" w:color="auto" w:fill="CCEEFF"/>
          </w:tcPr>
          <w:p>
            <w:pPr>
              <w:spacing w:after="0"/>
              <w:rPr>
                <w:sz w:val="12"/>
                <w:szCs w:val="12"/>
                <w:color w:val="auto"/>
              </w:rPr>
            </w:pPr>
          </w:p>
        </w:tc>
      </w:tr>
      <w:tr>
        <w:trPr>
          <w:trHeight w:val="138"/>
        </w:trPr>
        <w:tc>
          <w:tcPr>
            <w:tcW w:w="4560" w:type="dxa"/>
            <w:vAlign w:val="bottom"/>
            <w:gridSpan w:val="2"/>
          </w:tcPr>
          <w:p>
            <w:pPr>
              <w:spacing w:after="0" w:line="138" w:lineRule="exact"/>
              <w:rPr>
                <w:sz w:val="20"/>
                <w:szCs w:val="20"/>
                <w:color w:val="auto"/>
              </w:rPr>
            </w:pPr>
            <w:r>
              <w:rPr>
                <w:rFonts w:ascii="Arial" w:cs="Arial" w:eastAsia="Arial" w:hAnsi="Arial"/>
                <w:sz w:val="14"/>
                <w:szCs w:val="14"/>
                <w:color w:val="auto"/>
              </w:rPr>
              <w:t>Tank Intermediate Holding Corp.</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04/15/2016</w:t>
            </w:r>
          </w:p>
        </w:tc>
        <w:tc>
          <w:tcPr>
            <w:tcW w:w="22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Containers,</w:t>
            </w:r>
          </w:p>
        </w:tc>
        <w:tc>
          <w:tcPr>
            <w:tcW w:w="7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4.75%</w:t>
            </w:r>
          </w:p>
        </w:tc>
        <w:tc>
          <w:tcPr>
            <w:tcW w:w="104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L+350</w:t>
            </w:r>
          </w:p>
        </w:tc>
        <w:tc>
          <w:tcPr>
            <w:tcW w:w="8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w w:val="89"/>
              </w:rPr>
              <w:t>1,811,321</w:t>
            </w: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1,808,062</w:t>
            </w:r>
          </w:p>
        </w:tc>
        <w:tc>
          <w:tcPr>
            <w:tcW w:w="14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1,806,792</w:t>
            </w:r>
          </w:p>
        </w:tc>
        <w:tc>
          <w:tcPr>
            <w:tcW w:w="6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4"/>
              </w:rPr>
              <w:t>Packaging and Glass</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L+750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738,971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Telecommunications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2"/>
              </w:rPr>
              <w:t>13.50%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L+1,200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1,875,000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1,821,164</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1,875,000</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04/28/2017</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Capital Equipment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L+400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1,990,000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1,972,905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1,975,075</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10/30/2017</w:t>
            </w:r>
          </w:p>
        </w:tc>
        <w:tc>
          <w:tcPr>
            <w:tcW w:w="22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High Tech Industries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L+650</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997,500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959,847</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996,253</w:t>
            </w:r>
          </w:p>
        </w:tc>
        <w:tc>
          <w:tcPr>
            <w:tcW w:w="60" w:type="dxa"/>
            <w:vAlign w:val="bottom"/>
          </w:tcPr>
          <w:p>
            <w:pPr>
              <w:spacing w:after="0"/>
              <w:rPr>
                <w:sz w:val="12"/>
                <w:szCs w:val="12"/>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Unifrax I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11/28/2018</w:t>
            </w:r>
          </w:p>
        </w:tc>
        <w:tc>
          <w:tcPr>
            <w:tcW w:w="2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9"/>
              </w:rPr>
              <w:t>Capital Equipment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L+550</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2,992,500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2,934,992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3,018,610</w:t>
            </w:r>
          </w:p>
        </w:tc>
        <w:tc>
          <w:tcPr>
            <w:tcW w:w="60" w:type="dxa"/>
            <w:vAlign w:val="bottom"/>
            <w:shd w:val="clear" w:color="auto" w:fill="CCEEFF"/>
          </w:tcPr>
          <w:p>
            <w:pPr>
              <w:spacing w:after="0"/>
              <w:rPr>
                <w:sz w:val="12"/>
                <w:szCs w:val="12"/>
                <w:color w:val="auto"/>
              </w:rPr>
            </w:pPr>
          </w:p>
        </w:tc>
      </w:tr>
      <w:tr>
        <w:trPr>
          <w:trHeight w:val="149"/>
        </w:trPr>
        <w:tc>
          <w:tcPr>
            <w:tcW w:w="456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06/19/2017</w:t>
            </w:r>
          </w:p>
        </w:tc>
        <w:tc>
          <w:tcPr>
            <w:tcW w:w="22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Consumer Services</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10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L+475</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9"/>
              </w:rPr>
              <w:t>2,977,500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2,952,122</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2,783,963</w:t>
            </w:r>
          </w:p>
        </w:tc>
        <w:tc>
          <w:tcPr>
            <w:tcW w:w="60" w:type="dxa"/>
            <w:vAlign w:val="bottom"/>
          </w:tcPr>
          <w:p>
            <w:pPr>
              <w:spacing w:after="0"/>
              <w:rPr>
                <w:sz w:val="12"/>
                <w:szCs w:val="12"/>
                <w:color w:val="auto"/>
              </w:rPr>
            </w:pPr>
          </w:p>
        </w:tc>
      </w:tr>
      <w:tr>
        <w:trPr>
          <w:trHeight w:val="138"/>
        </w:trPr>
        <w:tc>
          <w:tcPr>
            <w:tcW w:w="4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U.S. Healthworks Holding Company,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06/15/2016</w:t>
            </w:r>
          </w:p>
        </w:tc>
        <w:tc>
          <w:tcPr>
            <w:tcW w:w="2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Healthcare and</w:t>
            </w:r>
          </w:p>
        </w:tc>
        <w:tc>
          <w:tcPr>
            <w:tcW w:w="7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6.25%</w:t>
            </w:r>
          </w:p>
        </w:tc>
        <w:tc>
          <w:tcPr>
            <w:tcW w:w="104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L+475</w:t>
            </w:r>
          </w:p>
        </w:tc>
        <w:tc>
          <w:tcPr>
            <w:tcW w:w="8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89"/>
              </w:rPr>
              <w:t>2,977,500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2,952,966</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2,932,838</w:t>
            </w:r>
          </w:p>
        </w:tc>
        <w:tc>
          <w:tcPr>
            <w:tcW w:w="60" w:type="dxa"/>
            <w:vAlign w:val="bottom"/>
            <w:shd w:val="clear" w:color="auto" w:fill="CCEEFF"/>
          </w:tcPr>
          <w:p>
            <w:pPr>
              <w:spacing w:after="0"/>
              <w:rPr>
                <w:sz w:val="11"/>
                <w:szCs w:val="11"/>
                <w:color w:val="auto"/>
              </w:rPr>
            </w:pPr>
          </w:p>
        </w:tc>
      </w:tr>
      <w:tr>
        <w:trPr>
          <w:trHeight w:val="159"/>
        </w:trPr>
        <w:tc>
          <w:tcPr>
            <w:tcW w:w="66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40"/>
              <w:spacing w:after="0" w:line="159" w:lineRule="exact"/>
              <w:rPr>
                <w:sz w:val="20"/>
                <w:szCs w:val="20"/>
                <w:color w:val="auto"/>
              </w:rPr>
            </w:pPr>
            <w:r>
              <w:rPr>
                <w:rFonts w:ascii="Arial" w:cs="Arial" w:eastAsia="Arial" w:hAnsi="Arial"/>
                <w:sz w:val="14"/>
                <w:szCs w:val="14"/>
                <w:color w:val="auto"/>
                <w:w w:val="84"/>
              </w:rPr>
              <w:t>Pharmaceuticals</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0"/>
              </w:rPr>
              <w:t>Current</w:t>
            </w:r>
          </w:p>
        </w:tc>
        <w:tc>
          <w:tcPr>
            <w:tcW w:w="10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Par/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Maturity</w:t>
            </w: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Coupon</w:t>
            </w:r>
          </w:p>
        </w:tc>
        <w:tc>
          <w:tcPr>
            <w:tcW w:w="1040" w:type="dxa"/>
            <w:vAlign w:val="bottom"/>
            <w:gridSpan w:val="2"/>
          </w:tcPr>
          <w:p>
            <w:pPr>
              <w:jc w:val="center"/>
              <w:ind w:right="400"/>
              <w:spacing w:after="0" w:line="162"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18"/>
                <w:szCs w:val="18"/>
                <w:b w:val="1"/>
                <w:bCs w:val="1"/>
                <w:color w:val="auto"/>
                <w:w w:val="97"/>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4"/>
                <w:szCs w:val="14"/>
                <w:color w:val="auto"/>
              </w:rPr>
            </w:pPr>
          </w:p>
        </w:tc>
        <w:tc>
          <w:tcPr>
            <w:tcW w:w="82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4260" w:type="dxa"/>
            <w:vAlign w:val="bottom"/>
            <w:gridSpan w:val="2"/>
            <w:shd w:val="clear" w:color="auto" w:fill="CCEEFF"/>
          </w:tcPr>
          <w:p>
            <w:pPr>
              <w:spacing w:after="0" w:line="125" w:lineRule="exact"/>
              <w:rPr>
                <w:sz w:val="20"/>
                <w:szCs w:val="20"/>
                <w:color w:val="auto"/>
              </w:rPr>
            </w:pPr>
            <w:r>
              <w:rPr>
                <w:rFonts w:ascii="Arial" w:cs="Arial" w:eastAsia="Arial" w:hAnsi="Arial"/>
                <w:sz w:val="14"/>
                <w:szCs w:val="14"/>
                <w:color w:val="auto"/>
              </w:rPr>
              <w:t>Valitas Health Services, Inc.</w:t>
            </w:r>
          </w:p>
        </w:tc>
        <w:tc>
          <w:tcPr>
            <w:tcW w:w="64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5"/>
              </w:rPr>
              <w:t>06/02/2017</w:t>
            </w:r>
          </w:p>
        </w:tc>
        <w:tc>
          <w:tcPr>
            <w:tcW w:w="20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5" w:lineRule="exact"/>
              <w:rPr>
                <w:sz w:val="20"/>
                <w:szCs w:val="20"/>
                <w:color w:val="auto"/>
              </w:rPr>
            </w:pPr>
            <w:r>
              <w:rPr>
                <w:rFonts w:ascii="Arial" w:cs="Arial" w:eastAsia="Arial" w:hAnsi="Arial"/>
                <w:sz w:val="14"/>
                <w:szCs w:val="14"/>
                <w:color w:val="auto"/>
                <w:w w:val="86"/>
              </w:rPr>
              <w:t>Healthcare and</w:t>
            </w: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4"/>
              </w:rPr>
              <w:t>Pharmaceuticals</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5.75%</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L+450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1,488,750</w:t>
            </w:r>
          </w:p>
        </w:tc>
        <w:tc>
          <w:tcPr>
            <w:tcW w:w="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1,482,497</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1,451,531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4"/>
                <w:szCs w:val="14"/>
                <w:color w:val="auto"/>
              </w:rPr>
              <w:t>Vantage Specialties, Inc.</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02/09/2018</w:t>
            </w:r>
          </w:p>
        </w:tc>
        <w:tc>
          <w:tcPr>
            <w:tcW w:w="200" w:type="dxa"/>
            <w:vAlign w:val="bottom"/>
          </w:tcPr>
          <w:p>
            <w:pPr>
              <w:spacing w:after="0"/>
              <w:rPr>
                <w:sz w:val="11"/>
                <w:szCs w:val="11"/>
                <w:color w:val="auto"/>
              </w:rPr>
            </w:pPr>
          </w:p>
        </w:tc>
        <w:tc>
          <w:tcPr>
            <w:tcW w:w="18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Rubber</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7.00%</w:t>
            </w:r>
          </w:p>
        </w:tc>
        <w:tc>
          <w:tcPr>
            <w:tcW w:w="280" w:type="dxa"/>
            <w:vAlign w:val="bottom"/>
          </w:tcPr>
          <w:p>
            <w:pPr>
              <w:spacing w:after="0"/>
              <w:rPr>
                <w:sz w:val="13"/>
                <w:szCs w:val="13"/>
                <w:color w:val="auto"/>
              </w:rPr>
            </w:pPr>
          </w:p>
        </w:tc>
        <w:tc>
          <w:tcPr>
            <w:tcW w:w="10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9"/>
              </w:rPr>
              <w:t>3,000,000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2,940,664</w:t>
            </w:r>
          </w:p>
        </w:tc>
        <w:tc>
          <w:tcPr>
            <w:tcW w:w="10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04/19/2016</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90"/>
              </w:rPr>
              <w:t>Media: Advertising,</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Printing and Publishing</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7.00%</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4,500,000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4,453,517</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4,432,500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12/22/2016</w:t>
            </w: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2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2,985,000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2,958,806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2,776,050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10/31/2017</w:t>
            </w: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Energy: Oil and Gas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1,995,000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1,919,750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1,975,050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4"/>
                <w:szCs w:val="14"/>
                <w:color w:val="auto"/>
              </w:rPr>
              <w:t>Water Pik, Inc.</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08/10/2017</w:t>
            </w:r>
          </w:p>
        </w:tc>
        <w:tc>
          <w:tcPr>
            <w:tcW w:w="20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Consumer Goods:</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Durable</w:t>
            </w:r>
          </w:p>
        </w:tc>
        <w:tc>
          <w:tcPr>
            <w:tcW w:w="480" w:type="dxa"/>
            <w:vAlign w:val="bottom"/>
          </w:tcPr>
          <w:p>
            <w:pPr>
              <w:jc w:val="right"/>
              <w:spacing w:after="0"/>
              <w:rPr>
                <w:sz w:val="20"/>
                <w:szCs w:val="20"/>
                <w:color w:val="auto"/>
              </w:rPr>
            </w:pPr>
            <w:r>
              <w:rPr>
                <w:rFonts w:ascii="Arial" w:cs="Arial" w:eastAsia="Arial" w:hAnsi="Arial"/>
                <w:sz w:val="14"/>
                <w:szCs w:val="14"/>
                <w:color w:val="auto"/>
              </w:rPr>
              <w:t>6.75%</w:t>
            </w:r>
          </w:p>
        </w:tc>
        <w:tc>
          <w:tcPr>
            <w:tcW w:w="28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L+525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3,482,500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3,450,900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3,473,794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03/23/2017</w:t>
            </w: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8"/>
              </w:rPr>
              <w:t>Environmental Industries</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990,037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Wound Care (National Healing Corporation)</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Healthcare and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11/30/2017</w:t>
            </w: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Pharmaceuticals</w:t>
            </w:r>
          </w:p>
        </w:tc>
        <w:tc>
          <w:tcPr>
            <w:tcW w:w="480" w:type="dxa"/>
            <w:vAlign w:val="bottom"/>
          </w:tcPr>
          <w:p>
            <w:pPr>
              <w:jc w:val="right"/>
              <w:spacing w:after="0"/>
              <w:rPr>
                <w:sz w:val="20"/>
                <w:szCs w:val="20"/>
                <w:color w:val="auto"/>
              </w:rPr>
            </w:pPr>
            <w:r>
              <w:rPr>
                <w:rFonts w:ascii="Arial" w:cs="Arial" w:eastAsia="Arial" w:hAnsi="Arial"/>
                <w:sz w:val="14"/>
                <w:szCs w:val="14"/>
                <w:color w:val="auto"/>
              </w:rPr>
              <w:t>8.25%</w:t>
            </w:r>
          </w:p>
        </w:tc>
        <w:tc>
          <w:tcPr>
            <w:tcW w:w="28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L+675</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4,987,500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4,748,327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4,812,938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Corporation</w:t>
            </w:r>
            <w:r>
              <w:rPr>
                <w:rFonts w:ascii="Arial" w:cs="Arial" w:eastAsia="Arial" w:hAnsi="Arial"/>
                <w:sz w:val="15"/>
                <w:szCs w:val="15"/>
                <w:color w:val="auto"/>
                <w:vertAlign w:val="superscript"/>
              </w:rPr>
              <w:t>(5)</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07/15/2016</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9"/>
              </w:rPr>
              <w:t>Hotel, Gaming and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7"/>
              </w:rPr>
              <w:t>Leisure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11.38%</w:t>
            </w:r>
          </w:p>
        </w:tc>
        <w:tc>
          <w:tcPr>
            <w:tcW w:w="2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4,000,000</w:t>
            </w: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4,322,842</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82"/>
              </w:rPr>
              <w:t>126,721,245</w:t>
            </w:r>
          </w:p>
        </w:tc>
        <w:tc>
          <w:tcPr>
            <w:tcW w:w="10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126,306,324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Debt—7.4%</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01/29/2018</w:t>
            </w: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Automotive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6"/>
              </w:rPr>
              <w:t>10.50%</w:t>
            </w:r>
          </w:p>
        </w:tc>
        <w:tc>
          <w:tcPr>
            <w:tcW w:w="28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L+900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w:t>
            </w:r>
            <w:r>
              <w:rPr>
                <w:rFonts w:ascii="Arial" w:cs="Arial" w:eastAsia="Arial" w:hAnsi="Arial"/>
                <w:sz w:val="15"/>
                <w:szCs w:val="15"/>
                <w:color w:val="auto"/>
                <w:vertAlign w:val="superscript"/>
              </w:rPr>
              <w:t>(6)</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11/06/2018</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9"/>
              </w:rPr>
              <w:t>Media: Diversified and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6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Production</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10.25%</w:t>
            </w:r>
          </w:p>
        </w:tc>
        <w:tc>
          <w:tcPr>
            <w:tcW w:w="2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L+875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1,500,000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1,485,491</w:t>
            </w:r>
          </w:p>
        </w:tc>
        <w:tc>
          <w:tcPr>
            <w:tcW w:w="10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1,406,250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Arial" w:cs="Arial" w:eastAsia="Arial" w:hAnsi="Arial"/>
                <w:sz w:val="14"/>
                <w:szCs w:val="14"/>
                <w:color w:val="auto"/>
              </w:rPr>
              <w:t>ROC Finance LLC and ROC Finance 1 Corp</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Hotel, Gaming and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09/01/2018</w:t>
            </w: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Leisure</w:t>
            </w:r>
          </w:p>
        </w:tc>
        <w:tc>
          <w:tcPr>
            <w:tcW w:w="480" w:type="dxa"/>
            <w:vAlign w:val="bottom"/>
          </w:tcPr>
          <w:p>
            <w:pPr>
              <w:jc w:val="right"/>
              <w:spacing w:after="0"/>
              <w:rPr>
                <w:sz w:val="20"/>
                <w:szCs w:val="20"/>
                <w:color w:val="auto"/>
              </w:rPr>
            </w:pPr>
            <w:r>
              <w:rPr>
                <w:rFonts w:ascii="Arial" w:cs="Arial" w:eastAsia="Arial" w:hAnsi="Arial"/>
                <w:sz w:val="14"/>
                <w:szCs w:val="14"/>
                <w:color w:val="auto"/>
                <w:w w:val="96"/>
              </w:rPr>
              <w:t>12.13%</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2,000,000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1,967,727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2,230,000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05/09/2018</w:t>
            </w:r>
          </w:p>
        </w:tc>
        <w:tc>
          <w:tcPr>
            <w:tcW w:w="20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0"/>
              </w:rPr>
              <w:t>Utilities: Water</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L+725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991,449</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0"/>
                <w:szCs w:val="10"/>
                <w:color w:val="auto"/>
              </w:rPr>
              <w:t>Seven Seas Cruises</w:t>
            </w:r>
            <w:r>
              <w:rPr>
                <w:rFonts w:ascii="Arial" w:cs="Arial" w:eastAsia="Arial" w:hAnsi="Arial"/>
                <w:sz w:val="15"/>
                <w:szCs w:val="15"/>
                <w:color w:val="auto"/>
                <w:vertAlign w:val="superscript"/>
              </w:rPr>
              <w:t>(5), (6)</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05/15/2019</w:t>
            </w:r>
          </w:p>
        </w:tc>
        <w:tc>
          <w:tcPr>
            <w:tcW w:w="200" w:type="dxa"/>
            <w:vAlign w:val="bottom"/>
          </w:tcPr>
          <w:p>
            <w:pPr>
              <w:spacing w:after="0"/>
              <w:rPr>
                <w:sz w:val="11"/>
                <w:szCs w:val="11"/>
                <w:color w:val="auto"/>
              </w:rPr>
            </w:pPr>
          </w:p>
        </w:tc>
        <w:tc>
          <w:tcPr>
            <w:tcW w:w="18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89"/>
              </w:rPr>
              <w:t>Hotel, Gaming and</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Leisure</w:t>
            </w:r>
          </w:p>
        </w:tc>
        <w:tc>
          <w:tcPr>
            <w:tcW w:w="480" w:type="dxa"/>
            <w:vAlign w:val="bottom"/>
          </w:tcPr>
          <w:p>
            <w:pPr>
              <w:jc w:val="right"/>
              <w:spacing w:after="0"/>
              <w:rPr>
                <w:sz w:val="20"/>
                <w:szCs w:val="20"/>
                <w:color w:val="auto"/>
              </w:rPr>
            </w:pPr>
            <w:r>
              <w:rPr>
                <w:rFonts w:ascii="Arial" w:cs="Arial" w:eastAsia="Arial" w:hAnsi="Arial"/>
                <w:sz w:val="14"/>
                <w:szCs w:val="14"/>
                <w:color w:val="auto"/>
              </w:rPr>
              <w:t>9.13%</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1,500,000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1,500,000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1,522,500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6,939,667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7,136,250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Notes—12.6%</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11/15/2015</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Consumer Goods:</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Non-Durable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11.63%</w:t>
            </w:r>
          </w:p>
        </w:tc>
        <w:tc>
          <w:tcPr>
            <w:tcW w:w="28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4,100,000</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3,755,717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3,710,500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5"/>
              </w:rPr>
              <w:t>12/01/2017</w:t>
            </w: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Business Services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6"/>
              </w:rPr>
              <w:t>13.00%</w:t>
            </w:r>
          </w:p>
        </w:tc>
        <w:tc>
          <w:tcPr>
            <w:tcW w:w="2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1,000,000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980,000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Lonestar Intermediate Super Holdings, LLC</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09/02/2019</w:t>
            </w:r>
          </w:p>
        </w:tc>
        <w:tc>
          <w:tcPr>
            <w:tcW w:w="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5"/>
              </w:rPr>
              <w:t>Consumer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11.00%</w:t>
            </w:r>
          </w:p>
        </w:tc>
        <w:tc>
          <w:tcPr>
            <w:tcW w:w="2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L+950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1,500,000</w:t>
            </w: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1,455,331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1,517,250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07/31/2018</w:t>
            </w:r>
          </w:p>
        </w:tc>
        <w:tc>
          <w:tcPr>
            <w:tcW w:w="200" w:type="dxa"/>
            <w:vAlign w:val="bottom"/>
          </w:tcPr>
          <w:p>
            <w:pPr>
              <w:spacing w:after="0"/>
              <w:rPr>
                <w:sz w:val="11"/>
                <w:szCs w:val="11"/>
                <w:color w:val="auto"/>
              </w:rPr>
            </w:pPr>
          </w:p>
        </w:tc>
        <w:tc>
          <w:tcPr>
            <w:tcW w:w="1800" w:type="dxa"/>
            <w:vAlign w:val="bottom"/>
            <w:gridSpan w:val="2"/>
          </w:tcPr>
          <w:p>
            <w:pPr>
              <w:jc w:val="center"/>
              <w:ind w:right="220"/>
              <w:spacing w:after="0" w:line="138" w:lineRule="exact"/>
              <w:rPr>
                <w:sz w:val="20"/>
                <w:szCs w:val="20"/>
                <w:color w:val="auto"/>
              </w:rPr>
            </w:pPr>
            <w:r>
              <w:rPr>
                <w:rFonts w:ascii="Arial" w:cs="Arial" w:eastAsia="Arial" w:hAnsi="Arial"/>
                <w:sz w:val="14"/>
                <w:szCs w:val="14"/>
                <w:color w:val="auto"/>
                <w:w w:val="86"/>
              </w:rPr>
              <w:t>Beverage, Food</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6"/>
              </w:rPr>
              <w:t>14.00%</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and Tobacco</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(PIK</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2.00%)</w:t>
            </w:r>
          </w:p>
        </w:tc>
        <w:tc>
          <w:tcPr>
            <w:tcW w:w="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3,781,731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3,712,668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3,781,730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(7)</w:t>
            </w:r>
          </w:p>
        </w:tc>
        <w:tc>
          <w:tcPr>
            <w:tcW w:w="6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07/31/2018</w:t>
            </w:r>
          </w:p>
        </w:tc>
        <w:tc>
          <w:tcPr>
            <w:tcW w:w="20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Beverage, Food</w:t>
            </w: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 xml:space="preserve"> (9)</w:t>
            </w: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3"/>
              </w:rPr>
              <w:t>and Tobacco</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40" w:type="dxa"/>
            <w:vAlign w:val="bottom"/>
            <w:gridSpan w:val="2"/>
            <w:vMerge w:val="continue"/>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2,206,000</w:t>
            </w:r>
          </w:p>
        </w:tc>
        <w:tc>
          <w:tcPr>
            <w:tcW w:w="2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2,161,880</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12,065,596</w:t>
            </w:r>
          </w:p>
        </w:tc>
        <w:tc>
          <w:tcPr>
            <w:tcW w:w="28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12,215,480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Current</w:t>
            </w:r>
          </w:p>
        </w:tc>
        <w:tc>
          <w:tcPr>
            <w:tcW w:w="6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99"/>
              </w:rPr>
              <w:t>Maturity</w:t>
            </w:r>
          </w:p>
        </w:tc>
        <w:tc>
          <w:tcPr>
            <w:tcW w:w="1040" w:type="dxa"/>
            <w:vAlign w:val="bottom"/>
          </w:tcPr>
          <w:p>
            <w:pPr>
              <w:spacing w:after="0"/>
              <w:rPr>
                <w:sz w:val="14"/>
                <w:szCs w:val="14"/>
                <w:color w:val="auto"/>
              </w:rPr>
            </w:pPr>
          </w:p>
        </w:tc>
        <w:tc>
          <w:tcPr>
            <w:tcW w:w="15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62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20"/>
              <w:spacing w:after="0" w:line="168" w:lineRule="exact"/>
              <w:rPr>
                <w:sz w:val="20"/>
                <w:szCs w:val="20"/>
                <w:color w:val="auto"/>
              </w:rPr>
            </w:pPr>
            <w:r>
              <w:rPr>
                <w:rFonts w:ascii="Arial" w:cs="Arial" w:eastAsia="Arial" w:hAnsi="Arial"/>
                <w:sz w:val="12"/>
                <w:szCs w:val="12"/>
                <w:b w:val="1"/>
                <w:bCs w:val="1"/>
                <w:color w:val="auto"/>
                <w:w w:val="92"/>
              </w:rPr>
              <w:t>Value</w:t>
            </w:r>
            <w:r>
              <w:rPr>
                <w:rFonts w:ascii="Arial" w:cs="Arial" w:eastAsia="Arial" w:hAnsi="Arial"/>
                <w:sz w:val="19"/>
                <w:szCs w:val="19"/>
                <w:b w:val="1"/>
                <w:bCs w:val="1"/>
                <w:color w:val="auto"/>
                <w:w w:val="92"/>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Interests—0.1%</w:t>
            </w:r>
            <w:r>
              <w:rPr>
                <w:rFonts w:ascii="Arial" w:cs="Arial" w:eastAsia="Arial" w:hAnsi="Arial"/>
                <w:sz w:val="17"/>
                <w:szCs w:val="17"/>
                <w:b w:val="1"/>
                <w:bCs w:val="1"/>
                <w:color w:val="auto"/>
                <w:vertAlign w:val="superscript"/>
              </w:rPr>
              <w:t>(8)</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Group, Inc.)</w:t>
            </w:r>
          </w:p>
        </w:tc>
        <w:tc>
          <w:tcPr>
            <w:tcW w:w="580" w:type="dxa"/>
            <w:vAlign w:val="bottom"/>
          </w:tcPr>
          <w:p>
            <w:pPr>
              <w:ind w:left="180"/>
              <w:spacing w:after="0" w:line="159" w:lineRule="exact"/>
              <w:rPr>
                <w:sz w:val="20"/>
                <w:szCs w:val="20"/>
                <w:color w:val="auto"/>
              </w:rPr>
            </w:pPr>
            <w:r>
              <w:rPr>
                <w:rFonts w:ascii="Arial" w:cs="Arial" w:eastAsia="Arial" w:hAnsi="Arial"/>
                <w:sz w:val="14"/>
                <w:szCs w:val="14"/>
                <w:color w:val="auto"/>
              </w:rPr>
              <w:t>—</w:t>
            </w:r>
          </w:p>
        </w:tc>
        <w:tc>
          <w:tcPr>
            <w:tcW w:w="260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4"/>
              </w:rPr>
              <w:t>Beverage, Food and Tobacco</w:t>
            </w:r>
          </w:p>
        </w:tc>
        <w:tc>
          <w:tcPr>
            <w:tcW w:w="8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12.50%</w:t>
            </w:r>
          </w:p>
        </w:tc>
        <w:tc>
          <w:tcPr>
            <w:tcW w:w="62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line="159" w:lineRule="exact"/>
              <w:rPr>
                <w:sz w:val="20"/>
                <w:szCs w:val="20"/>
                <w:color w:val="auto"/>
              </w:rPr>
            </w:pPr>
            <w:r>
              <w:rPr>
                <w:rFonts w:ascii="Arial" w:cs="Arial" w:eastAsia="Arial" w:hAnsi="Arial"/>
                <w:sz w:val="14"/>
                <w:szCs w:val="14"/>
                <w:color w:val="auto"/>
              </w:rPr>
              <w:t>158</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95,000</w:t>
            </w:r>
          </w:p>
        </w:tc>
        <w:tc>
          <w:tcPr>
            <w:tcW w:w="3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122,104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Equity—0.4%</w:t>
            </w:r>
            <w:r>
              <w:rPr>
                <w:rFonts w:ascii="Arial" w:cs="Arial" w:eastAsia="Arial" w:hAnsi="Arial"/>
                <w:sz w:val="17"/>
                <w:szCs w:val="17"/>
                <w:b w:val="1"/>
                <w:bCs w:val="1"/>
                <w:color w:val="auto"/>
                <w:vertAlign w:val="superscript"/>
              </w:rPr>
              <w:t>(8)</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6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401,797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401,450</w:t>
            </w:r>
          </w:p>
        </w:tc>
        <w:tc>
          <w:tcPr>
            <w:tcW w:w="340" w:type="dxa"/>
            <w:vAlign w:val="bottom"/>
          </w:tcPr>
          <w:p>
            <w:pPr>
              <w:spacing w:after="0"/>
              <w:rPr>
                <w:sz w:val="12"/>
                <w:szCs w:val="12"/>
                <w:color w:val="auto"/>
              </w:rPr>
            </w:pPr>
          </w:p>
        </w:tc>
        <w:tc>
          <w:tcPr>
            <w:tcW w:w="7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w:t>
            </w: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580" w:type="dxa"/>
            <w:vAlign w:val="bottom"/>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60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Beverage, Food and Tobacco</w:t>
            </w:r>
          </w:p>
        </w:tc>
        <w:tc>
          <w:tcPr>
            <w:tcW w:w="86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340" w:type="dxa"/>
            <w:vAlign w:val="bottom"/>
            <w:tcBorders>
              <w:right w:val="single" w:sz="8" w:color="CCEEFF"/>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6,177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406,450</w:t>
            </w:r>
          </w:p>
        </w:tc>
        <w:tc>
          <w:tcPr>
            <w:tcW w:w="340" w:type="dxa"/>
            <w:vAlign w:val="bottom"/>
          </w:tcPr>
          <w:p>
            <w:pPr>
              <w:spacing w:after="0"/>
              <w:rPr>
                <w:sz w:val="14"/>
                <w:szCs w:val="14"/>
                <w:color w:val="auto"/>
              </w:rPr>
            </w:pPr>
          </w:p>
        </w:tc>
        <w:tc>
          <w:tcPr>
            <w:tcW w:w="76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rPr>
              <w:t>407,974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7"/>
              </w:rPr>
              <w:t>Total Investments in Non-Controlled, Non-Affiliated Portfolio</w:t>
            </w:r>
          </w:p>
        </w:tc>
        <w:tc>
          <w:tcPr>
            <w:tcW w:w="5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5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2"/>
              </w:rPr>
              <w:t>146,227,958</w:t>
            </w:r>
          </w:p>
        </w:tc>
        <w:tc>
          <w:tcPr>
            <w:tcW w:w="34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w w:val="84"/>
              </w:rPr>
              <w:t>146,188,132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Equivalents—4.0%</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right"/>
              <w:ind w:right="120"/>
              <w:spacing w:after="0" w:line="155" w:lineRule="exact"/>
              <w:rPr>
                <w:sz w:val="20"/>
                <w:szCs w:val="20"/>
                <w:color w:val="auto"/>
              </w:rPr>
            </w:pPr>
            <w:r>
              <w:rPr>
                <w:rFonts w:ascii="Arial" w:cs="Arial" w:eastAsia="Arial" w:hAnsi="Arial"/>
                <w:sz w:val="14"/>
                <w:szCs w:val="14"/>
                <w:color w:val="auto"/>
              </w:rPr>
              <w:t>3,849,360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3,849,360</w:t>
            </w:r>
          </w:p>
        </w:tc>
        <w:tc>
          <w:tcPr>
            <w:tcW w:w="34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3,849,360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Equivalents—155.1%</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150,077,318</w:t>
            </w: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150,037,492</w:t>
            </w:r>
          </w:p>
        </w:tc>
        <w:tc>
          <w:tcPr>
            <w:tcW w:w="0" w:type="dxa"/>
            <w:vAlign w:val="bottom"/>
          </w:tcPr>
          <w:p>
            <w:pPr>
              <w:spacing w:after="0"/>
              <w:rPr>
                <w:sz w:val="1"/>
                <w:szCs w:val="1"/>
                <w:color w:val="auto"/>
              </w:rPr>
            </w:pPr>
          </w:p>
        </w:tc>
      </w:tr>
      <w:tr>
        <w:trPr>
          <w:trHeight w:val="20"/>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Assets—(55.1)%</w:t>
            </w: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4"/>
          </w:tcPr>
          <w:p>
            <w:pPr>
              <w:jc w:val="right"/>
              <w:ind w:right="40"/>
              <w:spacing w:after="0" w:line="155" w:lineRule="exact"/>
              <w:rPr>
                <w:sz w:val="20"/>
                <w:szCs w:val="20"/>
                <w:color w:val="auto"/>
              </w:rPr>
            </w:pPr>
            <w:r>
              <w:rPr>
                <w:rFonts w:ascii="Arial" w:cs="Arial" w:eastAsia="Arial" w:hAnsi="Arial"/>
                <w:sz w:val="14"/>
                <w:szCs w:val="14"/>
                <w:color w:val="auto"/>
                <w:w w:val="88"/>
              </w:rPr>
              <w:t>(53,315,187)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96,722,305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60" w:hanging="332"/>
        <w:spacing w:after="0" w:line="230"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Prime or “P”. All securities are subject to a LIBOR or Prime rate floor where a spread is provided, unless noted.</w:t>
      </w:r>
    </w:p>
    <w:p>
      <w:pPr>
        <w:ind w:left="34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8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provisions of the Investment Company Act of 1940, as amended, or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Basis Point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Current</w:t>
            </w: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2"/>
                <w:szCs w:val="12"/>
                <w:color w:val="auto"/>
              </w:rPr>
            </w:pPr>
          </w:p>
        </w:tc>
        <w:tc>
          <w:tcPr>
            <w:tcW w:w="6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5"/>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tcPr>
          <w:p>
            <w:pPr>
              <w:spacing w:after="0"/>
              <w:rPr>
                <w:sz w:val="15"/>
                <w:szCs w:val="15"/>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Maturity</w:t>
            </w:r>
          </w:p>
        </w:tc>
        <w:tc>
          <w:tcPr>
            <w:tcW w:w="700" w:type="dxa"/>
            <w:vAlign w:val="bottom"/>
          </w:tcPr>
          <w:p>
            <w:pPr>
              <w:spacing w:after="0"/>
              <w:rPr>
                <w:sz w:val="15"/>
                <w:szCs w:val="15"/>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Coupon</w:t>
            </w:r>
          </w:p>
        </w:tc>
        <w:tc>
          <w:tcPr>
            <w:tcW w:w="82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76"/>
              </w:rPr>
              <w:t>Cost</w:t>
            </w:r>
          </w:p>
        </w:tc>
        <w:tc>
          <w:tcPr>
            <w:tcW w:w="100" w:type="dxa"/>
            <w:vAlign w:val="bottom"/>
          </w:tcPr>
          <w:p>
            <w:pPr>
              <w:spacing w:after="0"/>
              <w:rPr>
                <w:sz w:val="15"/>
                <w:szCs w:val="15"/>
                <w:color w:val="auto"/>
              </w:rPr>
            </w:pPr>
          </w:p>
        </w:tc>
        <w:tc>
          <w:tcPr>
            <w:tcW w:w="640" w:type="dxa"/>
            <w:vAlign w:val="bottom"/>
            <w:gridSpan w:val="3"/>
          </w:tcPr>
          <w:p>
            <w:pPr>
              <w:jc w:val="center"/>
              <w:ind w:right="180"/>
              <w:spacing w:after="0" w:line="168" w:lineRule="exact"/>
              <w:rPr>
                <w:sz w:val="20"/>
                <w:szCs w:val="20"/>
                <w:color w:val="auto"/>
              </w:rPr>
            </w:pPr>
            <w:r>
              <w:rPr>
                <w:rFonts w:ascii="Arial" w:cs="Arial" w:eastAsia="Arial" w:hAnsi="Arial"/>
                <w:sz w:val="12"/>
                <w:szCs w:val="12"/>
                <w:b w:val="1"/>
                <w:bCs w:val="1"/>
                <w:color w:val="auto"/>
                <w:w w:val="96"/>
              </w:rPr>
              <w:t>Value</w:t>
            </w:r>
            <w:r>
              <w:rPr>
                <w:rFonts w:ascii="Arial" w:cs="Arial" w:eastAsia="Arial" w:hAnsi="Arial"/>
                <w:sz w:val="19"/>
                <w:szCs w:val="19"/>
                <w:b w:val="1"/>
                <w:bCs w:val="1"/>
                <w:color w:val="auto"/>
                <w:w w:val="96"/>
                <w:vertAlign w:val="superscript"/>
              </w:rPr>
              <w:t>(2)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860" w:type="dxa"/>
            <w:vAlign w:val="bottom"/>
            <w:gridSpan w:val="5"/>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Non-Controlled, Non-Affiliated Portfolio Companies—120.2%</w:t>
            </w:r>
            <w:r>
              <w:rPr>
                <w:rFonts w:ascii="Arial" w:cs="Arial" w:eastAsia="Arial" w:hAnsi="Arial"/>
                <w:sz w:val="14"/>
                <w:szCs w:val="14"/>
                <w:b w:val="1"/>
                <w:bCs w:val="1"/>
                <w:color w:val="auto"/>
                <w:vertAlign w:val="superscript"/>
              </w:rPr>
              <w:t>(3),</w:t>
            </w:r>
          </w:p>
        </w:tc>
        <w:tc>
          <w:tcPr>
            <w:tcW w:w="7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jc w:val="right"/>
              <w:ind w:right="344"/>
              <w:spacing w:after="0"/>
              <w:rPr>
                <w:sz w:val="20"/>
                <w:szCs w:val="20"/>
                <w:color w:val="auto"/>
              </w:rPr>
            </w:pPr>
            <w:r>
              <w:rPr>
                <w:rFonts w:ascii="Arial" w:cs="Arial" w:eastAsia="Arial" w:hAnsi="Arial"/>
                <w:sz w:val="11"/>
                <w:szCs w:val="11"/>
                <w:b w:val="1"/>
                <w:bCs w:val="1"/>
                <w:color w:val="auto"/>
              </w:rPr>
              <w:t>(4)</w:t>
            </w:r>
          </w:p>
        </w:tc>
        <w:tc>
          <w:tcPr>
            <w:tcW w:w="2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Debt—102.4%</w:t>
            </w: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Airvana Network Solutions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03/25/2015</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L+800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1,209,524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$ 1,213,365</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Artel, LLC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06/01/2016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L+425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987,500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978,043</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07/29/2017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Automotive</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07/31/2016</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1"/>
              </w:rPr>
              <w:t>Hotel, Gaming</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4"/>
              </w:rPr>
              <w:t>and Leisure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12.38%</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L+988</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478,873</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488,220</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476,878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C.H.I. Overhead Doors, Inc.</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08/17/2017</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Consumer Goods:</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center"/>
              <w:ind w:right="820"/>
              <w:spacing w:after="0"/>
              <w:rPr>
                <w:sz w:val="20"/>
                <w:szCs w:val="20"/>
                <w:color w:val="auto"/>
              </w:rPr>
            </w:pPr>
            <w:r>
              <w:rPr>
                <w:rFonts w:ascii="Arial" w:cs="Arial" w:eastAsia="Arial" w:hAnsi="Arial"/>
                <w:sz w:val="14"/>
                <w:szCs w:val="14"/>
                <w:color w:val="auto"/>
                <w:w w:val="85"/>
              </w:rPr>
              <w:t>Durable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4,000,000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3,921,236</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EAG,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07/28/2017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P+350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987,500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982,590</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Ernest Health, Inc.</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05/13/2016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Healthcare and</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6"/>
              </w:rPr>
              <w:t>Pharmaceuticals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2,966,250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2,939,107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Frac Tech International, LLC</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05/06/2016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2,073,930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2,054,330</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Gundle/SLT Environmental, Inc.</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05/27/2016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1"/>
              </w:rPr>
              <w:t>Environmental</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8"/>
              </w:rPr>
              <w:t>Industries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7.01%</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2,992,500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2,964,467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0"/>
                <w:szCs w:val="10"/>
                <w:color w:val="auto"/>
              </w:rPr>
              <w:t>Harmony Foods Corporation</w:t>
            </w:r>
            <w:r>
              <w:rPr>
                <w:rFonts w:ascii="Arial" w:cs="Arial" w:eastAsia="Arial" w:hAnsi="Arial"/>
                <w:sz w:val="15"/>
                <w:szCs w:val="15"/>
                <w:color w:val="auto"/>
                <w:vertAlign w:val="superscript"/>
              </w:rPr>
              <w:t>(11), (6)</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05/01/2016</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86"/>
              </w:rPr>
              <w:t>Beverage, Food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6"/>
              </w:rPr>
              <w:t>and Tobacco</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10.00%</w:t>
            </w:r>
          </w:p>
        </w:tc>
        <w:tc>
          <w:tcPr>
            <w:tcW w:w="8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2,000,000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2,000,000</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Insight Global,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08/16/2017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2,493,750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0"/>
                <w:szCs w:val="10"/>
                <w:color w:val="auto"/>
              </w:rPr>
              <w:t>Instant Web, Inc.</w:t>
            </w:r>
            <w:r>
              <w:rPr>
                <w:rFonts w:ascii="Arial" w:cs="Arial" w:eastAsia="Arial" w:hAnsi="Arial"/>
                <w:sz w:val="15"/>
                <w:szCs w:val="15"/>
                <w:color w:val="auto"/>
                <w:vertAlign w:val="superscript"/>
              </w:rPr>
              <w:t>(7)</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08/07/2014</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2"/>
              </w:rPr>
              <w:t>Media: Advertising,</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Printing and Publishing</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3.61%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L+338</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6,981,823</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6,523,240</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K2 Pure Solutions NoCal, L.P.</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09/10/2015</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Chemicals, Plastics</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4"/>
              </w:rPr>
              <w:t>and Rubber</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P+675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5,476,250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5,525,637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KAR Auction Services, Inc.</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05/19/2017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Automotive</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L+375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2,978,487</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KIK Custom Products Inc.</w:t>
            </w:r>
            <w:r>
              <w:rPr>
                <w:rFonts w:ascii="Arial" w:cs="Arial" w:eastAsia="Arial" w:hAnsi="Arial"/>
                <w:sz w:val="15"/>
                <w:szCs w:val="15"/>
                <w:color w:val="auto"/>
                <w:vertAlign w:val="superscript"/>
              </w:rPr>
              <w:t>(7)</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05/31/2014</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Consumer Goods:</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8"/>
              </w:rPr>
              <w:t>Non-Durable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4,987,500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4,847,186</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Medpace Holdings,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06/17/2017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1,995,000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1,966,025</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05/06/2018</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1"/>
              </w:rPr>
              <w:t>Media: Diversified</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7"/>
              </w:rPr>
              <w:t>and Production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3,990,000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3,951,886</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08/01/2014</w:t>
            </w:r>
          </w:p>
        </w:tc>
        <w:tc>
          <w:tcPr>
            <w:tcW w:w="206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1"/>
              </w:rPr>
              <w:t>Media: Diversified</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5.00%</w:t>
            </w:r>
            <w:r>
              <w:rPr>
                <w:rFonts w:ascii="Arial" w:cs="Arial" w:eastAsia="Arial" w:hAnsi="Arial"/>
                <w:sz w:val="22"/>
                <w:szCs w:val="22"/>
                <w:color w:val="auto"/>
                <w:vertAlign w:val="superscript"/>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color w:val="auto"/>
                <w:w w:val="87"/>
              </w:rPr>
              <w:t>and Production</w:t>
            </w:r>
          </w:p>
        </w:tc>
        <w:tc>
          <w:tcPr>
            <w:tcW w:w="1000" w:type="dxa"/>
            <w:vAlign w:val="bottom"/>
            <w:gridSpan w:val="2"/>
            <w:vMerge w:val="continue"/>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5,498,048</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4,675,936</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Potter’s Holdings II, L.P.</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05/08/2017</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Containers, Packaging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5"/>
              </w:rPr>
              <w:t>and Glass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L+450</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1,995,000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1,976,257</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Pro Mach,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07/06/2017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997,500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987,986</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Securus Technologies,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05/31/2017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Telecommunications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L+400</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Select Medical Corporation</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06/01/2018</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L+375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2,963,943</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Seven Seas Cruises</w:t>
            </w:r>
            <w:r>
              <w:rPr>
                <w:rFonts w:ascii="Arial" w:cs="Arial" w:eastAsia="Arial" w:hAnsi="Arial"/>
                <w:sz w:val="15"/>
                <w:szCs w:val="15"/>
                <w:color w:val="auto"/>
                <w:vertAlign w:val="superscript"/>
              </w:rPr>
              <w:t>(11),(6),(7)</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05/15/2019</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1"/>
              </w:rPr>
              <w:t>Hotel, Gaming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4"/>
              </w:rPr>
              <w:t>and Leisure</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9.13%</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3,000,000</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tcPr>
          <w:p>
            <w:pPr>
              <w:spacing w:after="0" w:line="138" w:lineRule="exact"/>
              <w:rPr>
                <w:sz w:val="20"/>
                <w:szCs w:val="20"/>
                <w:color w:val="auto"/>
              </w:rPr>
            </w:pPr>
            <w:r>
              <w:rPr>
                <w:rFonts w:ascii="Arial" w:cs="Arial" w:eastAsia="Arial" w:hAnsi="Arial"/>
                <w:sz w:val="10"/>
                <w:szCs w:val="10"/>
                <w:color w:val="auto"/>
              </w:rPr>
              <w:t>Sotera Defense Solutions, Inc.</w:t>
            </w:r>
            <w:r>
              <w:rPr>
                <w:rFonts w:ascii="Arial" w:cs="Arial" w:eastAsia="Arial" w:hAnsi="Arial"/>
                <w:sz w:val="15"/>
                <w:szCs w:val="15"/>
                <w:color w:val="auto"/>
                <w:vertAlign w:val="superscript"/>
              </w:rPr>
              <w:t>(5)</w:t>
            </w:r>
          </w:p>
        </w:tc>
        <w:tc>
          <w:tcPr>
            <w:tcW w:w="1600" w:type="dxa"/>
            <w:vAlign w:val="bottom"/>
            <w:gridSpan w:val="3"/>
          </w:tcPr>
          <w:p>
            <w:pPr>
              <w:jc w:val="center"/>
              <w:ind w:left="672"/>
              <w:spacing w:after="0" w:line="138" w:lineRule="exact"/>
              <w:rPr>
                <w:sz w:val="20"/>
                <w:szCs w:val="20"/>
                <w:color w:val="auto"/>
              </w:rPr>
            </w:pPr>
            <w:r>
              <w:rPr>
                <w:rFonts w:ascii="Arial" w:cs="Arial" w:eastAsia="Arial" w:hAnsi="Arial"/>
                <w:sz w:val="14"/>
                <w:szCs w:val="14"/>
                <w:color w:val="auto"/>
                <w:w w:val="88"/>
              </w:rPr>
              <w:t>04/22/2017</w:t>
            </w:r>
          </w:p>
        </w:tc>
        <w:tc>
          <w:tcPr>
            <w:tcW w:w="2060" w:type="dxa"/>
            <w:vAlign w:val="bottom"/>
            <w:gridSpan w:val="3"/>
          </w:tcPr>
          <w:p>
            <w:pPr>
              <w:jc w:val="center"/>
              <w:ind w:right="140"/>
              <w:spacing w:after="0" w:line="138" w:lineRule="exact"/>
              <w:rPr>
                <w:sz w:val="20"/>
                <w:szCs w:val="20"/>
                <w:color w:val="auto"/>
              </w:rPr>
            </w:pPr>
            <w:r>
              <w:rPr>
                <w:rFonts w:ascii="Arial" w:cs="Arial" w:eastAsia="Arial" w:hAnsi="Arial"/>
                <w:sz w:val="14"/>
                <w:szCs w:val="14"/>
                <w:color w:val="auto"/>
                <w:w w:val="84"/>
              </w:rPr>
              <w:t>Aerospace and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2"/>
          </w:tcPr>
          <w:p>
            <w:pPr>
              <w:jc w:val="center"/>
              <w:ind w:right="820"/>
              <w:spacing w:after="0"/>
              <w:rPr>
                <w:sz w:val="20"/>
                <w:szCs w:val="20"/>
                <w:color w:val="auto"/>
              </w:rPr>
            </w:pPr>
            <w:r>
              <w:rPr>
                <w:rFonts w:ascii="Arial" w:cs="Arial" w:eastAsia="Arial" w:hAnsi="Arial"/>
                <w:sz w:val="14"/>
                <w:szCs w:val="14"/>
                <w:color w:val="auto"/>
                <w:w w:val="88"/>
              </w:rPr>
              <w:t>Defense</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L+550</w:t>
            </w:r>
          </w:p>
        </w:tc>
        <w:tc>
          <w:tcPr>
            <w:tcW w:w="840" w:type="dxa"/>
            <w:vAlign w:val="bottom"/>
            <w:gridSpan w:val="3"/>
          </w:tcPr>
          <w:p>
            <w:pPr>
              <w:jc w:val="right"/>
              <w:ind w:right="140"/>
              <w:spacing w:after="0"/>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2,964,848</w:t>
            </w:r>
          </w:p>
        </w:tc>
        <w:tc>
          <w:tcPr>
            <w:tcW w:w="2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2,917,688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Tank Intermediate Holding Corp.</w:t>
            </w:r>
            <w:r>
              <w:rPr>
                <w:rFonts w:ascii="Arial" w:cs="Arial" w:eastAsia="Arial" w:hAnsi="Arial"/>
                <w:sz w:val="15"/>
                <w:szCs w:val="15"/>
                <w:color w:val="auto"/>
                <w:vertAlign w:val="superscript"/>
              </w:rPr>
              <w:t>(5)</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04/15/2016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6"/>
              </w:rPr>
              <w:t>Containers, Packaging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color w:val="auto"/>
                <w:w w:val="85"/>
              </w:rPr>
              <w:t>and Glass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L+375</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1,835,472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1,831,420</w:t>
            </w: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1,807,940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Terex Corporation</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04/28/2017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Capital Equipment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L+400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1,980,598</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Triple Point Technology,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04/14/2016</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8"/>
              </w:rPr>
              <w:t>High Tech Industries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4,968,750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4,923,769</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Univita Health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06/19/2017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Consumer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108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2,964,110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U.S. Healthworks Holding Company,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06/15/2016</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L+475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2,964,480</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2,887,763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Valitas Health Services, Inc.</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06/02/2017</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L+450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1,496,250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1,489,223</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600" w:type="dxa"/>
            <w:vAlign w:val="bottom"/>
            <w:gridSpan w:val="3"/>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04/19/2016</w:t>
            </w:r>
          </w:p>
        </w:tc>
        <w:tc>
          <w:tcPr>
            <w:tcW w:w="2060" w:type="dxa"/>
            <w:vAlign w:val="bottom"/>
            <w:gridSpan w:val="3"/>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90"/>
              </w:rPr>
              <w:t>Media: Advertising, Printing</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6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9"/>
              </w:rPr>
              <w:t>and Publishing</w:t>
            </w:r>
          </w:p>
        </w:tc>
        <w:tc>
          <w:tcPr>
            <w:tcW w:w="10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L+550</w:t>
            </w:r>
          </w:p>
        </w:tc>
        <w:tc>
          <w:tcPr>
            <w:tcW w:w="84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4,750,000</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4,694,273</w:t>
            </w:r>
          </w:p>
        </w:tc>
        <w:tc>
          <w:tcPr>
            <w:tcW w:w="2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4,690,625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Virtual Radiologic Corporation</w:t>
            </w:r>
            <w:r>
              <w:rPr>
                <w:rFonts w:ascii="Arial" w:cs="Arial" w:eastAsia="Arial" w:hAnsi="Arial"/>
                <w:sz w:val="17"/>
                <w:szCs w:val="17"/>
                <w:color w:val="auto"/>
                <w:vertAlign w:val="superscript"/>
              </w:rPr>
              <w:t>(5)</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12/22/2016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5"/>
              </w:rPr>
              <w:t>Business Services</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P+450</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2,992,500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2,963,172</w:t>
            </w:r>
          </w:p>
        </w:tc>
        <w:tc>
          <w:tcPr>
            <w:tcW w:w="2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Water Pik, Inc.</w:t>
            </w:r>
            <w:r>
              <w:rPr>
                <w:rFonts w:ascii="Arial" w:cs="Arial" w:eastAsia="Arial" w:hAnsi="Arial"/>
                <w:sz w:val="17"/>
                <w:szCs w:val="17"/>
                <w:color w:val="auto"/>
                <w:vertAlign w:val="superscript"/>
              </w:rPr>
              <w:t>(5)</w:t>
            </w:r>
          </w:p>
        </w:tc>
        <w:tc>
          <w:tcPr>
            <w:tcW w:w="1600" w:type="dxa"/>
            <w:vAlign w:val="bottom"/>
            <w:gridSpan w:val="3"/>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08/10/2017</w:t>
            </w:r>
          </w:p>
        </w:tc>
        <w:tc>
          <w:tcPr>
            <w:tcW w:w="206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Consumer Goods: Durable</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L+525</w:t>
            </w:r>
          </w:p>
        </w:tc>
        <w:tc>
          <w:tcPr>
            <w:tcW w:w="8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3,465,501</w:t>
            </w:r>
          </w:p>
        </w:tc>
        <w:tc>
          <w:tcPr>
            <w:tcW w:w="2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gridSpan w:val="2"/>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(11), (6)</w:t>
            </w:r>
          </w:p>
        </w:tc>
        <w:tc>
          <w:tcPr>
            <w:tcW w:w="1600" w:type="dxa"/>
            <w:vAlign w:val="bottom"/>
            <w:gridSpan w:val="3"/>
          </w:tcPr>
          <w:p>
            <w:pPr>
              <w:jc w:val="center"/>
              <w:ind w:left="672"/>
              <w:spacing w:after="0" w:line="149" w:lineRule="exact"/>
              <w:rPr>
                <w:sz w:val="20"/>
                <w:szCs w:val="20"/>
                <w:color w:val="auto"/>
              </w:rPr>
            </w:pPr>
            <w:r>
              <w:rPr>
                <w:rFonts w:ascii="Arial" w:cs="Arial" w:eastAsia="Arial" w:hAnsi="Arial"/>
                <w:sz w:val="14"/>
                <w:szCs w:val="14"/>
                <w:color w:val="auto"/>
                <w:w w:val="88"/>
              </w:rPr>
              <w:t>07/15/2016</w:t>
            </w:r>
          </w:p>
        </w:tc>
        <w:tc>
          <w:tcPr>
            <w:tcW w:w="20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11.38%</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4,000,000</w:t>
            </w:r>
          </w:p>
        </w:tc>
        <w:tc>
          <w:tcPr>
            <w:tcW w:w="140" w:type="dxa"/>
            <w:vAlign w:val="bottom"/>
          </w:tcPr>
          <w:p>
            <w:pPr>
              <w:spacing w:after="0"/>
              <w:rPr>
                <w:sz w:val="13"/>
                <w:szCs w:val="13"/>
                <w:color w:val="auto"/>
              </w:rPr>
            </w:pPr>
          </w:p>
        </w:tc>
        <w:tc>
          <w:tcPr>
            <w:tcW w:w="6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4,355,966</w:t>
            </w:r>
          </w:p>
        </w:tc>
        <w:tc>
          <w:tcPr>
            <w:tcW w:w="28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4,080,000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97,975,314</w:t>
            </w:r>
          </w:p>
        </w:tc>
        <w:tc>
          <w:tcPr>
            <w:tcW w:w="28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94,333,126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Basis Point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0"/>
              </w:rPr>
              <w:t>Current</w:t>
            </w:r>
          </w:p>
        </w:tc>
        <w:tc>
          <w:tcPr>
            <w:tcW w:w="82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8"/>
              </w:rPr>
              <w:t>Above</w:t>
            </w:r>
          </w:p>
        </w:tc>
        <w:tc>
          <w:tcPr>
            <w:tcW w:w="200" w:type="dxa"/>
            <w:vAlign w:val="bottom"/>
          </w:tcPr>
          <w:p>
            <w:pPr>
              <w:spacing w:after="0"/>
              <w:rPr>
                <w:sz w:val="12"/>
                <w:szCs w:val="12"/>
                <w:color w:val="auto"/>
              </w:rPr>
            </w:pPr>
          </w:p>
        </w:tc>
        <w:tc>
          <w:tcPr>
            <w:tcW w:w="7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8"/>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Maturity</w:t>
            </w:r>
          </w:p>
        </w:tc>
        <w:tc>
          <w:tcPr>
            <w:tcW w:w="7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Industry</w:t>
            </w: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Coupon</w:t>
            </w:r>
          </w:p>
        </w:tc>
        <w:tc>
          <w:tcPr>
            <w:tcW w:w="820" w:type="dxa"/>
            <w:vAlign w:val="bottom"/>
            <w:gridSpan w:val="2"/>
          </w:tcPr>
          <w:p>
            <w:pPr>
              <w:jc w:val="center"/>
              <w:ind w:right="160"/>
              <w:spacing w:after="0" w:line="168" w:lineRule="exact"/>
              <w:rPr>
                <w:sz w:val="20"/>
                <w:szCs w:val="20"/>
                <w:color w:val="auto"/>
              </w:rPr>
            </w:pPr>
            <w:r>
              <w:rPr>
                <w:rFonts w:ascii="Arial" w:cs="Arial" w:eastAsia="Arial" w:hAnsi="Arial"/>
                <w:sz w:val="12"/>
                <w:szCs w:val="12"/>
                <w:b w:val="1"/>
                <w:bCs w:val="1"/>
                <w:color w:val="auto"/>
                <w:w w:val="98"/>
              </w:rPr>
              <w:t>Index</w:t>
            </w:r>
            <w:r>
              <w:rPr>
                <w:rFonts w:ascii="Arial" w:cs="Arial" w:eastAsia="Arial" w:hAnsi="Arial"/>
                <w:sz w:val="19"/>
                <w:szCs w:val="19"/>
                <w:b w:val="1"/>
                <w:bCs w:val="1"/>
                <w:color w:val="auto"/>
                <w:w w:val="98"/>
                <w:vertAlign w:val="superscript"/>
              </w:rPr>
              <w:t>(1)</w:t>
            </w:r>
          </w:p>
        </w:tc>
        <w:tc>
          <w:tcPr>
            <w:tcW w:w="20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360"/>
              <w:spacing w:after="0" w:line="168" w:lineRule="exact"/>
              <w:rPr>
                <w:sz w:val="20"/>
                <w:szCs w:val="20"/>
                <w:color w:val="auto"/>
              </w:rPr>
            </w:pPr>
            <w:r>
              <w:rPr>
                <w:rFonts w:ascii="Arial" w:cs="Arial" w:eastAsia="Arial" w:hAnsi="Arial"/>
                <w:sz w:val="12"/>
                <w:szCs w:val="12"/>
                <w:b w:val="1"/>
                <w:bCs w:val="1"/>
                <w:color w:val="auto"/>
                <w:w w:val="92"/>
              </w:rPr>
              <w:t>Value</w:t>
            </w:r>
            <w:r>
              <w:rPr>
                <w:rFonts w:ascii="Arial" w:cs="Arial" w:eastAsia="Arial" w:hAnsi="Arial"/>
                <w:sz w:val="19"/>
                <w:szCs w:val="19"/>
                <w:b w:val="1"/>
                <w:bCs w:val="1"/>
                <w:color w:val="auto"/>
                <w:w w:val="92"/>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Debt—10.1%</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1"/>
                <w:szCs w:val="11"/>
                <w:color w:val="auto"/>
              </w:rPr>
              <w:t>Autoparts Holdings Limited</w:t>
            </w:r>
            <w:r>
              <w:rPr>
                <w:rFonts w:ascii="Arial" w:cs="Arial" w:eastAsia="Arial" w:hAnsi="Arial"/>
                <w:sz w:val="17"/>
                <w:szCs w:val="17"/>
                <w:color w:val="auto"/>
                <w:vertAlign w:val="superscript"/>
              </w:rPr>
              <w:t>(5)</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01/29/2018</w:t>
            </w:r>
          </w:p>
        </w:tc>
        <w:tc>
          <w:tcPr>
            <w:tcW w:w="20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1"/>
              </w:rPr>
              <w:t>Automotive</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L+900</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995,000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Ernest Health, Inc.</w:t>
            </w:r>
          </w:p>
        </w:tc>
        <w:tc>
          <w:tcPr>
            <w:tcW w:w="8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05/13/2017</w:t>
            </w:r>
          </w:p>
        </w:tc>
        <w:tc>
          <w:tcPr>
            <w:tcW w:w="2040" w:type="dxa"/>
            <w:vAlign w:val="bottom"/>
            <w:gridSpan w:val="3"/>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Healthcare and</w:t>
            </w: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4"/>
              </w:rPr>
              <w:t>Pharmaceuticals</w:t>
            </w:r>
          </w:p>
        </w:tc>
        <w:tc>
          <w:tcPr>
            <w:tcW w:w="10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10.25%</w:t>
            </w:r>
          </w:p>
        </w:tc>
        <w:tc>
          <w:tcPr>
            <w:tcW w:w="8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L+850</w:t>
            </w:r>
          </w:p>
        </w:tc>
        <w:tc>
          <w:tcPr>
            <w:tcW w:w="9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3,942,406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3,940,000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(7)</w:t>
            </w:r>
          </w:p>
        </w:tc>
        <w:tc>
          <w:tcPr>
            <w:tcW w:w="8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11/06/2018</w:t>
            </w:r>
          </w:p>
        </w:tc>
        <w:tc>
          <w:tcPr>
            <w:tcW w:w="20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1"/>
              </w:rPr>
              <w:t>Media: Diversified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and Production</w:t>
            </w: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10.25%</w:t>
            </w:r>
          </w:p>
        </w:tc>
        <w:tc>
          <w:tcPr>
            <w:tcW w:w="8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L+875</w:t>
            </w:r>
          </w:p>
        </w:tc>
        <w:tc>
          <w:tcPr>
            <w:tcW w:w="9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3"/>
                <w:szCs w:val="13"/>
                <w:color w:val="auto"/>
              </w:rPr>
            </w:pPr>
          </w:p>
        </w:tc>
        <w:tc>
          <w:tcPr>
            <w:tcW w:w="80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1,485,581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1,380,000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20" w:type="dxa"/>
            <w:vAlign w:val="bottom"/>
            <w:gridSpan w:val="2"/>
            <w:shd w:val="clear" w:color="auto" w:fill="CCEEFF"/>
          </w:tcPr>
          <w:p>
            <w:pPr>
              <w:spacing w:after="0" w:line="232" w:lineRule="exact"/>
              <w:rPr>
                <w:sz w:val="20"/>
                <w:szCs w:val="20"/>
                <w:color w:val="auto"/>
              </w:rPr>
            </w:pPr>
            <w:r>
              <w:rPr>
                <w:rFonts w:ascii="Arial" w:cs="Arial" w:eastAsia="Arial" w:hAnsi="Arial"/>
                <w:sz w:val="14"/>
                <w:szCs w:val="14"/>
                <w:color w:val="auto"/>
              </w:rPr>
              <w:t>ROC Finance LLC and ROC Finance 1 Corp</w:t>
            </w:r>
            <w:r>
              <w:rPr>
                <w:rFonts w:ascii="Arial" w:cs="Arial" w:eastAsia="Arial" w:hAnsi="Arial"/>
                <w:sz w:val="22"/>
                <w:szCs w:val="22"/>
                <w:color w:val="auto"/>
                <w:vertAlign w:val="superscript"/>
              </w:rPr>
              <w:t>(5)</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880" w:type="dxa"/>
            <w:vAlign w:val="bottom"/>
            <w:gridSpan w:val="3"/>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09/01/2018</w:t>
            </w:r>
          </w:p>
        </w:tc>
        <w:tc>
          <w:tcPr>
            <w:tcW w:w="2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7"/>
              </w:rPr>
              <w:t>Hotel, Gaming and Leisure</w:t>
            </w:r>
          </w:p>
        </w:tc>
        <w:tc>
          <w:tcPr>
            <w:tcW w:w="100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12.13%</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9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2,000,000</w:t>
            </w:r>
          </w:p>
        </w:tc>
        <w:tc>
          <w:tcPr>
            <w:tcW w:w="80" w:type="dxa"/>
            <w:vAlign w:val="bottom"/>
            <w:shd w:val="clear" w:color="auto" w:fill="CCEEFF"/>
          </w:tcPr>
          <w:p>
            <w:pPr>
              <w:spacing w:after="0"/>
              <w:rPr>
                <w:sz w:val="14"/>
                <w:szCs w:val="14"/>
                <w:color w:val="auto"/>
              </w:rPr>
            </w:pPr>
          </w:p>
        </w:tc>
        <w:tc>
          <w:tcPr>
            <w:tcW w:w="80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1,965,834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2,020,000</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980" w:type="dxa"/>
            <w:vAlign w:val="bottom"/>
            <w:shd w:val="clear" w:color="auto" w:fill="CCEEFF"/>
          </w:tcPr>
          <w:p>
            <w:pPr>
              <w:spacing w:after="0"/>
              <w:rPr>
                <w:sz w:val="9"/>
                <w:szCs w:val="9"/>
                <w:color w:val="auto"/>
              </w:rPr>
            </w:pPr>
          </w:p>
        </w:tc>
        <w:tc>
          <w:tcPr>
            <w:tcW w:w="880" w:type="dxa"/>
            <w:vAlign w:val="bottom"/>
            <w:gridSpan w:val="3"/>
            <w:vMerge w:val="continue"/>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000" w:type="dxa"/>
            <w:vAlign w:val="bottom"/>
            <w:gridSpan w:val="2"/>
            <w:vMerge w:val="continue"/>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96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4"/>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gridSpan w:val="3"/>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Sensus USA Inc.</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05/09/2018</w:t>
            </w:r>
          </w:p>
        </w:tc>
        <w:tc>
          <w:tcPr>
            <w:tcW w:w="20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L+725</w:t>
            </w:r>
          </w:p>
        </w:tc>
        <w:tc>
          <w:tcPr>
            <w:tcW w:w="9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1,000,000</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960,000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9,379,445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9,285,000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Notes—7.6%</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(11)</w:t>
            </w:r>
          </w:p>
        </w:tc>
        <w:tc>
          <w:tcPr>
            <w:tcW w:w="8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11/15/2015</w:t>
            </w:r>
          </w:p>
        </w:tc>
        <w:tc>
          <w:tcPr>
            <w:tcW w:w="20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Consumer Goods: Non-Durable</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11.63%</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1,500,000</w:t>
            </w: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1,524,891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1,155,000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Trusthouse Services Group, Inc.</w:t>
            </w:r>
            <w:r>
              <w:rPr>
                <w:rFonts w:ascii="Arial" w:cs="Arial" w:eastAsia="Arial" w:hAnsi="Arial"/>
                <w:sz w:val="22"/>
                <w:szCs w:val="22"/>
                <w:color w:val="auto"/>
                <w:vertAlign w:val="superscript"/>
              </w:rPr>
              <w:t>(11),(7)</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color w:val="auto"/>
                <w:w w:val="88"/>
              </w:rPr>
              <w:t>07/31/2018</w:t>
            </w: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Beverage, Food</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vMerge w:val="continue"/>
          </w:tcPr>
          <w:p>
            <w:pPr>
              <w:spacing w:after="0"/>
              <w:rPr>
                <w:sz w:val="13"/>
                <w:szCs w:val="13"/>
                <w:color w:val="auto"/>
              </w:rPr>
            </w:pP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3,762,500</w:t>
            </w:r>
          </w:p>
        </w:tc>
        <w:tc>
          <w:tcPr>
            <w:tcW w:w="80" w:type="dxa"/>
            <w:vAlign w:val="bottom"/>
          </w:tcPr>
          <w:p>
            <w:pPr>
              <w:spacing w:after="0"/>
              <w:rPr>
                <w:sz w:val="13"/>
                <w:szCs w:val="13"/>
                <w:color w:val="auto"/>
              </w:rPr>
            </w:pPr>
          </w:p>
        </w:tc>
        <w:tc>
          <w:tcPr>
            <w:tcW w:w="80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3,688,091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3,687,250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Trusthouse Services Group,</w:t>
            </w: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2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26"/>
                <w:szCs w:val="26"/>
                <w:color w:val="auto"/>
                <w:vertAlign w:val="subscript"/>
              </w:rPr>
              <w:t>Inc.</w:t>
            </w:r>
            <w:r>
              <w:rPr>
                <w:rFonts w:ascii="Arial" w:cs="Arial" w:eastAsia="Arial" w:hAnsi="Arial"/>
                <w:sz w:val="11"/>
                <w:szCs w:val="11"/>
                <w:color w:val="auto"/>
              </w:rPr>
              <w:t>(11),(9)</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07/31/2018</w:t>
            </w:r>
          </w:p>
        </w:tc>
        <w:tc>
          <w:tcPr>
            <w:tcW w:w="204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Beverage, Food</w:t>
            </w: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2,206,000</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2,161,880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2,161,880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7,374,862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7,004,130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Interests—0.1%</w:t>
            </w:r>
            <w:r>
              <w:rPr>
                <w:rFonts w:ascii="Arial" w:cs="Arial" w:eastAsia="Arial" w:hAnsi="Arial"/>
                <w:sz w:val="17"/>
                <w:szCs w:val="17"/>
                <w:b w:val="1"/>
                <w:bCs w:val="1"/>
                <w:color w:val="auto"/>
                <w:vertAlign w:val="superscript"/>
              </w:rPr>
              <w:t>(10)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gridSpan w:val="2"/>
          </w:tcPr>
          <w:p>
            <w:pPr>
              <w:spacing w:after="0"/>
              <w:rPr>
                <w:sz w:val="20"/>
                <w:szCs w:val="20"/>
                <w:color w:val="auto"/>
              </w:rPr>
            </w:pPr>
            <w:r>
              <w:rPr>
                <w:rFonts w:ascii="Arial" w:cs="Arial" w:eastAsia="Arial" w:hAnsi="Arial"/>
                <w:sz w:val="14"/>
                <w:szCs w:val="14"/>
                <w:color w:val="auto"/>
              </w:rPr>
              <w:t>Trusthouse Services Holdings, LLC</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Beverage, Food</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12.50%</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rPr>
              <w:t>158</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95,000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96,985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(10)</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Holdings, LLC</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04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color w:val="auto"/>
                <w:w w:val="86"/>
              </w:rPr>
              <w:t>Beverage, Food</w:t>
            </w:r>
          </w:p>
        </w:tc>
        <w:tc>
          <w:tcPr>
            <w:tcW w:w="5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40" w:type="dxa"/>
            <w:vAlign w:val="bottom"/>
            <w:gridSpan w:val="3"/>
            <w:shd w:val="clear" w:color="auto" w:fill="CCEEFF"/>
          </w:tcPr>
          <w:p>
            <w:pPr>
              <w:jc w:val="center"/>
              <w:ind w:right="120"/>
              <w:spacing w:after="0" w:line="159" w:lineRule="exact"/>
              <w:rPr>
                <w:sz w:val="20"/>
                <w:szCs w:val="20"/>
                <w:color w:val="auto"/>
              </w:rPr>
            </w:pPr>
            <w:r>
              <w:rPr>
                <w:rFonts w:ascii="Arial" w:cs="Arial" w:eastAsia="Arial" w:hAnsi="Arial"/>
                <w:sz w:val="14"/>
                <w:szCs w:val="14"/>
                <w:color w:val="auto"/>
                <w:w w:val="83"/>
              </w:rPr>
              <w:t>and Tobacco</w:t>
            </w:r>
          </w:p>
        </w:tc>
        <w:tc>
          <w:tcPr>
            <w:tcW w:w="1000" w:type="dxa"/>
            <w:vAlign w:val="bottom"/>
            <w:gridSpan w:val="2"/>
            <w:shd w:val="clear" w:color="auto" w:fill="CCEEFF"/>
          </w:tcPr>
          <w:p>
            <w:pPr>
              <w:jc w:val="right"/>
              <w:ind w:right="5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4"/>
          </w:tcPr>
          <w:p>
            <w:pPr>
              <w:jc w:val="right"/>
              <w:ind w:right="120"/>
              <w:spacing w:after="0" w:line="155"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5,000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1"/>
              </w:rPr>
              <w:t>Total Investments in Non-Controlled, Non-Affiliated Portfolio</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84"/>
              </w:rPr>
              <w:t>114,829,621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w w:val="82"/>
              </w:rPr>
              <w:t>110,724,241</w:t>
            </w: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Equivalents—7.6%</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auto"/>
              </w:rPr>
              <w:t>6,987,450</w:t>
            </w: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6,987,450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121,817,071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88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2"/>
              </w:rPr>
              <w:t>117,711,691</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Assets—(27.8%)</w:t>
            </w: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tcPr>
          <w:p>
            <w:pPr>
              <w:jc w:val="right"/>
              <w:ind w:right="180"/>
              <w:spacing w:after="0" w:line="143" w:lineRule="exact"/>
              <w:rPr>
                <w:sz w:val="20"/>
                <w:szCs w:val="20"/>
                <w:color w:val="auto"/>
              </w:rPr>
            </w:pPr>
            <w:r>
              <w:rPr>
                <w:rFonts w:ascii="Arial" w:cs="Arial" w:eastAsia="Arial" w:hAnsi="Arial"/>
                <w:sz w:val="14"/>
                <w:szCs w:val="14"/>
                <w:color w:val="auto"/>
                <w:w w:val="85"/>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92,072,105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right="100" w:hanging="332"/>
        <w:spacing w:after="0" w:line="258" w:lineRule="auto"/>
        <w:tabs>
          <w:tab w:leader="none" w:pos="3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97" w:lineRule="auto"/>
        <w:tabs>
          <w:tab w:leader="none" w:pos="34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2011</w:t>
      </w:r>
    </w:p>
    <w:p>
      <w:pPr>
        <w:spacing w:after="0" w:line="148"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securities are pledged as collateral under the Credit Facility.</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Coupon is payable in cash and/or through PIK.</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60"/>
          </w:cols>
          <w:pgMar w:left="240" w:top="460" w:right="2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PennantPark Floating Rate Capital Ltd. was organized as a Maryland corporation on October 28, 2010. We are a closed-end, externally managed, non-diversified investment company that has elected to be treated as a business development company, or BDC, under the 1940 Act.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from time to time, include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equity investments.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April 13, 2011, we closed our initial public offering and our common stock trades on the NASDAQ Global Select Market under the symbol “PFLT.” Also on April 13, 2011, we issued 6,700,000 shares of common stock, and on May 11,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On March 4, 2011, we sold 667 shares of common stock for $10,000 ($15.00 per share) to the Investment Adviser.</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a commercial paper rate that approximates LIBOR plus 225 basis points during the revolving period. The Credit Facility is secured by all of the assets held by Funding I. See Note 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300" w:hanging="387"/>
        <w:spacing w:after="0"/>
        <w:tabs>
          <w:tab w:leader="none" w:pos="130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InvestmentValuations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0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40" w:hanging="446"/>
        <w:spacing w:after="0" w:line="268"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20" w:right="480"/>
        <w:spacing w:after="0" w:line="268" w:lineRule="auto"/>
        <w:rPr>
          <w:sz w:val="20"/>
          <w:szCs w:val="20"/>
          <w:color w:val="auto"/>
        </w:rPr>
      </w:pPr>
      <w:r>
        <w:rPr>
          <w:rFonts w:ascii="Arial" w:cs="Arial" w:eastAsia="Arial" w:hAnsi="Arial"/>
          <w:sz w:val="18"/>
          <w:szCs w:val="18"/>
          <w:color w:val="auto"/>
        </w:rPr>
        <w:t>management’s preliminary valuations in light of their own independent assessment and also in light of any market quotations obtained from an independent pricing service, broker, dealer or market maker;</w:t>
      </w:r>
    </w:p>
    <w:p>
      <w:pPr>
        <w:spacing w:after="0" w:line="51" w:lineRule="exact"/>
        <w:rPr>
          <w:sz w:val="20"/>
          <w:szCs w:val="20"/>
          <w:color w:val="auto"/>
        </w:rPr>
      </w:pPr>
    </w:p>
    <w:p>
      <w:pPr>
        <w:ind w:left="900" w:right="180" w:hanging="446"/>
        <w:spacing w:after="0" w:line="332" w:lineRule="auto"/>
        <w:tabs>
          <w:tab w:leader="none" w:pos="9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300" w:hanging="387"/>
        <w:spacing w:after="0"/>
        <w:tabs>
          <w:tab w:leader="none" w:pos="130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or interest expense.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280" w:hanging="367"/>
        <w:spacing w:after="0"/>
        <w:tabs>
          <w:tab w:leader="none" w:pos="1280" w:val="left"/>
        </w:tabs>
        <w:numPr>
          <w:ilvl w:val="0"/>
          <w:numId w:val="1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March 4, 2011, PennantPark Floating Rate Capital Ltd. has complied with the requirements of Subchapter M of the Internal Revenue Code of 1986, as amended, or the Code, and intends to be subject to tax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intention to be subject to tax as a RIC, we do not anticipate paying any material level of federal income taxes in the future. We recognize in our Consolidated Financial Statements the effect of a tax position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federal income tax regulations differ from GAAP, differences in distributable income arise which could be permanent or temporary. Book and tax basis differences which are permanent are reclassified among our capital accounts, to reflect their tax character. Temporary differences arise when certain items of income, expense, gain or loss are recognized at some time in the future.</w:t>
      </w:r>
    </w:p>
    <w:p>
      <w:pPr>
        <w:spacing w:after="0" w:line="262" w:lineRule="exact"/>
        <w:rPr>
          <w:sz w:val="20"/>
          <w:szCs w:val="20"/>
          <w:color w:val="auto"/>
        </w:rPr>
      </w:pPr>
    </w:p>
    <w:p>
      <w:pPr>
        <w:ind w:left="1300" w:hanging="387"/>
        <w:spacing w:after="0"/>
        <w:tabs>
          <w:tab w:leader="none" w:pos="1300" w:val="left"/>
        </w:tabs>
        <w:numPr>
          <w:ilvl w:val="0"/>
          <w:numId w:val="1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Dividends,Distributions, and Capital Transactions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280" w:hanging="367"/>
        <w:spacing w:after="0"/>
        <w:tabs>
          <w:tab w:leader="none" w:pos="128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920"/>
        <w:spacing w:after="0"/>
        <w:tabs>
          <w:tab w:leader="none" w:pos="12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AssetTransfers and Servicing</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security interests in any such assets and are not intended to be available to the creditors of PennantPark Floating Rate Capital Ltd. (or any affiliate of the Company).</w:t>
      </w:r>
    </w:p>
    <w:p>
      <w:pPr>
        <w:spacing w:after="0" w:line="262" w:lineRule="exact"/>
        <w:rPr>
          <w:sz w:val="20"/>
          <w:szCs w:val="20"/>
          <w:color w:val="auto"/>
        </w:rPr>
      </w:pPr>
    </w:p>
    <w:p>
      <w:pPr>
        <w:ind w:left="1300" w:hanging="387"/>
        <w:spacing w:after="0"/>
        <w:tabs>
          <w:tab w:leader="none" w:pos="130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NewAccounting Pronouncement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May 2011, the Financial Accounting Standards Board issued Accounting Standards Update 2011-04, Amendments to Achieve Common Fair Value Measurement and Disclosure Requirements in U.S. GAAP and IFRSs, or ASU 2011-04. ASU 2011-04 amends ASC 820, Fair Value Measurements, or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on how a market participant would price the identical instrument; and (5) expanding the qualitative and quantitative fair value disclosure requirements. These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amendments are effective for fiscal years beginning after December 15, 2011 and for interim periods within those fiscal years. The amendments of ASU 2011-04, as adopted, did not have a material impact on our Consolidated Financial Statements. See Note 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and/or temporary draws under any credit facility and/or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Base investment advisory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2012, the Investment Adviser earned a base management fee of $0.4 million and $0.7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three and six months ended March 31, 2012, resulted in an accrual of less than $0.1 million.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provided that, the incentive fee determined as of March 31, 2012 was calculated for a period of shorter than twelve calendar months to take into account any realized capital gains computed net of all realized capital losses and unrealized capital depreciation from our inception. The performance based incentive fee on capital gains due to our Investment Adviser as calculated under the Investment Management Agreement (as described above) for the three and six months ended March 31, 2012, resulted in no accrual.</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capital gains due to our Investment Adviser as calculated under GAAP and the Investment Management Agreement (as described above) for the three and six months ended March 31, 2012 resulted in an accrual of $0.1 million.</w:t>
      </w:r>
    </w:p>
    <w:p>
      <w:pPr>
        <w:spacing w:after="0" w:line="118"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2012, the Investment Adviser and Administrator, collectively, were reimbursed approximately $0.1 million, from us, including expenses incurred by the Investment Adviser on behalf of the Administrator, for the services described above.</w:t>
      </w:r>
    </w:p>
    <w:p>
      <w:pPr>
        <w:spacing w:after="0" w:line="1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March 31, 2012, as well as the likelihood of future activity that may generate additional returns, management determined that the 7.0% return on Pre-Incentive Fee Net Investment Income was uncertain. Accordingly, we did not record a liability for it. Management continues to assess performance to determine whether the 7.0% return on Pre-Incentive Fee Net Investment Income is probable before recording the $2.1 million charge to capital.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and six months ended March 31, 2012 totaled $32.9 million and $72.3 million, respectively. Sales and repayments of long-term investments for the three and six months ended March 31, 2012 totaled $19.3 million and $41.6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2012</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ind w:left="70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100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ind w:left="28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126,721,245</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126,306,324</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97,975,314</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94,333,126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6,939,667</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7,136,250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9,379,445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12,065,596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12,215,480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7,374,862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501,450</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530,078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146,227,958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146,188,132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114,829,621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110,724,241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3,849,360</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3,849,360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6,987,450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6,987,450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150,077,318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150,037,492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121,817,071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117,711,691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F-42</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2012 and September 30, 2011.</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46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88"/>
              </w:rPr>
              <w:t>March 31, 2012</w:t>
            </w:r>
          </w:p>
        </w:tc>
        <w:tc>
          <w:tcPr>
            <w:tcW w:w="148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4"/>
                <w:szCs w:val="14"/>
                <w:b w:val="1"/>
                <w:bCs w:val="1"/>
                <w:color w:val="auto"/>
                <w:w w:val="84"/>
              </w:rPr>
              <w:t>September 30, 2011</w:t>
            </w:r>
          </w:p>
        </w:tc>
      </w:tr>
      <w:tr>
        <w:trPr>
          <w:trHeight w:val="190"/>
        </w:trPr>
        <w:tc>
          <w:tcPr>
            <w:tcW w:w="6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Business Services</w:t>
            </w: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10%</w:t>
            </w:r>
          </w:p>
        </w:tc>
        <w:tc>
          <w:tcPr>
            <w:tcW w:w="14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10%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900" w:type="dxa"/>
            <w:vAlign w:val="bottom"/>
          </w:tcPr>
          <w:p>
            <w:pPr>
              <w:jc w:val="center"/>
              <w:spacing w:after="0"/>
              <w:rPr>
                <w:sz w:val="20"/>
                <w:szCs w:val="20"/>
                <w:color w:val="auto"/>
              </w:rPr>
            </w:pPr>
            <w:r>
              <w:rPr>
                <w:rFonts w:ascii="Arial" w:cs="Arial" w:eastAsia="Arial" w:hAnsi="Arial"/>
                <w:sz w:val="14"/>
                <w:szCs w:val="14"/>
                <w:color w:val="auto"/>
              </w:rPr>
              <w:t>8</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7</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w w:val="76"/>
              </w:rPr>
              <w:t>10</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8</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5</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4</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5</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w w:val="76"/>
              </w:rPr>
              <w:t>10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900" w:type="dxa"/>
            <w:vAlign w:val="bottom"/>
          </w:tcPr>
          <w:p>
            <w:pPr>
              <w:jc w:val="center"/>
              <w:spacing w:after="0"/>
              <w:rPr>
                <w:sz w:val="20"/>
                <w:szCs w:val="20"/>
                <w:color w:val="auto"/>
              </w:rPr>
            </w:pPr>
            <w:r>
              <w:rPr>
                <w:rFonts w:ascii="Arial" w:cs="Arial" w:eastAsia="Arial" w:hAnsi="Arial"/>
                <w:sz w:val="14"/>
                <w:szCs w:val="14"/>
                <w:color w:val="auto"/>
              </w:rPr>
              <w:t>6</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9</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8</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900" w:type="dxa"/>
            <w:vAlign w:val="bottom"/>
          </w:tcPr>
          <w:p>
            <w:pPr>
              <w:jc w:val="center"/>
              <w:spacing w:after="0"/>
              <w:rPr>
                <w:sz w:val="20"/>
                <w:szCs w:val="20"/>
                <w:color w:val="auto"/>
              </w:rPr>
            </w:pPr>
            <w:r>
              <w:rPr>
                <w:rFonts w:ascii="Arial" w:cs="Arial" w:eastAsia="Arial" w:hAnsi="Arial"/>
                <w:sz w:val="14"/>
                <w:szCs w:val="14"/>
                <w:color w:val="auto"/>
              </w:rPr>
              <w:t>5</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3</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4</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Containers, Packaging and Glass</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3</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900" w:type="dxa"/>
            <w:vAlign w:val="bottom"/>
          </w:tcPr>
          <w:p>
            <w:pPr>
              <w:jc w:val="center"/>
              <w:spacing w:after="0"/>
              <w:rPr>
                <w:sz w:val="20"/>
                <w:szCs w:val="20"/>
                <w:color w:val="auto"/>
              </w:rPr>
            </w:pPr>
            <w:r>
              <w:rPr>
                <w:rFonts w:ascii="Arial" w:cs="Arial" w:eastAsia="Arial" w:hAnsi="Arial"/>
                <w:sz w:val="14"/>
                <w:szCs w:val="14"/>
                <w:color w:val="auto"/>
              </w:rPr>
              <w:t>3</w:t>
            </w:r>
          </w:p>
        </w:tc>
        <w:tc>
          <w:tcPr>
            <w:tcW w:w="2600" w:type="dxa"/>
            <w:vAlign w:val="bottom"/>
            <w:gridSpan w:val="2"/>
          </w:tcPr>
          <w:p>
            <w:pPr>
              <w:jc w:val="center"/>
              <w:ind w:left="1412"/>
              <w:spacing w:after="0"/>
              <w:rPr>
                <w:sz w:val="20"/>
                <w:szCs w:val="20"/>
                <w:color w:val="auto"/>
              </w:rPr>
            </w:pPr>
            <w:r>
              <w:rPr>
                <w:rFonts w:ascii="Arial" w:cs="Arial" w:eastAsia="Arial" w:hAnsi="Arial"/>
                <w:sz w:val="14"/>
                <w:szCs w:val="14"/>
                <w:color w:val="auto"/>
              </w:rPr>
              <w:t>2</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rPr>
              <w:t>3</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4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w:t>
            </w: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600" w:type="dxa"/>
            <w:vAlign w:val="bottom"/>
            <w:gridSpan w:val="2"/>
            <w:shd w:val="clear" w:color="auto" w:fill="CCEEFF"/>
          </w:tcPr>
          <w:p>
            <w:pPr>
              <w:jc w:val="center"/>
              <w:ind w:left="1412"/>
              <w:spacing w:after="0"/>
              <w:rPr>
                <w:sz w:val="20"/>
                <w:szCs w:val="20"/>
                <w:color w:val="auto"/>
              </w:rPr>
            </w:pPr>
            <w:r>
              <w:rPr>
                <w:rFonts w:ascii="Arial" w:cs="Arial" w:eastAsia="Arial" w:hAnsi="Arial"/>
                <w:sz w:val="14"/>
                <w:szCs w:val="14"/>
                <w:color w:val="auto"/>
                <w:w w:val="89"/>
              </w:rPr>
              <w:t>100%</w:t>
            </w:r>
          </w:p>
        </w:tc>
      </w:tr>
      <w:tr>
        <w:trPr>
          <w:trHeight w:val="20"/>
        </w:trPr>
        <w:tc>
          <w:tcPr>
            <w:tcW w:w="1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2012, our ability to observe valuation inputs has resulted in no reclassification of assets from Level 3 to 2. There were no investments transferred between Levels 1 and 2 for the same period.</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accordance with ASU 2011-04 and as outlined in the table below, our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remainder of our portfolio was valued using a market comparable or enterprise valuation technique and our long-term Credit Facility used an income approach valuation technique. With respect to investments for which there is no readily available market value, the factors that the board of directors may take into account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3"/>
              </w:rPr>
              <w:t>Range of</w:t>
            </w:r>
          </w:p>
        </w:tc>
      </w:t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Asset Category</w:t>
            </w:r>
          </w:p>
        </w:tc>
        <w:tc>
          <w:tcPr>
            <w:tcW w:w="37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Fair Value</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Valuation Techniques</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Unobservable Inputs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Values/Input</w:t>
            </w:r>
          </w:p>
        </w:tc>
      </w:tr>
      <w:tr>
        <w:trPr>
          <w:trHeight w:val="181"/>
        </w:trPr>
        <w:tc>
          <w:tcPr>
            <w:tcW w:w="47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First lien, second lien, subordinated debt/corporate notes and</w:t>
            </w:r>
          </w:p>
        </w:tc>
        <w:tc>
          <w:tcPr>
            <w:tcW w:w="6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preferred and common equity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Market approach</w:t>
            </w:r>
          </w:p>
        </w:tc>
        <w:tc>
          <w:tcPr>
            <w:tcW w:w="2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Broker/Dealer bids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9</w:t>
            </w: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w w:val="95"/>
              </w:rPr>
              <w:t>First lien, second lien, subordinated debt/corporate notes and</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preferred and common equity</w:t>
            </w: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8"/>
        </w:trPr>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Market comparable/</w:t>
            </w: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9"/>
        </w:trPr>
        <w:tc>
          <w:tcPr>
            <w:tcW w:w="9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Enterprise value</w:t>
            </w: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EBITDA multiples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7.6x – 10.7x</w:t>
            </w:r>
          </w:p>
        </w:tc>
      </w:tr>
      <w:tr>
        <w:trPr>
          <w:trHeight w:val="21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9"/>
              </w:rPr>
              <w:t>Market comparable/ Income</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8"/>
        </w:trPr>
        <w:tc>
          <w:tcPr>
            <w:tcW w:w="9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5"/>
              </w:rPr>
              <w:t>approach</w:t>
            </w:r>
          </w:p>
        </w:tc>
        <w:tc>
          <w:tcPr>
            <w:tcW w:w="2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Discount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r>
    </w:tbl>
    <w:p>
      <w:pPr>
        <w:spacing w:after="0" w:line="15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At March 31, 2012 and September 30, 2011, our cash equivalents, investments and our long-term Credit Facility were categorized as follows in the fair value hierarchy for ASC 820 purposes.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w w:val="98"/>
              </w:rPr>
              <w:t>Fair Value Measurements at March 31, 2012</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126,306,324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7,136,250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7,136,250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12,215,480</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8,504,980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530,078</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146,188,132</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142,477,632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3,849,360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3,849,360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150,037,492</w:t>
            </w: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3,849,360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3,710,500</w:t>
            </w: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142,477,632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47,561,000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47,561,000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60"/>
              <w:spacing w:after="0"/>
              <w:rPr>
                <w:sz w:val="20"/>
                <w:szCs w:val="20"/>
                <w:color w:val="auto"/>
              </w:rPr>
            </w:pPr>
            <w:r>
              <w:rPr>
                <w:rFonts w:ascii="Arial" w:cs="Arial" w:eastAsia="Arial" w:hAnsi="Arial"/>
                <w:sz w:val="18"/>
                <w:szCs w:val="18"/>
                <w:color w:val="auto"/>
              </w:rPr>
              <w:t>F-45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720" w:right="24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2012</w:t>
      </w:r>
    </w:p>
    <w:p>
      <w:pPr>
        <w:spacing w:after="0" w:line="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3"/>
              </w:rPr>
              <w:t>Fair Value Measurements at September 30, 2011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94,333,126</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2,033,747</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92,299,379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1,155,000</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110,724,241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6,987,450</w:t>
            </w: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117,711,691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6,987,450</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2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following tables show a reconciliation of the beginning and ending balances for fair valued investments measured using significant unobservable inputs (Level 3) for the six months ended March 31, 2012 and for the period from March 4, 2011 (commencement of operations) to September 30, 2011: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8"/>
              </w:rPr>
              <w:t>Six Months Ended March 31, 2012</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53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First Lien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40" w:type="dxa"/>
            <w:vAlign w:val="bottom"/>
          </w:tcPr>
          <w:p>
            <w:pPr>
              <w:spacing w:after="0"/>
              <w:rPr>
                <w:sz w:val="14"/>
                <w:szCs w:val="14"/>
                <w:color w:val="auto"/>
              </w:rPr>
            </w:pPr>
          </w:p>
        </w:tc>
        <w:tc>
          <w:tcPr>
            <w:tcW w:w="104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October 1, 2011</w:t>
            </w:r>
            <w:r>
              <w:rPr>
                <w:rFonts w:ascii="Arial" w:cs="Arial" w:eastAsia="Arial" w:hAnsi="Arial"/>
                <w:sz w:val="11"/>
                <w:szCs w:val="11"/>
                <w:color w:val="auto"/>
              </w:rPr>
              <w:t>(1)</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18,206,115</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107,535,494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440"/>
              <w:spacing w:after="0"/>
              <w:rPr>
                <w:sz w:val="20"/>
                <w:szCs w:val="20"/>
                <w:color w:val="auto"/>
              </w:rPr>
            </w:pPr>
            <w:r>
              <w:rPr>
                <w:rFonts w:ascii="Arial" w:cs="Arial" w:eastAsia="Arial" w:hAnsi="Arial"/>
                <w:sz w:val="18"/>
                <w:szCs w:val="18"/>
                <w:color w:val="auto"/>
              </w:rPr>
              <w:t>Realized gains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315,366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86,442</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401,808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3,176,684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543,615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3,720,299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67,494,977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2,868,886</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70,363,863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Sales/repayments</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(34,010,082)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(5,533,750)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(39,543,832)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80" w:type="dxa"/>
            <w:vAlign w:val="bottom"/>
            <w:gridSpan w:val="2"/>
          </w:tcPr>
          <w:p>
            <w:pPr>
              <w:ind w:left="440"/>
              <w:spacing w:after="0"/>
              <w:rPr>
                <w:sz w:val="20"/>
                <w:szCs w:val="20"/>
                <w:color w:val="auto"/>
              </w:rPr>
            </w:pPr>
            <w:r>
              <w:rPr>
                <w:rFonts w:ascii="Arial" w:cs="Arial" w:eastAsia="Arial" w:hAnsi="Arial"/>
                <w:sz w:val="18"/>
                <w:szCs w:val="18"/>
                <w:color w:val="auto"/>
              </w:rPr>
              <w:t>Transfers in and/or out of Level 3</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126,306,324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16,171,308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142,477,632</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ind w:left="460"/>
              <w:spacing w:after="0"/>
              <w:rPr>
                <w:sz w:val="20"/>
                <w:szCs w:val="20"/>
                <w:color w:val="auto"/>
              </w:rPr>
            </w:pPr>
            <w:r>
              <w:rPr>
                <w:rFonts w:ascii="Arial" w:cs="Arial" w:eastAsia="Arial" w:hAnsi="Arial"/>
                <w:sz w:val="18"/>
                <w:szCs w:val="18"/>
                <w:color w:val="auto"/>
              </w:rPr>
              <w:t>Net change in unrealized appreciation for the six months ended March 31,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2012 reported within the net change in unrealized appreciation 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investments in our Consolidated Statement of Operations attributable to</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080" w:type="dxa"/>
            <w:vAlign w:val="bottom"/>
            <w:gridSpan w:val="2"/>
          </w:tcPr>
          <w:p>
            <w:pPr>
              <w:ind w:left="220"/>
              <w:spacing w:after="0"/>
              <w:rPr>
                <w:sz w:val="20"/>
                <w:szCs w:val="20"/>
                <w:color w:val="auto"/>
              </w:rPr>
            </w:pPr>
            <w:r>
              <w:rPr>
                <w:rFonts w:ascii="Arial" w:cs="Arial" w:eastAsia="Arial" w:hAnsi="Arial"/>
                <w:sz w:val="18"/>
                <w:szCs w:val="18"/>
                <w:color w:val="auto"/>
              </w:rPr>
              <w:t>our Level 3 assets still held at the reporting date.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3,638,956</w:t>
            </w: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546,020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4,184,976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As-adjusted to conform to current year presentation.</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0960"/>
          </w:cols>
          <w:pgMar w:left="240" w:top="460" w:right="6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2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March 4, 2011 (commencement of operations)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86"/>
              </w:rPr>
              <w:t>to September 30, 2011</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subordinated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debt and equity</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420"/>
              <w:spacing w:after="0" w:line="148" w:lineRule="exact"/>
              <w:rPr>
                <w:sz w:val="20"/>
                <w:szCs w:val="20"/>
                <w:color w:val="auto"/>
              </w:rPr>
            </w:pPr>
            <w:r>
              <w:rPr>
                <w:rFonts w:ascii="Arial" w:cs="Arial" w:eastAsia="Arial" w:hAnsi="Arial"/>
                <w:sz w:val="14"/>
                <w:szCs w:val="14"/>
                <w:b w:val="1"/>
                <w:bCs w:val="1"/>
                <w:color w:val="auto"/>
              </w:rPr>
              <w:t>First Lien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100" w:type="dxa"/>
            <w:vAlign w:val="bottom"/>
          </w:tcPr>
          <w:p>
            <w:pPr>
              <w:spacing w:after="0"/>
              <w:rPr>
                <w:sz w:val="12"/>
                <w:szCs w:val="12"/>
                <w:color w:val="auto"/>
              </w:rPr>
            </w:pPr>
          </w:p>
        </w:tc>
        <w:tc>
          <w:tcPr>
            <w:tcW w:w="100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218,684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93,319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9"/>
              </w:rPr>
              <w:t>(3,621,606)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(93,301)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w w:val="85"/>
              </w:rPr>
              <w:t>124,246,206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19,766,732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144,012,938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(28,543,905)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(4,530,635)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92,299,379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15,236,115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w w:val="96"/>
              </w:rPr>
              <w:t>Net change in unrealized depreciation for the year reported within the net change in unrealized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3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w w:val="96"/>
              </w:rPr>
              <w:t>depreciation on investments in our Consolidated Statement of Operations attributable to our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(3,621,606)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(93,301)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six months ended March 31,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March 31, 2012</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Carrying/</w:t>
            </w:r>
          </w:p>
        </w:tc>
      </w:tr>
      <w:tr>
        <w:trPr>
          <w:trHeight w:val="161"/>
        </w:trPr>
        <w:tc>
          <w:tcPr>
            <w:tcW w:w="8520" w:type="dxa"/>
            <w:vAlign w:val="bottom"/>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8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 (cost—$24,650,000)</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$ 24,650,000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Total unrealized depreciation included in earnings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(239,000)</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54,050,000</w:t>
            </w: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Repayments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(30,900,000)</w:t>
            </w: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8520" w:type="dxa"/>
            <w:vAlign w:val="bottom"/>
          </w:tcPr>
          <w:p>
            <w:pPr>
              <w:spacing w:after="0"/>
              <w:rPr>
                <w:sz w:val="20"/>
                <w:szCs w:val="20"/>
                <w:color w:val="auto"/>
              </w:rPr>
            </w:pPr>
            <w:r>
              <w:rPr>
                <w:rFonts w:ascii="Arial" w:cs="Arial" w:eastAsia="Arial" w:hAnsi="Arial"/>
                <w:sz w:val="18"/>
                <w:szCs w:val="18"/>
                <w:color w:val="auto"/>
              </w:rPr>
              <w:t>Ending Balance, March 31, 2012 (cost—$47,800,000)</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$ 47,561,000</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2012, we had a net change in unrealized (appreciation) depreciation of $(0.1) million and $0.2 million, respectively. As of March 31, 2012 and September 30, 2011, the Credit Facility had net unrealized depreciation of $0.2 million and zero, respectively. We use one or more nationally recognized independent valuation service to measure the fair value of the Credit Facility in a manner consistent with the valuation process that the board of directors uses to value investments.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Six Months Ended</w:t>
            </w:r>
          </w:p>
        </w:tc>
      </w:tr>
      <w:tr>
        <w:trPr>
          <w:trHeight w:val="161"/>
        </w:trPr>
        <w:tc>
          <w:tcPr>
            <w:tcW w:w="6140" w:type="dxa"/>
            <w:vAlign w:val="bottom"/>
          </w:tcPr>
          <w:p>
            <w:pPr>
              <w:spacing w:after="0"/>
              <w:rPr>
                <w:sz w:val="20"/>
                <w:szCs w:val="20"/>
                <w:color w:val="auto"/>
              </w:rPr>
            </w:pPr>
            <w:r>
              <w:rPr>
                <w:rFonts w:ascii="Arial" w:cs="Arial" w:eastAsia="Arial" w:hAnsi="Arial"/>
                <w:sz w:val="14"/>
                <w:szCs w:val="14"/>
                <w:b w:val="1"/>
                <w:bCs w:val="1"/>
                <w:color w:val="auto"/>
              </w:rPr>
              <w:t>Class and Year</w:t>
            </w:r>
          </w:p>
        </w:tc>
        <w:tc>
          <w:tcPr>
            <w:tcW w:w="120" w:type="dxa"/>
            <w:vAlign w:val="bottom"/>
          </w:tcPr>
          <w:p>
            <w:pPr>
              <w:spacing w:after="0"/>
              <w:rPr>
                <w:sz w:val="14"/>
                <w:szCs w:val="14"/>
                <w:color w:val="auto"/>
              </w:rPr>
            </w:pPr>
          </w:p>
        </w:tc>
        <w:tc>
          <w:tcPr>
            <w:tcW w:w="216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4"/>
              </w:rPr>
              <w:t>March 31, 2012</w:t>
            </w: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4,525,075</w:t>
            </w:r>
          </w:p>
        </w:tc>
        <w:tc>
          <w:tcPr>
            <w:tcW w:w="10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7,630,240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20" w:type="dxa"/>
            <w:vAlign w:val="bottom"/>
          </w:tcPr>
          <w:p>
            <w:pPr>
              <w:spacing w:after="0"/>
              <w:rPr>
                <w:sz w:val="18"/>
                <w:szCs w:val="18"/>
                <w:color w:val="auto"/>
              </w:rPr>
            </w:pPr>
          </w:p>
        </w:tc>
        <w:tc>
          <w:tcPr>
            <w:tcW w:w="2160" w:type="dxa"/>
            <w:vAlign w:val="bottom"/>
            <w:gridSpan w:val="2"/>
          </w:tcPr>
          <w:p>
            <w:pPr>
              <w:jc w:val="right"/>
              <w:ind w:right="1060"/>
              <w:spacing w:after="0"/>
              <w:rPr>
                <w:sz w:val="20"/>
                <w:szCs w:val="20"/>
                <w:color w:val="auto"/>
              </w:rPr>
            </w:pPr>
            <w:r>
              <w:rPr>
                <w:rFonts w:ascii="Arial" w:cs="Arial" w:eastAsia="Arial" w:hAnsi="Arial"/>
                <w:sz w:val="18"/>
                <w:szCs w:val="18"/>
                <w:color w:val="auto"/>
              </w:rPr>
              <w:t>6,850,667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tcPr>
          <w:p>
            <w:pPr>
              <w:spacing w:after="0"/>
              <w:rPr>
                <w:sz w:val="18"/>
                <w:szCs w:val="18"/>
                <w:color w:val="auto"/>
              </w:rPr>
            </w:pPr>
          </w:p>
        </w:tc>
      </w:tr>
      <w:tr>
        <w:trPr>
          <w:trHeight w:val="208"/>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1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0.66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2012 and September 30, 2011, cash equivalents consisted of $3.8 million and $7.0 million, including amounts in money market funds,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net assets and net asset value per share on March 31, 2012 were $96.7 million and $14.12 per share, respectively. Below are the financial highlights for the six months ended March 31, 2012.</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340" w:type="dxa"/>
            <w:vAlign w:val="bottom"/>
            <w:gridSpan w:val="4"/>
          </w:tcPr>
          <w:p>
            <w:pPr>
              <w:ind w:left="112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March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change in realized and unrealized gain</w:t>
            </w: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6,850,667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96,722,305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3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34,512,568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Average debt per share</w:t>
            </w:r>
          </w:p>
        </w:tc>
        <w:tc>
          <w:tcPr>
            <w:tcW w:w="1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13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right="7740" w:firstLine="8"/>
        <w:spacing w:after="0" w:line="286" w:lineRule="auto"/>
        <w:tabs>
          <w:tab w:leader="none" w:pos="446"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period except for net asset value.</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440" w:hanging="452"/>
        <w:spacing w:after="0" w:line="261" w:lineRule="auto"/>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 June 23, 2011, Funding I entered into a five-year Credit Facility with affiliates of SunTrust Bank, or the Lender, an asset-backed commercial paper conduit administered by SunTrust Robinson Humphrey, Inc. The Credit Facility allows Funding I to borrow up to $100.0 million and contains an accordion feature whereby the Credit Facility can be expanded to $600.0 million, subject to satisfaction of certain conditions. As of March 31, 2012 and September 30, 2011, Funding I had $47.8 million and $24.7 million of outstanding borrowings under the Credit Facility, carried an interest rate of 2.54% and 2.53%, excluding the 0.50% undrawn commitment fee.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Credit Facility’s first three years, or the revolving period, it bears interest at a commercial paper rate that approximates LIBOR plus 225 basis points, and after the revolving period, the rate sets to LIBOR plus 425 basis points for the remaining two years. The Credit Facility is secured by substantially all of the assets of the Company.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required to be used for assets or liabilities for such compliance reporting). As of March 31, 2012, we were in compliance with our covenants relating to our Credit Facility.</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100% of the equity interest in Funding I and will treat the indebtedness of Funding I as our leverage. In accordance with the 1940 Act, with certain limited exceptions, we are only allowed to borrow amounts such that our asset coverage, as defined in the 1940 Act, is at least 200% after such borrowing. Our Investment Adviser serves as collateral manager to Funding I under the Credit Facility. The Investment Adviser has irrevocably directed that all management fees owing with respect to such services are to be paid to the Company so long as the Investment Adviser remains the collateral manager. The Credit Facility documents place restrictions on the Investment Adviser’s ability to sell investments. As a result, there may be times or circumstances during which the Investment Adviser is unable to sell investments or take other actions that may be in our best interests.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interest in Funding I (other than the management fees that the Investment Adviser has irrevocably directed to be paid to us)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546100</wp:posOffset>
            </wp:positionV>
            <wp:extent cx="2461260" cy="5314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3,000,000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551180</wp:posOffset>
            </wp:positionV>
            <wp:extent cx="40563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198755</wp:posOffset>
            </wp:positionV>
            <wp:extent cx="40563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Morgan Stanley</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J.P. Morgan</w:t>
      </w:r>
    </w:p>
    <w:p>
      <w:pPr>
        <w:spacing w:after="0" w:line="71" w:lineRule="exact"/>
        <w:rPr>
          <w:sz w:val="20"/>
          <w:szCs w:val="20"/>
          <w:color w:val="auto"/>
        </w:rPr>
      </w:pPr>
    </w:p>
    <w:p>
      <w:pPr>
        <w:jc w:val="center"/>
        <w:ind w:right="-1240"/>
        <w:spacing w:after="0"/>
        <w:rPr>
          <w:sz w:val="20"/>
          <w:szCs w:val="20"/>
          <w:color w:val="auto"/>
        </w:rPr>
      </w:pPr>
      <w:r>
        <w:rPr>
          <w:rFonts w:ascii="Arial" w:cs="Arial" w:eastAsia="Arial" w:hAnsi="Arial"/>
          <w:sz w:val="22"/>
          <w:szCs w:val="22"/>
          <w:b w:val="1"/>
          <w:bCs w:val="1"/>
          <w:color w:val="auto"/>
        </w:rPr>
        <w:t>Keefe, Bruyette &amp; Woods</w:t>
      </w:r>
    </w:p>
    <w:p>
      <w:pPr>
        <w:spacing w:after="0" w:line="18" w:lineRule="exact"/>
        <w:rPr>
          <w:sz w:val="20"/>
          <w:szCs w:val="20"/>
          <w:color w:val="auto"/>
        </w:rPr>
      </w:pPr>
    </w:p>
    <w:p>
      <w:pPr>
        <w:ind w:left="6380"/>
        <w:spacing w:after="0"/>
        <w:rPr>
          <w:sz w:val="20"/>
          <w:szCs w:val="20"/>
          <w:color w:val="auto"/>
        </w:rPr>
      </w:pPr>
      <w:r>
        <w:rPr>
          <w:rFonts w:ascii="Arial" w:cs="Arial" w:eastAsia="Arial" w:hAnsi="Arial"/>
          <w:sz w:val="14"/>
          <w:szCs w:val="14"/>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March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lowerLetter"/>
      <w:start w:val="1"/>
    </w:lvl>
    <w:lvl w:ilvl="1">
      <w:lvlJc w:val="left"/>
      <w:lvlText w:val="•"/>
      <w:numFmt w:val="bullet"/>
      <w:start w:val="1"/>
    </w:lvl>
  </w:abstractNum>
  <w:abstractNum w:abstractNumId="3">
    <w:nsid w:val="1A32234B"/>
    <w:multiLevelType w:val="hybridMultilevel"/>
    <w:lvl w:ilvl="0">
      <w:lvlJc w:val="left"/>
      <w:lvlText w:val="(%1)"/>
      <w:numFmt w:val="decimal"/>
      <w:start w:val="1"/>
    </w:lvl>
  </w:abstractNum>
  <w:abstractNum w:abstractNumId="4">
    <w:nsid w:val="3B0FD379"/>
    <w:multiLevelType w:val="hybridMultilevel"/>
    <w:lvl w:ilvl="0">
      <w:lvlJc w:val="left"/>
      <w:lvlText w:val="(%1)"/>
      <w:numFmt w:val="decimal"/>
      <w:start w:val="8"/>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1)"/>
      <w:numFmt w:val="decimal"/>
      <w:start w:val="1"/>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1)"/>
      <w:numFmt w:val="decimal"/>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
      <w:numFmt w:val="bullet"/>
      <w:start w:val="1"/>
    </w:lvl>
  </w:abstractNum>
  <w:abstractNum w:abstractNumId="13">
    <w:nsid w:val="100F59DC"/>
    <w:multiLevelType w:val="hybridMultilevel"/>
    <w:lvl w:ilvl="0">
      <w:lvlJc w:val="left"/>
      <w:lvlText w:val="(%1)"/>
      <w:numFmt w:val="decimal"/>
      <w:start w:val="1"/>
    </w:lvl>
  </w:abstractNum>
  <w:abstractNum w:abstractNumId="14">
    <w:nsid w:val="7FB7E0AA"/>
    <w:multiLevelType w:val="hybridMultilevel"/>
    <w:lvl w:ilvl="0">
      <w:lvlJc w:val="left"/>
      <w:lvlText w:val="(%1)"/>
      <w:numFmt w:val="decimal"/>
      <w:start w:val="1"/>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1)"/>
      <w:numFmt w:val="lowerLetter"/>
      <w:start w:val="1"/>
    </w:lvl>
  </w:abstractNum>
  <w:abstractNum w:abstractNumId="19">
    <w:nsid w:val="76272110"/>
    <w:multiLevelType w:val="hybridMultilevel"/>
    <w:lvl w:ilvl="0">
      <w:lvlJc w:val="left"/>
      <w:lvlText w:val="(%1)"/>
      <w:numFmt w:val="decimal"/>
      <w:start w:val="1"/>
    </w:lvl>
  </w:abstractNum>
  <w:abstractNum w:abstractNumId="20">
    <w:nsid w:val="4C04A8AF"/>
    <w:multiLevelType w:val="hybridMultilevel"/>
    <w:lvl w:ilvl="0">
      <w:lvlJc w:val="left"/>
      <w:lvlText w:val="(%1)"/>
      <w:numFmt w:val="decimal"/>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1)"/>
      <w:numFmt w:val="lowerLetter"/>
      <w:start w:val="1"/>
    </w:lvl>
  </w:abstractNum>
  <w:abstractNum w:abstractNumId="23">
    <w:nsid w:val="3222E7CD"/>
    <w:multiLevelType w:val="hybridMultilevel"/>
    <w:lvl w:ilvl="0">
      <w:lvlJc w:val="left"/>
      <w:lvlText w:val="(%1)"/>
      <w:numFmt w:val="decimal"/>
      <w:start w:val="1"/>
    </w:lvl>
  </w:abstractNum>
  <w:abstractNum w:abstractNumId="24">
    <w:nsid w:val="74DE0EE3"/>
    <w:multiLevelType w:val="hybridMultilevel"/>
    <w:lvl w:ilvl="0">
      <w:lvlJc w:val="left"/>
      <w:lvlText w:val="(%1)"/>
      <w:numFmt w:val="decimal"/>
      <w:start w:val="4"/>
    </w:lvl>
  </w:abstractNum>
  <w:abstractNum w:abstractNumId="25">
    <w:nsid w:val="68EBC550"/>
    <w:multiLevelType w:val="hybridMultilevel"/>
    <w:lvl w:ilvl="0">
      <w:lvlJc w:val="left"/>
      <w:lvlText w:val="(%1)"/>
      <w:numFmt w:val="lowerLetter"/>
      <w:start w:val="2"/>
    </w:lvl>
  </w:abstractNum>
  <w:abstractNum w:abstractNumId="26">
    <w:nsid w:val="2DF6D648"/>
    <w:multiLevelType w:val="hybridMultilevel"/>
    <w:lvl w:ilvl="0">
      <w:lvlJc w:val="left"/>
      <w:lvlText w:val="(%1)"/>
      <w:numFmt w:val="lowerLetter"/>
      <w:start w:val="3"/>
    </w:lvl>
  </w:abstractNum>
  <w:abstractNum w:abstractNumId="27">
    <w:nsid w:val="46B7D447"/>
    <w:multiLevelType w:val="hybridMultilevel"/>
    <w:lvl w:ilvl="0">
      <w:lvlJc w:val="left"/>
      <w:lvlText w:val="(%1)"/>
      <w:numFmt w:val="lowerLetter"/>
      <w:start w:val="4"/>
    </w:lvl>
  </w:abstractNum>
  <w:abstractNum w:abstractNumId="28">
    <w:nsid w:val="4A2AC315"/>
    <w:multiLevelType w:val="hybridMultilevel"/>
    <w:lvl w:ilvl="0">
      <w:lvlJc w:val="left"/>
      <w:lvlText w:val="(%1)"/>
      <w:numFmt w:val="lowerLetter"/>
      <w:start w:val="5"/>
    </w:lvl>
  </w:abstractNum>
  <w:abstractNum w:abstractNumId="29">
    <w:nsid w:val="39EE015C"/>
    <w:multiLevelType w:val="hybridMultilevel"/>
    <w:lvl w:ilvl="0">
      <w:lvlJc w:val="left"/>
      <w:lvlText w:val="(%1)"/>
      <w:numFmt w:val="lowerLetter"/>
      <w:start w:val="6"/>
    </w:lvl>
  </w:abstractNum>
  <w:abstractNum w:abstractNumId="30">
    <w:nsid w:val="57FC4FBB"/>
    <w:multiLevelType w:val="hybridMultilevel"/>
    <w:lvl w:ilvl="0">
      <w:lvlJc w:val="left"/>
      <w:lvlText w:val="(%1)"/>
      <w:numFmt w:val="decimal"/>
      <w:start w:val="1"/>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1)"/>
      <w:numFmt w:val="decimal"/>
      <w:start w:val="1"/>
    </w:lvl>
  </w:abstractNum>
  <w:abstractNum w:abstractNumId="34">
    <w:nsid w:val="26F324BA"/>
    <w:multiLevelType w:val="hybridMultilevel"/>
    <w:lvl w:ilvl="0">
      <w:lvlJc w:val="left"/>
      <w:lvlText w:val="(%1)"/>
      <w:numFmt w:val="decimal"/>
      <w:start w:val="1"/>
    </w:lvl>
  </w:abstractNum>
  <w:abstractNum w:abstractNumId="35">
    <w:nsid w:val="7F01579B"/>
    <w:multiLevelType w:val="hybridMultilevel"/>
    <w:lvl w:ilvl="0">
      <w:lvlJc w:val="left"/>
      <w:lvlText w:val="(%1)"/>
      <w:numFmt w:val="decimal"/>
      <w:start w:val="1"/>
    </w:lvl>
  </w:abstractNum>
  <w:abstractNum w:abstractNumId="36">
    <w:nsid w:val="49DA307D"/>
    <w:multiLevelType w:val="hybridMultilevel"/>
    <w:lvl w:ilvl="0">
      <w:lvlJc w:val="left"/>
      <w:lvlText w:val="(%1)"/>
      <w:numFmt w:val="lowerLetter"/>
      <w:start w:val="1"/>
    </w:lvl>
  </w:abstractNum>
  <w:abstractNum w:abstractNumId="37">
    <w:nsid w:val="7055A5F5"/>
    <w:multiLevelType w:val="hybridMultilevel"/>
    <w:lvl w:ilvl="0">
      <w:lvlJc w:val="left"/>
      <w:lvlText w:val="(%1)"/>
      <w:numFmt w:val="decimal"/>
      <w:start w:val="1"/>
    </w:lvl>
  </w:abstractNum>
  <w:abstractNum w:abstractNumId="38">
    <w:nsid w:val="5FB8370B"/>
    <w:multiLevelType w:val="hybridMultilevel"/>
    <w:lvl w:ilvl="0">
      <w:lvlJc w:val="left"/>
      <w:lvlText w:val="(%1)"/>
      <w:numFmt w:val="decimal"/>
      <w:start w:val="4"/>
    </w:lvl>
    <w:lvl w:ilvl="1">
      <w:lvlJc w:val="left"/>
      <w:lvlText w:val="(%2)"/>
      <w:numFmt w:val="lowerLetter"/>
      <w:start w:val="2"/>
    </w:lvl>
  </w:abstractNum>
  <w:abstractNum w:abstractNumId="39">
    <w:nsid w:val="50801EE1"/>
    <w:multiLevelType w:val="hybridMultilevel"/>
    <w:lvl w:ilvl="0">
      <w:lvlJc w:val="left"/>
      <w:lvlText w:val="(%1)"/>
      <w:numFmt w:val="lowerLetter"/>
      <w:start w:val="3"/>
    </w:lvl>
  </w:abstractNum>
  <w:abstractNum w:abstractNumId="40">
    <w:nsid w:val="488AC1A"/>
    <w:multiLevelType w:val="hybridMultilevel"/>
    <w:lvl w:ilvl="0">
      <w:lvlJc w:val="left"/>
      <w:lvlText w:val="(%1)"/>
      <w:numFmt w:val="lowerLetter"/>
      <w:start w:val="4"/>
    </w:lvl>
  </w:abstractNum>
  <w:abstractNum w:abstractNumId="41">
    <w:nsid w:val="5FB8011C"/>
    <w:multiLevelType w:val="hybridMultilevel"/>
    <w:lvl w:ilvl="0">
      <w:lvlJc w:val="left"/>
      <w:lvlText w:val="(%1)"/>
      <w:numFmt w:val="lowerLetter"/>
      <w:start w:val="5"/>
    </w:lvl>
  </w:abstractNum>
  <w:abstractNum w:abstractNumId="42">
    <w:nsid w:val="6AA78F7F"/>
    <w:multiLevelType w:val="hybridMultilevel"/>
    <w:lvl w:ilvl="0">
      <w:lvlJc w:val="left"/>
      <w:lvlText w:val="(%1)"/>
      <w:numFmt w:val="lowerLetter"/>
      <w:start w:val="6"/>
    </w:lvl>
  </w:abstractNum>
  <w:abstractNum w:abstractNumId="43">
    <w:nsid w:val="7672BD23"/>
    <w:multiLevelType w:val="hybridMultilevel"/>
    <w:lvl w:ilvl="0">
      <w:lvlJc w:val="left"/>
      <w:lvlText w:val="(%1)"/>
      <w:numFmt w:val="decimal"/>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1)"/>
      <w:numFmt w:val="decimal"/>
      <w:start w:val="1"/>
    </w:lvl>
  </w:abstractNum>
  <w:abstractNum w:abstractNumId="46">
    <w:nsid w:val="7D5E18F8"/>
    <w:multiLevelType w:val="hybridMultilevel"/>
    <w:lvl w:ilvl="0">
      <w:lvlJc w:val="left"/>
      <w:lvlText w:val="(%1)"/>
      <w:numFmt w:val="decimal"/>
      <w:start w:val="7"/>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1)"/>
      <w:numFmt w:val="decimal"/>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1)"/>
      <w:numFmt w:val="decimal"/>
      <w:start w:val="1"/>
    </w:lvl>
  </w:abstractNum>
  <w:abstractNum w:abstractNumId="58">
    <w:nsid w:val="5092CA79"/>
    <w:multiLevelType w:val="hybridMultilevel"/>
    <w:lvl w:ilvl="0">
      <w:lvlJc w:val="left"/>
      <w:lvlText w:val="•"/>
      <w:numFmt w:val="bullet"/>
      <w:start w:val="1"/>
    </w:lvl>
  </w:abstractNum>
  <w:abstractNum w:abstractNumId="59">
    <w:nsid w:val="1D545C4D"/>
    <w:multiLevelType w:val="hybridMultilevel"/>
    <w:lvl w:ilvl="0">
      <w:lvlJc w:val="left"/>
      <w:lvlText w:val="•"/>
      <w:numFmt w:val="bullet"/>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1)"/>
      <w:numFmt w:val="decimal"/>
      <w:start w:val="3"/>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1)"/>
      <w:numFmt w:val="decimal"/>
      <w:start w:val="1"/>
    </w:lvl>
  </w:abstractNum>
  <w:abstractNum w:abstractNumId="65">
    <w:nsid w:val="51088277"/>
    <w:multiLevelType w:val="hybridMultilevel"/>
    <w:lvl w:ilvl="0">
      <w:lvlJc w:val="left"/>
      <w:lvlText w:val="(%1)"/>
      <w:numFmt w:val="decimal"/>
      <w:start w:val="1"/>
    </w:lvl>
  </w:abstractNum>
  <w:abstractNum w:abstractNumId="66">
    <w:nsid w:val="1CA0C5FA"/>
    <w:multiLevelType w:val="hybridMultilevel"/>
    <w:lvl w:ilvl="0">
      <w:lvlJc w:val="left"/>
      <w:lvlText w:val="•"/>
      <w:numFmt w:val="bullet"/>
      <w:start w:val="1"/>
    </w:lvl>
  </w:abstractNum>
  <w:abstractNum w:abstractNumId="67">
    <w:nsid w:val="53584BCB"/>
    <w:multiLevelType w:val="hybridMultilevel"/>
    <w:lvl w:ilvl="0">
      <w:lvlJc w:val="left"/>
      <w:lvlText w:val="•"/>
      <w:numFmt w:val="bullet"/>
      <w:start w:val="1"/>
    </w:lvl>
  </w:abstractNum>
  <w:abstractNum w:abstractNumId="68">
    <w:nsid w:val="415E286C"/>
    <w:multiLevelType w:val="hybridMultilevel"/>
    <w:lvl w:ilvl="0">
      <w:lvlJc w:val="left"/>
      <w:lvlText w:val="(%1)"/>
      <w:numFmt w:val="decimal"/>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1)"/>
      <w:numFmt w:val="lowerLetter"/>
      <w:start w:val="2"/>
    </w:lvl>
    <w:lvl w:ilvl="1">
      <w:lvlJc w:val="left"/>
      <w:lvlText w:val="•"/>
      <w:numFmt w:val="bullet"/>
      <w:start w:val="1"/>
    </w:lvl>
  </w:abstractNum>
  <w:abstractNum w:abstractNumId="71">
    <w:nsid w:val="45E6D486"/>
    <w:multiLevelType w:val="hybridMultilevel"/>
    <w:lvl w:ilvl="0">
      <w:lvlJc w:val="left"/>
      <w:lvlText w:val="•"/>
      <w:numFmt w:val="bullet"/>
      <w:start w:val="1"/>
    </w:lvl>
  </w:abstractNum>
  <w:abstractNum w:abstractNumId="72">
    <w:nsid w:val="5C10FE21"/>
    <w:multiLevelType w:val="hybridMultilevel"/>
    <w:lvl w:ilvl="0">
      <w:lvlJc w:val="left"/>
      <w:lvlText w:val="•"/>
      <w:numFmt w:val="bullet"/>
      <w:start w:val="1"/>
    </w:lvl>
  </w:abstractNum>
  <w:abstractNum w:abstractNumId="73">
    <w:nsid w:val="E7FFA2B"/>
    <w:multiLevelType w:val="hybridMultilevel"/>
    <w:lvl w:ilvl="0">
      <w:lvlJc w:val="left"/>
      <w:lvlText w:val="•"/>
      <w:numFmt w:val="bullet"/>
      <w:start w:val="1"/>
    </w:lvl>
  </w:abstractNum>
  <w:abstractNum w:abstractNumId="74">
    <w:nsid w:val="3C5991AA"/>
    <w:multiLevelType w:val="hybridMultilevel"/>
    <w:lvl w:ilvl="0">
      <w:lvlJc w:val="left"/>
      <w:lvlText w:val="•"/>
      <w:numFmt w:val="bullet"/>
      <w:start w:val="1"/>
    </w:lvl>
  </w:abstractNum>
  <w:abstractNum w:abstractNumId="75">
    <w:nsid w:val="4BD8591A"/>
    <w:multiLevelType w:val="hybridMultilevel"/>
    <w:lvl w:ilvl="0">
      <w:lvlJc w:val="left"/>
      <w:lvlText w:val="•"/>
      <w:numFmt w:val="bullet"/>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1)"/>
      <w:numFmt w:val="decimal"/>
      <w:start w:val="1"/>
    </w:lvl>
  </w:abstractNum>
  <w:abstractNum w:abstractNumId="79">
    <w:nsid w:val="6C80EC70"/>
    <w:multiLevelType w:val="hybridMultilevel"/>
    <w:lvl w:ilvl="0">
      <w:lvlJc w:val="left"/>
      <w:lvlText w:val="(%1)"/>
      <w:numFmt w:val="decimal"/>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1)"/>
      <w:numFmt w:val="decimal"/>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1)"/>
      <w:numFmt w:val="decimal"/>
      <w:start w:val="1"/>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1)"/>
      <w:numFmt w:val="decimal"/>
      <w:start w:val="2"/>
    </w:lvl>
  </w:abstractNum>
  <w:abstractNum w:abstractNumId="86">
    <w:nsid w:val="5675FF36"/>
    <w:multiLevelType w:val="hybridMultilevel"/>
    <w:lvl w:ilvl="0">
      <w:lvlJc w:val="left"/>
      <w:lvlText w:val="="/>
      <w:numFmt w:val="bullet"/>
      <w:start w:val="1"/>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1)"/>
      <w:numFmt w:val="decimal"/>
      <w:start w:val="1"/>
    </w:lvl>
  </w:abstractNum>
  <w:abstractNum w:abstractNumId="89">
    <w:nsid w:val="2708C9AF"/>
    <w:multiLevelType w:val="hybridMultilevel"/>
    <w:lvl w:ilvl="0">
      <w:lvlJc w:val="left"/>
      <w:lvlText w:val="(%1)"/>
      <w:numFmt w:val="decimal"/>
      <w:start w:val="1"/>
    </w:lvl>
  </w:abstractNum>
  <w:abstractNum w:abstractNumId="90">
    <w:nsid w:val="5B25ACE2"/>
    <w:multiLevelType w:val="hybridMultilevel"/>
    <w:lvl w:ilvl="0">
      <w:lvlJc w:val="left"/>
      <w:lvlText w:val="(%1)"/>
      <w:numFmt w:val="decimal"/>
      <w:start w:val="1"/>
    </w:lvl>
  </w:abstractNum>
  <w:abstractNum w:abstractNumId="91">
    <w:nsid w:val="175DFCF0"/>
    <w:multiLevelType w:val="hybridMultilevel"/>
    <w:lvl w:ilvl="0">
      <w:lvlJc w:val="left"/>
      <w:lvlText w:val="•"/>
      <w:numFmt w:val="bullet"/>
      <w:start w:val="1"/>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
      <w:numFmt w:val="bullet"/>
      <w:start w:val="1"/>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
      <w:numFmt w:val="bullet"/>
      <w:start w:val="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
      <w:numFmt w:val="bullet"/>
      <w:start w:val="1"/>
    </w:lvl>
  </w:abstractNum>
  <w:abstractNum w:abstractNumId="103">
    <w:nsid w:val="2A082C70"/>
    <w:multiLevelType w:val="hybridMultilevel"/>
    <w:lvl w:ilvl="0">
      <w:lvlJc w:val="left"/>
      <w:lvlText w:val="•"/>
      <w:numFmt w:val="bullet"/>
      <w:start w:val="1"/>
    </w:lvl>
  </w:abstractNum>
  <w:abstractNum w:abstractNumId="104">
    <w:nsid w:val="5EC6AFD4"/>
    <w:multiLevelType w:val="hybridMultilevel"/>
    <w:lvl w:ilvl="0">
      <w:lvlJc w:val="left"/>
      <w:lvlText w:val="•"/>
      <w:numFmt w:val="bullet"/>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
      <w:numFmt w:val="bullet"/>
      <w:start w:val="1"/>
    </w:lvl>
  </w:abstractNum>
  <w:abstractNum w:abstractNumId="108">
    <w:nsid w:val="5399C654"/>
    <w:multiLevelType w:val="hybridMultilevel"/>
    <w:lvl w:ilvl="0">
      <w:lvlJc w:val="left"/>
      <w:lvlText w:val="•"/>
      <w:numFmt w:val="bullet"/>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
      <w:numFmt w:val="bullet"/>
      <w:start w:val="1"/>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
      <w:numFmt w:val="bullet"/>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1)"/>
      <w:numFmt w:val="decimal"/>
      <w:start w:val="1"/>
    </w:lvl>
    <w:lvl w:ilvl="1">
      <w:lvlJc w:val="left"/>
      <w:lvlText w:val="(%2)"/>
      <w:numFmt w:val="lowerLetter"/>
      <w:start w:val="1"/>
    </w:lvl>
  </w:abstractNum>
  <w:abstractNum w:abstractNumId="119">
    <w:nsid w:val="4BEE5A5B"/>
    <w:multiLevelType w:val="hybridMultilevel"/>
    <w:lvl w:ilvl="0">
      <w:lvlJc w:val="left"/>
      <w:lvlText w:val="(%1)"/>
      <w:numFmt w:val="decimal"/>
      <w:start w:val="4"/>
    </w:lvl>
  </w:abstractNum>
  <w:abstractNum w:abstractNumId="120">
    <w:nsid w:val="5551B9F3"/>
    <w:multiLevelType w:val="hybridMultilevel"/>
    <w:lvl w:ilvl="0">
      <w:lvlJc w:val="left"/>
      <w:lvlText w:val="•"/>
      <w:numFmt w:val="bullet"/>
      <w:start w:val="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1)"/>
      <w:numFmt w:val="decimal"/>
      <w:start w:val="1"/>
    </w:lvl>
  </w:abstractNum>
  <w:abstractNum w:abstractNumId="124">
    <w:nsid w:val="2A31B62D"/>
    <w:multiLevelType w:val="hybridMultilevel"/>
    <w:lvl w:ilvl="0">
      <w:lvlJc w:val="left"/>
      <w:lvlText w:val="•"/>
      <w:numFmt w:val="bullet"/>
      <w:start w:val="1"/>
    </w:lvl>
    <w:lvl w:ilvl="1">
      <w:lvlJc w:val="left"/>
      <w:lvlText w:val="%2)"/>
      <w:numFmt w:val="decimal"/>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1)"/>
      <w:numFmt w:val="decimal"/>
      <w:start w:val="1"/>
    </w:lvl>
  </w:abstractNum>
  <w:abstractNum w:abstractNumId="130">
    <w:nsid w:val="1816F8C4"/>
    <w:multiLevelType w:val="hybridMultilevel"/>
    <w:lvl w:ilvl="0">
      <w:lvlJc w:val="left"/>
      <w:lvlText w:val="(%1)"/>
      <w:numFmt w:val="lowerLetter"/>
      <w:start w:val="1"/>
    </w:lvl>
  </w:abstractNum>
  <w:abstractNum w:abstractNumId="131">
    <w:nsid w:val="37DF2233"/>
    <w:multiLevelType w:val="hybridMultilevel"/>
    <w:lvl w:ilvl="0">
      <w:lvlJc w:val="left"/>
      <w:lvlText w:val="(%1)"/>
      <w:numFmt w:val="decimal"/>
      <w:start w:val="1"/>
    </w:lvl>
  </w:abstractNum>
  <w:abstractNum w:abstractNumId="132">
    <w:nsid w:val="7AB49DAF"/>
    <w:multiLevelType w:val="hybridMultilevel"/>
    <w:lvl w:ilvl="0">
      <w:lvlJc w:val="left"/>
      <w:lvlText w:val="(%1)"/>
      <w:numFmt w:val="decimal"/>
      <w:start w:val="3"/>
    </w:lvl>
    <w:lvl w:ilvl="1">
      <w:lvlJc w:val="left"/>
      <w:lvlText w:val="(%2)"/>
      <w:numFmt w:val="lowerLetter"/>
      <w:start w:val="2"/>
    </w:lvl>
  </w:abstractNum>
  <w:abstractNum w:abstractNumId="133">
    <w:nsid w:val="759F82CD"/>
    <w:multiLevelType w:val="hybridMultilevel"/>
    <w:lvl w:ilvl="0">
      <w:lvlJc w:val="left"/>
      <w:lvlText w:val="(%1)"/>
      <w:numFmt w:val="lowerLetter"/>
      <w:start w:val="3"/>
    </w:lvl>
  </w:abstractNum>
  <w:abstractNum w:abstractNumId="134">
    <w:nsid w:val="61E74EA3"/>
    <w:multiLevelType w:val="hybridMultilevel"/>
    <w:lvl w:ilvl="0">
      <w:lvlJc w:val="left"/>
      <w:lvlText w:val="(%1)"/>
      <w:numFmt w:val="lowerLetter"/>
      <w:start w:val="4"/>
    </w:lvl>
  </w:abstractNum>
  <w:abstractNum w:abstractNumId="135">
    <w:nsid w:val="597B4D84"/>
    <w:multiLevelType w:val="hybridMultilevel"/>
    <w:lvl w:ilvl="0">
      <w:lvlJc w:val="left"/>
      <w:lvlText w:val="(%1)"/>
      <w:numFmt w:val="lowerLetter"/>
      <w:start w:val="5"/>
    </w:lvl>
  </w:abstractNum>
  <w:abstractNum w:abstractNumId="136">
    <w:nsid w:val="F819E7F"/>
    <w:multiLevelType w:val="hybridMultilevel"/>
    <w:lvl w:ilvl="0">
      <w:lvlJc w:val="left"/>
      <w:lvlText w:val="(%1)"/>
      <w:numFmt w:val="lowerLetter"/>
      <w:start w:val="6"/>
    </w:lvl>
  </w:abstractNum>
  <w:abstractNum w:abstractNumId="137">
    <w:nsid w:val="57C7D42D"/>
    <w:multiLevelType w:val="hybridMultilevel"/>
    <w:lvl w:ilvl="0">
      <w:lvlJc w:val="left"/>
      <w:lvlText w:val="*"/>
      <w:numFmt w:val="bullet"/>
      <w:start w:val="1"/>
    </w:lvl>
  </w:abstractNum>
  <w:abstractNum w:abstractNumId="138">
    <w:nsid w:val="312167AD"/>
    <w:multiLevelType w:val="hybridMultilevel"/>
    <w:lvl w:ilvl="0">
      <w:lvlJc w:val="left"/>
      <w:lvlText w:val="**"/>
      <w:numFmt w:val="bullet"/>
      <w:start w:val="1"/>
    </w:lvl>
  </w:abstractNum>
  <w:abstractNum w:abstractNumId="139">
    <w:nsid w:val="631B64D4"/>
    <w:multiLevelType w:val="hybridMultilevel"/>
    <w:lvl w:ilvl="0">
      <w:lvlJc w:val="left"/>
      <w:lvlText w:val="(%1)"/>
      <w:numFmt w:val="decimal"/>
      <w:start w:val="1"/>
    </w:lvl>
  </w:abstractNum>
  <w:abstractNum w:abstractNumId="140">
    <w:nsid w:val="78B5E776"/>
    <w:multiLevelType w:val="hybridMultilevel"/>
    <w:lvl w:ilvl="0">
      <w:lvlJc w:val="left"/>
      <w:lvlText w:val="$"/>
      <w:numFmt w:val="bullet"/>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1)"/>
      <w:numFmt w:val="decimal"/>
      <w:start w:val="1"/>
    </w:lvl>
  </w:abstractNum>
  <w:abstractNum w:abstractNumId="143">
    <w:nsid w:val="1A0DDE32"/>
    <w:multiLevelType w:val="hybridMultilevel"/>
    <w:lvl w:ilvl="0">
      <w:lvlJc w:val="left"/>
      <w:lvlText w:val="(%1)"/>
      <w:numFmt w:val="decimal"/>
      <w:start w:val="5"/>
    </w:lvl>
  </w:abstractNum>
  <w:abstractNum w:abstractNumId="144">
    <w:nsid w:val="65968C1C"/>
    <w:multiLevelType w:val="hybridMultilevel"/>
    <w:lvl w:ilvl="0">
      <w:lvlJc w:val="left"/>
      <w:lvlText w:val="(%1)"/>
      <w:numFmt w:val="lowerLetter"/>
      <w:start w:val="1"/>
    </w:lvl>
  </w:abstractNum>
  <w:abstractNum w:abstractNumId="145">
    <w:nsid w:val="46263DEC"/>
    <w:multiLevelType w:val="hybridMultilevel"/>
    <w:lvl w:ilvl="0">
      <w:lvlJc w:val="left"/>
      <w:lvlText w:val="(%1)"/>
      <w:numFmt w:val="decimal"/>
      <w:start w:val="1"/>
    </w:lvl>
  </w:abstractNum>
  <w:abstractNum w:abstractNumId="146">
    <w:nsid w:val="260D8C4A"/>
    <w:multiLevelType w:val="hybridMultilevel"/>
    <w:lvl w:ilvl="0">
      <w:lvlJc w:val="left"/>
      <w:lvlText w:val="(%1)"/>
      <w:numFmt w:val="decimal"/>
      <w:start w:val="4"/>
    </w:lvl>
  </w:abstractNum>
  <w:abstractNum w:abstractNumId="147">
    <w:nsid w:val="73D4D3C4"/>
    <w:multiLevelType w:val="hybridMultilevel"/>
    <w:lvl w:ilvl="0">
      <w:lvlJc w:val="left"/>
      <w:lvlText w:val="(%1)"/>
      <w:numFmt w:val="lowerLetter"/>
      <w:start w:val="2"/>
    </w:lvl>
  </w:abstractNum>
  <w:abstractNum w:abstractNumId="148">
    <w:nsid w:val="746F2E30"/>
    <w:multiLevelType w:val="hybridMultilevel"/>
    <w:lvl w:ilvl="0">
      <w:lvlJc w:val="left"/>
      <w:lvlText w:val="(%1)"/>
      <w:numFmt w:val="lowerLetter"/>
      <w:start w:val="3"/>
    </w:lvl>
  </w:abstractNum>
  <w:abstractNum w:abstractNumId="149">
    <w:nsid w:val="6FDE8AF6"/>
    <w:multiLevelType w:val="hybridMultilevel"/>
    <w:lvl w:ilvl="0">
      <w:lvlJc w:val="left"/>
      <w:lvlText w:val="(%1)"/>
      <w:numFmt w:val="lowerLetter"/>
      <w:start w:val="4"/>
    </w:lvl>
  </w:abstractNum>
  <w:abstractNum w:abstractNumId="150">
    <w:nsid w:val="3FC32E20"/>
    <w:multiLevelType w:val="hybridMultilevel"/>
    <w:lvl w:ilvl="0">
      <w:lvlJc w:val="left"/>
      <w:lvlText w:val="(%1)"/>
      <w:numFmt w:val="lowerLetter"/>
      <w:start w:val="5"/>
    </w:lvl>
  </w:abstractNum>
  <w:abstractNum w:abstractNumId="151">
    <w:nsid w:val="49C0E823"/>
    <w:multiLevelType w:val="hybridMultilevel"/>
    <w:lvl w:ilvl="0">
      <w:lvlJc w:val="left"/>
      <w:lvlText w:val="(%1)"/>
      <w:numFmt w:val="lowerLetter"/>
      <w:start w:val="7"/>
    </w:lvl>
  </w:abstractNum>
  <w:abstractNum w:abstractNumId="152">
    <w:nsid w:val="14D53685"/>
    <w:multiLevelType w:val="hybridMultilevel"/>
    <w:lvl w:ilvl="0">
      <w:lvlJc w:val="left"/>
      <w:lvlText w:val="*"/>
      <w:numFmt w:val="bullet"/>
      <w:start w:val="1"/>
    </w:lvl>
  </w:abstractNum>
  <w:abstractNum w:abstractNumId="153">
    <w:nsid w:val="230F856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2019-12-07T22:39:50Z</dcterms:created>
  <dcterms:modified xsi:type="dcterms:W3CDTF">2019-12-07T22:39:50Z</dcterms:modified>
</cp:coreProperties>
</file>