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September 7, 2018</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13e-4(c) under the Exchange Act (17 CFR 240.13e-4(c))</w:t>
            </w: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September 7, 2018, PennantPark Floating Rate Capital Ltd. issued a press release announcing its monthly distributions.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September 7,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4940" w:type="dxa"/>
            <w:vAlign w:val="bottom"/>
            <w:gridSpan w:val="3"/>
          </w:tcPr>
          <w:p>
            <w:pPr>
              <w:ind w:left="184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620" w:type="dxa"/>
            <w:vAlign w:val="bottom"/>
          </w:tcPr>
          <w:p>
            <w:pPr>
              <w:spacing w:after="0"/>
              <w:rPr>
                <w:sz w:val="20"/>
                <w:szCs w:val="20"/>
                <w:color w:val="auto"/>
              </w:rPr>
            </w:pPr>
            <w:r>
              <w:rPr>
                <w:rFonts w:ascii="Arial" w:cs="Arial" w:eastAsia="Arial" w:hAnsi="Arial"/>
                <w:sz w:val="18"/>
                <w:szCs w:val="18"/>
                <w:color w:val="auto"/>
              </w:rPr>
              <w:t>Date: September 7, 2018</w:t>
            </w:r>
          </w:p>
        </w:tc>
        <w:tc>
          <w:tcPr>
            <w:tcW w:w="4940" w:type="dxa"/>
            <w:vAlign w:val="bottom"/>
            <w:gridSpan w:val="3"/>
          </w:tcPr>
          <w:p>
            <w:pPr>
              <w:ind w:left="1840"/>
              <w:spacing w:after="0"/>
              <w:rPr>
                <w:sz w:val="20"/>
                <w:szCs w:val="20"/>
                <w:color w:val="auto"/>
              </w:rPr>
            </w:pPr>
            <w:r>
              <w:rPr>
                <w:rFonts w:ascii="Arial" w:cs="Arial" w:eastAsia="Arial" w:hAnsi="Arial"/>
                <w:sz w:val="18"/>
                <w:szCs w:val="18"/>
                <w:color w:val="auto"/>
              </w:rPr>
              <w:t>By: /s/ Aviv Efrat</w:t>
            </w:r>
          </w:p>
        </w:tc>
      </w:tr>
      <w:tr>
        <w:trPr>
          <w:trHeight w:val="222"/>
        </w:trPr>
        <w:tc>
          <w:tcPr>
            <w:tcW w:w="3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Distributions of $0.095 per Share</w:t>
      </w:r>
    </w:p>
    <w:p>
      <w:pPr>
        <w:spacing w:after="0" w:line="212"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NEW YORK, Sept. 07, 2018 (GLOBE NEWSWIRE) -- PennantPark Floating Rate Capital Ltd. (the "Company") (NASDAQ: PFLT) (TASE: PFLT) declares its monthly distributions for September 2018 of $0.095 per share, payable on October 2, 2018 to stockholders of record as detailed below.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28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w w:val="92"/>
              </w:rPr>
              <w:t>Record Date</w:t>
            </w:r>
          </w:p>
        </w:tc>
        <w:tc>
          <w:tcPr>
            <w:tcW w:w="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5"/>
              </w:rPr>
              <w:t>Percentage</w:t>
            </w:r>
          </w:p>
        </w:tc>
        <w:tc>
          <w:tcPr>
            <w:tcW w:w="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Amount</w:t>
            </w:r>
          </w:p>
        </w:tc>
        <w:tc>
          <w:tcPr>
            <w:tcW w:w="8220" w:type="dxa"/>
            <w:vAlign w:val="bottom"/>
            <w:tcBorders>
              <w:top w:val="single" w:sz="8" w:color="auto"/>
              <w:bottom w:val="single" w:sz="8" w:color="auto"/>
              <w:right w:val="single" w:sz="8" w:color="auto"/>
            </w:tcBorders>
          </w:tcPr>
          <w:p>
            <w:pPr>
              <w:ind w:left="3600"/>
              <w:spacing w:after="0"/>
              <w:rPr>
                <w:sz w:val="20"/>
                <w:szCs w:val="20"/>
                <w:color w:val="auto"/>
              </w:rPr>
            </w:pPr>
            <w:r>
              <w:rPr>
                <w:rFonts w:ascii="Arial" w:cs="Arial" w:eastAsia="Arial" w:hAnsi="Arial"/>
                <w:sz w:val="22"/>
                <w:szCs w:val="22"/>
                <w:color w:val="auto"/>
              </w:rPr>
              <w:t>Description</w:t>
            </w:r>
          </w:p>
        </w:tc>
      </w:tr>
      <w:tr>
        <w:trPr>
          <w:trHeight w:val="229"/>
        </w:trPr>
        <w:tc>
          <w:tcPr>
            <w:tcW w:w="128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22"/>
                <w:szCs w:val="22"/>
                <w:color w:val="auto"/>
              </w:rPr>
              <w:t>September</w:t>
            </w:r>
          </w:p>
        </w:tc>
        <w:tc>
          <w:tcPr>
            <w:tcW w:w="980" w:type="dxa"/>
            <w:vAlign w:val="bottom"/>
            <w:tcBorders>
              <w:right w:val="single" w:sz="8" w:color="auto"/>
            </w:tcBorders>
          </w:tcPr>
          <w:p>
            <w:pPr>
              <w:jc w:val="center"/>
              <w:spacing w:after="0" w:line="228" w:lineRule="exact"/>
              <w:rPr>
                <w:sz w:val="20"/>
                <w:szCs w:val="20"/>
                <w:color w:val="auto"/>
              </w:rPr>
            </w:pPr>
            <w:r>
              <w:rPr>
                <w:rFonts w:ascii="Arial" w:cs="Arial" w:eastAsia="Arial" w:hAnsi="Arial"/>
                <w:sz w:val="22"/>
                <w:szCs w:val="22"/>
                <w:color w:val="auto"/>
                <w:w w:val="90"/>
              </w:rPr>
              <w:t>82%</w:t>
            </w:r>
          </w:p>
        </w:tc>
        <w:tc>
          <w:tcPr>
            <w:tcW w:w="760" w:type="dxa"/>
            <w:vAlign w:val="bottom"/>
            <w:tcBorders>
              <w:right w:val="single" w:sz="8" w:color="auto"/>
            </w:tcBorders>
          </w:tcPr>
          <w:p>
            <w:pPr>
              <w:jc w:val="center"/>
              <w:spacing w:after="0" w:line="228" w:lineRule="exact"/>
              <w:rPr>
                <w:sz w:val="20"/>
                <w:szCs w:val="20"/>
                <w:color w:val="auto"/>
              </w:rPr>
            </w:pPr>
            <w:r>
              <w:rPr>
                <w:rFonts w:ascii="Arial" w:cs="Arial" w:eastAsia="Arial" w:hAnsi="Arial"/>
                <w:sz w:val="22"/>
                <w:szCs w:val="22"/>
                <w:color w:val="auto"/>
                <w:w w:val="89"/>
              </w:rPr>
              <w:t>$0.078</w:t>
            </w:r>
          </w:p>
        </w:tc>
        <w:tc>
          <w:tcPr>
            <w:tcW w:w="8220" w:type="dxa"/>
            <w:vAlign w:val="bottom"/>
            <w:tcBorders>
              <w:right w:val="single" w:sz="8" w:color="auto"/>
            </w:tcBorders>
          </w:tcPr>
          <w:p>
            <w:pPr>
              <w:ind w:left="20"/>
              <w:spacing w:after="0" w:line="228" w:lineRule="exact"/>
              <w:rPr>
                <w:sz w:val="20"/>
                <w:szCs w:val="20"/>
                <w:color w:val="auto"/>
              </w:rPr>
            </w:pPr>
            <w:r>
              <w:rPr>
                <w:rFonts w:ascii="Arial" w:cs="Arial" w:eastAsia="Arial" w:hAnsi="Arial"/>
                <w:sz w:val="22"/>
                <w:szCs w:val="22"/>
                <w:color w:val="auto"/>
                <w:w w:val="94"/>
              </w:rPr>
              <w:t>Distribution has been identified by the Company as an interest-related dividend generally</w:t>
            </w:r>
          </w:p>
        </w:tc>
      </w:tr>
      <w:tr>
        <w:trPr>
          <w:trHeight w:val="276"/>
        </w:trPr>
        <w:tc>
          <w:tcPr>
            <w:tcW w:w="1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17, 2018</w:t>
            </w:r>
          </w:p>
        </w:tc>
        <w:tc>
          <w:tcPr>
            <w:tcW w:w="9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exempt from U.S. Nonresident withholding tax.</w:t>
            </w:r>
          </w:p>
        </w:tc>
      </w:tr>
      <w:tr>
        <w:trPr>
          <w:trHeight w:val="230"/>
        </w:trPr>
        <w:tc>
          <w:tcPr>
            <w:tcW w:w="1280" w:type="dxa"/>
            <w:vAlign w:val="bottom"/>
            <w:tcBorders>
              <w:left w:val="single" w:sz="8" w:color="auto"/>
              <w:right w:val="single" w:sz="8" w:color="auto"/>
            </w:tcBorders>
          </w:tcPr>
          <w:p>
            <w:pPr>
              <w:ind w:left="40"/>
              <w:spacing w:after="0" w:line="230" w:lineRule="exact"/>
              <w:rPr>
                <w:sz w:val="20"/>
                <w:szCs w:val="20"/>
                <w:color w:val="auto"/>
              </w:rPr>
            </w:pPr>
            <w:r>
              <w:rPr>
                <w:rFonts w:ascii="Arial" w:cs="Arial" w:eastAsia="Arial" w:hAnsi="Arial"/>
                <w:sz w:val="22"/>
                <w:szCs w:val="22"/>
                <w:color w:val="auto"/>
              </w:rPr>
              <w:t>September</w:t>
            </w:r>
          </w:p>
        </w:tc>
        <w:tc>
          <w:tcPr>
            <w:tcW w:w="980" w:type="dxa"/>
            <w:vAlign w:val="bottom"/>
            <w:tcBorders>
              <w:right w:val="single" w:sz="8" w:color="auto"/>
            </w:tcBorders>
          </w:tcPr>
          <w:p>
            <w:pPr>
              <w:jc w:val="center"/>
              <w:spacing w:after="0" w:line="230" w:lineRule="exact"/>
              <w:rPr>
                <w:sz w:val="20"/>
                <w:szCs w:val="20"/>
                <w:color w:val="auto"/>
              </w:rPr>
            </w:pPr>
            <w:r>
              <w:rPr>
                <w:rFonts w:ascii="Arial" w:cs="Arial" w:eastAsia="Arial" w:hAnsi="Arial"/>
                <w:sz w:val="22"/>
                <w:szCs w:val="22"/>
                <w:color w:val="auto"/>
                <w:w w:val="90"/>
              </w:rPr>
              <w:t>18%</w:t>
            </w:r>
          </w:p>
        </w:tc>
        <w:tc>
          <w:tcPr>
            <w:tcW w:w="760" w:type="dxa"/>
            <w:vAlign w:val="bottom"/>
            <w:tcBorders>
              <w:right w:val="single" w:sz="8" w:color="auto"/>
            </w:tcBorders>
          </w:tcPr>
          <w:p>
            <w:pPr>
              <w:jc w:val="center"/>
              <w:spacing w:after="0" w:line="230" w:lineRule="exact"/>
              <w:rPr>
                <w:sz w:val="20"/>
                <w:szCs w:val="20"/>
                <w:color w:val="auto"/>
              </w:rPr>
            </w:pPr>
            <w:r>
              <w:rPr>
                <w:rFonts w:ascii="Arial" w:cs="Arial" w:eastAsia="Arial" w:hAnsi="Arial"/>
                <w:sz w:val="22"/>
                <w:szCs w:val="22"/>
                <w:color w:val="auto"/>
                <w:w w:val="89"/>
              </w:rPr>
              <w:t>$0.017</w:t>
            </w:r>
          </w:p>
        </w:tc>
        <w:tc>
          <w:tcPr>
            <w:tcW w:w="8220" w:type="dxa"/>
            <w:vAlign w:val="bottom"/>
            <w:tcBorders>
              <w:right w:val="single" w:sz="8" w:color="auto"/>
            </w:tcBorders>
          </w:tcPr>
          <w:p>
            <w:pPr>
              <w:ind w:left="20"/>
              <w:spacing w:after="0" w:line="230" w:lineRule="exact"/>
              <w:rPr>
                <w:sz w:val="20"/>
                <w:szCs w:val="20"/>
                <w:color w:val="auto"/>
              </w:rPr>
            </w:pPr>
            <w:r>
              <w:rPr>
                <w:rFonts w:ascii="Arial" w:cs="Arial" w:eastAsia="Arial" w:hAnsi="Arial"/>
                <w:sz w:val="22"/>
                <w:szCs w:val="22"/>
                <w:color w:val="auto"/>
                <w:w w:val="91"/>
              </w:rPr>
              <w:t>Distribution has been identified by the Company as being derived from other sources and is</w:t>
            </w:r>
          </w:p>
        </w:tc>
      </w:tr>
      <w:tr>
        <w:trPr>
          <w:trHeight w:val="276"/>
        </w:trPr>
        <w:tc>
          <w:tcPr>
            <w:tcW w:w="1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18, 2018</w:t>
            </w:r>
          </w:p>
        </w:tc>
        <w:tc>
          <w:tcPr>
            <w:tcW w:w="9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not exempt from U.S. Nonresident withholding tax.</w:t>
            </w:r>
          </w:p>
        </w:tc>
      </w:tr>
    </w:tbl>
    <w:p>
      <w:pPr>
        <w:spacing w:after="0" w:line="19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2"/>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2020-05-05T12:06:22Z</dcterms:created>
  <dcterms:modified xsi:type="dcterms:W3CDTF">2020-05-05T12:06:22Z</dcterms:modified>
</cp:coreProperties>
</file>